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3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23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2813685</wp:posOffset>
            </wp:positionH>
            <wp:positionV relativeFrom="paragraph">
              <wp:posOffset>292735</wp:posOffset>
            </wp:positionV>
            <wp:extent cx="162877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2877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3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3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23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2813685</wp:posOffset>
            </wp:positionH>
            <wp:positionV relativeFrom="paragraph">
              <wp:posOffset>292735</wp:posOffset>
            </wp:positionV>
            <wp:extent cx="162877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2877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Date of Report (Date of earliest event reported): March 8, 2019</w:t>
      </w:r>
    </w:p>
    <w:p>
      <w:pPr>
        <w:spacing w:after="0" w:line="23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WORLD FUEL SERVICES CORPORATION</w:t>
      </w:r>
    </w:p>
    <w:p>
      <w:pPr>
        <w:spacing w:after="0" w:line="2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4"/>
          <w:szCs w:val="24"/>
          <w:color w:val="auto"/>
        </w:rPr>
      </w:pPr>
    </w:p>
    <w:p>
      <w:pPr>
        <w:spacing w:after="0" w:line="258" w:lineRule="exact"/>
        <w:rPr>
          <w:sz w:val="24"/>
          <w:szCs w:val="24"/>
          <w:color w:val="auto"/>
        </w:rPr>
      </w:pPr>
    </w:p>
    <w:tbl>
      <w:tblPr>
        <w:tblLayout w:type="fixed"/>
        <w:tblInd w:w="840" w:type="dxa"/>
        <w:tblCellMar>
          <w:top w:w="0" w:type="dxa"/>
          <w:left w:w="0" w:type="dxa"/>
          <w:bottom w:w="0" w:type="dxa"/>
          <w:right w:w="0" w:type="dxa"/>
        </w:tblCellMar>
      </w:tblPr>
      <w:tr>
        <w:trPr>
          <w:trHeight w:val="238"/>
        </w:trPr>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Florida</w:t>
            </w:r>
          </w:p>
        </w:tc>
        <w:tc>
          <w:tcPr>
            <w:tcW w:w="4640" w:type="dxa"/>
            <w:vAlign w:val="bottom"/>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rPr>
              <w:t>1-9533</w:t>
            </w:r>
          </w:p>
        </w:tc>
        <w:tc>
          <w:tcPr>
            <w:tcW w:w="25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59-2459427</w:t>
            </w:r>
          </w:p>
        </w:tc>
      </w:tr>
      <w:tr>
        <w:trPr>
          <w:trHeight w:val="225"/>
        </w:trPr>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464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rPr>
              <w:t>(Commission File</w:t>
            </w:r>
          </w:p>
        </w:tc>
        <w:tc>
          <w:tcPr>
            <w:tcW w:w="258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incorporation)</w:t>
            </w:r>
          </w:p>
        </w:tc>
        <w:tc>
          <w:tcPr>
            <w:tcW w:w="464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rPr>
              <w:t>Number)</w:t>
            </w:r>
          </w:p>
        </w:tc>
        <w:tc>
          <w:tcPr>
            <w:tcW w:w="258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937"/>
        </w:trPr>
        <w:tc>
          <w:tcPr>
            <w:tcW w:w="2140" w:type="dxa"/>
            <w:vAlign w:val="bottom"/>
          </w:tcPr>
          <w:p>
            <w:pPr>
              <w:spacing w:after="0"/>
              <w:rPr>
                <w:sz w:val="24"/>
                <w:szCs w:val="24"/>
                <w:color w:val="auto"/>
              </w:rPr>
            </w:pPr>
          </w:p>
        </w:tc>
        <w:tc>
          <w:tcPr>
            <w:tcW w:w="4640" w:type="dxa"/>
            <w:vAlign w:val="bottom"/>
          </w:tcPr>
          <w:p>
            <w:pPr>
              <w:jc w:val="center"/>
              <w:ind w:right="2850"/>
              <w:spacing w:after="0"/>
              <w:rPr>
                <w:sz w:val="20"/>
                <w:szCs w:val="20"/>
                <w:color w:val="auto"/>
              </w:rPr>
            </w:pPr>
            <w:r>
              <w:rPr>
                <w:rFonts w:ascii="Times New Roman" w:cs="Times New Roman" w:eastAsia="Times New Roman" w:hAnsi="Times New Roman"/>
                <w:sz w:val="18"/>
                <w:szCs w:val="18"/>
                <w:b w:val="1"/>
                <w:bCs w:val="1"/>
                <w:color w:val="auto"/>
                <w:w w:val="96"/>
              </w:rPr>
              <w:t>9800 N.W. 41</w:t>
            </w:r>
            <w:r>
              <w:rPr>
                <w:rFonts w:ascii="Times New Roman" w:cs="Times New Roman" w:eastAsia="Times New Roman" w:hAnsi="Times New Roman"/>
                <w:sz w:val="30"/>
                <w:szCs w:val="30"/>
                <w:b w:val="1"/>
                <w:bCs w:val="1"/>
                <w:color w:val="auto"/>
                <w:w w:val="96"/>
                <w:vertAlign w:val="superscript"/>
              </w:rPr>
              <w:t>st</w:t>
            </w:r>
            <w:r>
              <w:rPr>
                <w:rFonts w:ascii="Times New Roman" w:cs="Times New Roman" w:eastAsia="Times New Roman" w:hAnsi="Times New Roman"/>
                <w:sz w:val="18"/>
                <w:szCs w:val="18"/>
                <w:b w:val="1"/>
                <w:bCs w:val="1"/>
                <w:color w:val="auto"/>
                <w:w w:val="96"/>
              </w:rPr>
              <w:t xml:space="preserve"> Street</w:t>
            </w:r>
          </w:p>
        </w:tc>
        <w:tc>
          <w:tcPr>
            <w:tcW w:w="2580" w:type="dxa"/>
            <w:vAlign w:val="bottom"/>
          </w:tcPr>
          <w:p>
            <w:pPr>
              <w:spacing w:after="0"/>
              <w:rPr>
                <w:sz w:val="24"/>
                <w:szCs w:val="24"/>
                <w:color w:val="auto"/>
              </w:rPr>
            </w:pPr>
          </w:p>
        </w:tc>
      </w:tr>
      <w:tr>
        <w:trPr>
          <w:trHeight w:val="238"/>
        </w:trPr>
        <w:tc>
          <w:tcPr>
            <w:tcW w:w="2140" w:type="dxa"/>
            <w:vAlign w:val="bottom"/>
          </w:tcPr>
          <w:p>
            <w:pPr>
              <w:spacing w:after="0"/>
              <w:rPr>
                <w:sz w:val="20"/>
                <w:szCs w:val="20"/>
                <w:color w:val="auto"/>
              </w:rPr>
            </w:pPr>
          </w:p>
        </w:tc>
        <w:tc>
          <w:tcPr>
            <w:tcW w:w="4640" w:type="dxa"/>
            <w:vAlign w:val="bottom"/>
          </w:tcPr>
          <w:p>
            <w:pPr>
              <w:jc w:val="center"/>
              <w:ind w:right="2850"/>
              <w:spacing w:after="0"/>
              <w:rPr>
                <w:sz w:val="20"/>
                <w:szCs w:val="20"/>
                <w:color w:val="auto"/>
              </w:rPr>
            </w:pPr>
            <w:r>
              <w:rPr>
                <w:rFonts w:ascii="Times New Roman" w:cs="Times New Roman" w:eastAsia="Times New Roman" w:hAnsi="Times New Roman"/>
                <w:sz w:val="18"/>
                <w:szCs w:val="18"/>
                <w:b w:val="1"/>
                <w:bCs w:val="1"/>
                <w:color w:val="auto"/>
                <w:w w:val="98"/>
              </w:rPr>
              <w:t>Miami, FL</w:t>
            </w:r>
          </w:p>
        </w:tc>
        <w:tc>
          <w:tcPr>
            <w:tcW w:w="25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33178</w:t>
            </w:r>
          </w:p>
        </w:tc>
      </w:tr>
      <w:tr>
        <w:trPr>
          <w:trHeight w:val="243"/>
        </w:trPr>
        <w:tc>
          <w:tcPr>
            <w:tcW w:w="6780" w:type="dxa"/>
            <w:vAlign w:val="bottom"/>
            <w:gridSpan w:val="2"/>
          </w:tcPr>
          <w:p>
            <w:pPr>
              <w:jc w:val="center"/>
              <w:ind w:right="7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58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00" w:lineRule="exact"/>
        <w:rPr>
          <w:sz w:val="24"/>
          <w:szCs w:val="24"/>
          <w:color w:val="auto"/>
        </w:rPr>
      </w:pPr>
    </w:p>
    <w:p>
      <w:pPr>
        <w:spacing w:after="0" w:line="25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(305) 428-8000</w:t>
      </w:r>
    </w:p>
    <w:p>
      <w:pPr>
        <w:spacing w:after="0" w:line="229" w:lineRule="exact"/>
        <w:rPr>
          <w:sz w:val="24"/>
          <w:szCs w:val="24"/>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89"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36"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36"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36"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16"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Indicate by check mark whether the registrant is an emerging growth company as defined in Rule 405 of the Securities Act of 1933 (Â§230.405 of this chapter) or Rule 12b-2 of the Securities Exchange Act of 1934 (Â§240.12b-2 of this chapter).</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Emerging growth company [  ]</w:t>
      </w:r>
    </w:p>
    <w:p>
      <w:pPr>
        <w:spacing w:after="0" w:line="206" w:lineRule="exact"/>
        <w:rPr>
          <w:sz w:val="24"/>
          <w:szCs w:val="24"/>
          <w:color w:val="auto"/>
        </w:rPr>
      </w:pPr>
    </w:p>
    <w:p>
      <w:pPr>
        <w:jc w:val="both"/>
        <w:ind w:right="240"/>
        <w:spacing w:after="0" w:line="282" w:lineRule="auto"/>
        <w:rPr>
          <w:sz w:val="20"/>
          <w:szCs w:val="20"/>
          <w:color w:val="auto"/>
        </w:rPr>
      </w:pPr>
      <w:r>
        <w:rPr>
          <w:rFonts w:ascii="Times New Roman" w:cs="Times New Roman" w:eastAsia="Times New Roman" w:hAnsi="Times New Roman"/>
          <w:sz w:val="21"/>
          <w:szCs w:val="21"/>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40"/>
          </w:cols>
          <w:pgMar w:left="240" w:top="459" w:right="31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22"/>
          <w:szCs w:val="22"/>
          <w:b w:val="1"/>
          <w:bCs w:val="1"/>
          <w:color w:val="auto"/>
        </w:rPr>
        <w:t>Item 7.01.</w:t>
      </w:r>
      <w:r>
        <w:rPr>
          <w:sz w:val="20"/>
          <w:szCs w:val="20"/>
          <w:color w:val="auto"/>
        </w:rPr>
        <w:tab/>
      </w:r>
      <w:r>
        <w:rPr>
          <w:rFonts w:ascii="Times New Roman" w:cs="Times New Roman" w:eastAsia="Times New Roman" w:hAnsi="Times New Roman"/>
          <w:sz w:val="21"/>
          <w:szCs w:val="21"/>
          <w:b w:val="1"/>
          <w:bCs w:val="1"/>
          <w:color w:val="auto"/>
        </w:rPr>
        <w:t>Regulation FD Disclosure</w:t>
      </w:r>
    </w:p>
    <w:p>
      <w:pPr>
        <w:spacing w:after="0" w:line="210" w:lineRule="exact"/>
        <w:rPr>
          <w:sz w:val="20"/>
          <w:szCs w:val="20"/>
          <w:color w:val="auto"/>
        </w:rPr>
      </w:pPr>
    </w:p>
    <w:p>
      <w:pPr>
        <w:jc w:val="both"/>
        <w:ind w:right="20" w:firstLine="579"/>
        <w:spacing w:after="0" w:line="244" w:lineRule="auto"/>
        <w:rPr>
          <w:sz w:val="20"/>
          <w:szCs w:val="20"/>
          <w:color w:val="auto"/>
        </w:rPr>
      </w:pPr>
      <w:r>
        <w:rPr>
          <w:rFonts w:ascii="Times New Roman" w:cs="Times New Roman" w:eastAsia="Times New Roman" w:hAnsi="Times New Roman"/>
          <w:sz w:val="22"/>
          <w:szCs w:val="22"/>
          <w:color w:val="auto"/>
        </w:rPr>
        <w:t>World Fuel Services Corporation announced today that its board of directors has declared a quarterly cash dividend of $0.06 per share payable on April 12, 2019 to shareholders of record on March 22, 2019. A copy of the press release is attached hereto as Exhibit 99.1.</w:t>
      </w:r>
    </w:p>
    <w:p>
      <w:pPr>
        <w:spacing w:after="0" w:line="174" w:lineRule="exact"/>
        <w:rPr>
          <w:sz w:val="20"/>
          <w:szCs w:val="20"/>
          <w:color w:val="auto"/>
        </w:rPr>
      </w:pPr>
    </w:p>
    <w:p>
      <w:pPr>
        <w:jc w:val="both"/>
        <w:ind w:firstLine="530"/>
        <w:spacing w:after="0" w:line="262" w:lineRule="auto"/>
        <w:rPr>
          <w:sz w:val="20"/>
          <w:szCs w:val="20"/>
          <w:color w:val="auto"/>
        </w:rPr>
      </w:pPr>
      <w:r>
        <w:rPr>
          <w:rFonts w:ascii="Times New Roman" w:cs="Times New Roman" w:eastAsia="Times New Roman" w:hAnsi="Times New Roman"/>
          <w:sz w:val="21"/>
          <w:szCs w:val="21"/>
          <w:color w:val="auto"/>
        </w:rPr>
        <w:t>This information and the information contained in Exhibit 99.1 shall not be deemed “filed” for purposes of Section 18 of the Securities Exchange Act of 1934, as amended (the “Exchange Act”), or incorporated by reference in any filing under the Securities Act of 1933, as amended, or the Exchange Act, except as may be expressly set forth by specific reference in any such filing.</w:t>
      </w:r>
    </w:p>
    <w:p>
      <w:pPr>
        <w:spacing w:after="0" w:line="15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2"/>
          <w:szCs w:val="22"/>
          <w:b w:val="1"/>
          <w:bCs w:val="1"/>
          <w:color w:val="auto"/>
        </w:rPr>
        <w:t>Item 9.01.</w:t>
      </w:r>
      <w:r>
        <w:rPr>
          <w:sz w:val="20"/>
          <w:szCs w:val="20"/>
          <w:color w:val="auto"/>
        </w:rPr>
        <w:tab/>
      </w:r>
      <w:r>
        <w:rPr>
          <w:rFonts w:ascii="Times New Roman" w:cs="Times New Roman" w:eastAsia="Times New Roman" w:hAnsi="Times New Roman"/>
          <w:sz w:val="21"/>
          <w:szCs w:val="21"/>
          <w:b w:val="1"/>
          <w:bCs w:val="1"/>
          <w:color w:val="auto"/>
        </w:rPr>
        <w:t>Financial Statements and Exhibits</w:t>
      </w:r>
    </w:p>
    <w:p>
      <w:pPr>
        <w:spacing w:after="0" w:line="23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(c)  Exhibits</w:t>
      </w:r>
    </w:p>
    <w:p>
      <w:pPr>
        <w:spacing w:after="0" w:line="279" w:lineRule="exact"/>
        <w:rPr>
          <w:sz w:val="20"/>
          <w:szCs w:val="20"/>
          <w:color w:val="auto"/>
        </w:rPr>
      </w:pPr>
    </w:p>
    <w:p>
      <w:pPr>
        <w:ind w:left="580"/>
        <w:spacing w:after="0"/>
        <w:tabs>
          <w:tab w:leader="none" w:pos="1700" w:val="left"/>
        </w:tabs>
        <w:rPr>
          <w:sz w:val="20"/>
          <w:szCs w:val="20"/>
          <w:color w:val="auto"/>
        </w:rPr>
      </w:pPr>
      <w:r>
        <w:rPr>
          <w:rFonts w:ascii="Times New Roman" w:cs="Times New Roman" w:eastAsia="Times New Roman" w:hAnsi="Times New Roman"/>
          <w:sz w:val="18"/>
          <w:szCs w:val="18"/>
          <w:u w:val="single" w:color="auto"/>
          <w:color w:val="auto"/>
        </w:rPr>
        <w:t>Exhibit No.</w:t>
      </w:r>
      <w:r>
        <w:rPr>
          <w:sz w:val="20"/>
          <w:szCs w:val="20"/>
          <w:color w:val="auto"/>
        </w:rPr>
        <w:tab/>
      </w:r>
      <w:r>
        <w:rPr>
          <w:rFonts w:ascii="Times New Roman" w:cs="Times New Roman" w:eastAsia="Times New Roman" w:hAnsi="Times New Roman"/>
          <w:sz w:val="18"/>
          <w:szCs w:val="18"/>
          <w:u w:val="single" w:color="auto"/>
          <w:color w:val="auto"/>
        </w:rPr>
        <w:t>Description</w:t>
      </w:r>
    </w:p>
    <w:p>
      <w:pPr>
        <w:spacing w:after="0" w:line="279" w:lineRule="exact"/>
        <w:rPr>
          <w:sz w:val="20"/>
          <w:szCs w:val="20"/>
          <w:color w:val="auto"/>
        </w:rPr>
      </w:pPr>
    </w:p>
    <w:p>
      <w:pPr>
        <w:ind w:left="580"/>
        <w:spacing w:after="0"/>
        <w:tabs>
          <w:tab w:leader="none" w:pos="170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color w:val="auto"/>
        </w:rPr>
        <w:t>Press Release, dated March 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wp:posOffset>
            </wp:positionV>
            <wp:extent cx="727202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2" w:name="page3"/>
    <w:bookmarkEnd w:id="2"/>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tabs>
          <w:tab w:leader="none" w:pos="560" w:val="left"/>
          <w:tab w:leader="none" w:pos="6520" w:val="left"/>
        </w:tabs>
        <w:rPr>
          <w:sz w:val="20"/>
          <w:szCs w:val="20"/>
          <w:color w:val="auto"/>
        </w:rPr>
      </w:pPr>
      <w:r>
        <w:rPr>
          <w:rFonts w:ascii="Times New Roman" w:cs="Times New Roman" w:eastAsia="Times New Roman" w:hAnsi="Times New Roman"/>
          <w:sz w:val="18"/>
          <w:szCs w:val="18"/>
          <w:color w:val="auto"/>
        </w:rPr>
        <w:t>Date:</w:t>
        <w:tab/>
        <w:t>March 8, 2019</w:t>
      </w:r>
      <w:r>
        <w:rPr>
          <w:sz w:val="20"/>
          <w:szCs w:val="20"/>
          <w:color w:val="auto"/>
        </w:rPr>
        <w:tab/>
      </w:r>
      <w:r>
        <w:rPr>
          <w:rFonts w:ascii="Times New Roman" w:cs="Times New Roman" w:eastAsia="Times New Roman" w:hAnsi="Times New Roman"/>
          <w:sz w:val="17"/>
          <w:szCs w:val="17"/>
          <w:b w:val="1"/>
          <w:bCs w:val="1"/>
          <w:color w:val="auto"/>
        </w:rPr>
        <w:t>World Fuel Services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/s/ R. Alexander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26035</wp:posOffset>
            </wp:positionV>
            <wp:extent cx="23837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3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R. Alexander Lake</w:t>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Executive Vice President, Chief Legal Officer and</w:t>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272020" cy="596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160"/>
          </w:cols>
          <w:pgMar w:left="240" w:top="108" w:right="499" w:bottom="1440" w:gutter="0" w:footer="0" w:header="0"/>
        </w:sectPr>
      </w:pPr>
    </w:p>
    <w:bookmarkStart w:id="3" w:name="page4"/>
    <w:bookmarkEnd w:id="3"/>
    <w:p>
      <w:pPr>
        <w:jc w:val="right"/>
        <w:ind w:right="3719"/>
        <w:spacing w:after="0"/>
        <w:rPr>
          <w:sz w:val="20"/>
          <w:szCs w:val="20"/>
          <w:color w:val="auto"/>
        </w:rPr>
      </w:pPr>
      <w:r>
        <w:rPr>
          <w:rFonts w:ascii="Times New Roman" w:cs="Times New Roman" w:eastAsia="Times New Roman" w:hAnsi="Times New Roman"/>
          <w:sz w:val="22"/>
          <w:szCs w:val="22"/>
          <w:color w:val="auto"/>
        </w:rPr>
        <w:t>EXHIBIT INDEX</w:t>
      </w:r>
    </w:p>
    <w:p>
      <w:pPr>
        <w:spacing w:after="0" w:line="200" w:lineRule="exact"/>
        <w:rPr>
          <w:sz w:val="20"/>
          <w:szCs w:val="20"/>
          <w:color w:val="auto"/>
        </w:rPr>
      </w:pPr>
    </w:p>
    <w:p>
      <w:pPr>
        <w:spacing w:after="0" w:line="272"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18"/>
          <w:szCs w:val="18"/>
          <w:color w:val="auto"/>
        </w:rPr>
        <w:t>Exhibit</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68865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86575" cy="8890"/>
                    </a:xfrm>
                    <a:prstGeom prst="rect">
                      <a:avLst/>
                    </a:prstGeom>
                    <a:noFill/>
                  </pic:spPr>
                </pic:pic>
              </a:graphicData>
            </a:graphic>
          </wp:anchor>
        </w:drawing>
      </w:r>
    </w:p>
    <w:p>
      <w:pPr>
        <w:spacing w:after="0" w:line="30" w:lineRule="exact"/>
        <w:rPr>
          <w:sz w:val="20"/>
          <w:szCs w:val="20"/>
          <w:color w:val="auto"/>
        </w:rPr>
      </w:pPr>
    </w:p>
    <w:p>
      <w:pPr>
        <w:spacing w:after="0"/>
        <w:tabs>
          <w:tab w:leader="none" w:pos="1940" w:val="left"/>
        </w:tabs>
        <w:rPr>
          <w:rFonts w:ascii="Times New Roman" w:cs="Times New Roman" w:eastAsia="Times New Roman" w:hAnsi="Times New Roman"/>
          <w:sz w:val="17"/>
          <w:szCs w:val="17"/>
          <w:u w:val="single" w:color="auto"/>
          <w:color w:val="0000EE"/>
        </w:rPr>
      </w:pPr>
      <w:hyperlink w:anchor="page5">
        <w:r>
          <w:rPr>
            <w:rFonts w:ascii="Times New Roman" w:cs="Times New Roman" w:eastAsia="Times New Roman" w:hAnsi="Times New Roman"/>
            <w:sz w:val="18"/>
            <w:szCs w:val="18"/>
            <w:u w:val="single" w:color="auto"/>
            <w:color w:val="0000EE"/>
          </w:rPr>
          <w:t>99.1</w:t>
        </w:r>
      </w:hyperlink>
      <w:r>
        <w:rPr>
          <w:rFonts w:ascii="Times New Roman" w:cs="Times New Roman" w:eastAsia="Times New Roman" w:hAnsi="Times New Roman"/>
          <w:sz w:val="18"/>
          <w:szCs w:val="18"/>
          <w:u w:val="single" w:color="auto"/>
          <w:color w:val="0000EE"/>
        </w:rPr>
        <w:tab/>
      </w:r>
      <w:hyperlink w:anchor="page5">
        <w:r>
          <w:rPr>
            <w:rFonts w:ascii="Times New Roman" w:cs="Times New Roman" w:eastAsia="Times New Roman" w:hAnsi="Times New Roman"/>
            <w:sz w:val="17"/>
            <w:szCs w:val="17"/>
            <w:u w:val="single" w:color="auto"/>
            <w:color w:val="0000EE"/>
          </w:rPr>
          <w:t>Press Release, dated March 8, 2019.</w:t>
        </w:r>
      </w:hyperlink>
    </w:p>
    <w:p>
      <w:pPr>
        <w:sectPr>
          <w:pgSz w:w="11900" w:h="16838" w:orient="portrait"/>
          <w:cols w:equalWidth="0" w:num="1">
            <w:col w:w="10219"/>
          </w:cols>
          <w:pgMar w:left="240" w:top="112"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World Fuel Services Corporation Declares Regular Quarterly Cash Dividend</w:t>
      </w:r>
    </w:p>
    <w:p>
      <w:pPr>
        <w:spacing w:after="0" w:line="210" w:lineRule="exact"/>
        <w:rPr>
          <w:sz w:val="20"/>
          <w:szCs w:val="20"/>
          <w:color w:val="auto"/>
        </w:rPr>
      </w:pPr>
    </w:p>
    <w:p>
      <w:pPr>
        <w:jc w:val="both"/>
        <w:ind w:right="260"/>
        <w:spacing w:after="0" w:line="244" w:lineRule="auto"/>
        <w:rPr>
          <w:sz w:val="20"/>
          <w:szCs w:val="20"/>
          <w:color w:val="auto"/>
        </w:rPr>
      </w:pPr>
      <w:r>
        <w:rPr>
          <w:rFonts w:ascii="Times New Roman" w:cs="Times New Roman" w:eastAsia="Times New Roman" w:hAnsi="Times New Roman"/>
          <w:sz w:val="22"/>
          <w:szCs w:val="22"/>
          <w:color w:val="auto"/>
        </w:rPr>
        <w:t>MIAMI--(BUSINESS WIRE)--March 8, 2019--World Fuel Services Corporation (NYSE:INT) announced today that its board of directors has declared a quarterly cash dividend of $0.06 per share payable on April 12, 2019 to shareholders of record on March 22, 2019.</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About World Fuel Services Corporation</w:t>
      </w:r>
    </w:p>
    <w:p>
      <w:pPr>
        <w:spacing w:after="0" w:line="206"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Headquartered in Miami, Florida, World Fuel Services is a global energy management company involved in providing energy procurement advisory services, supply fulfillment and transaction and payment management solutions to commercial and industrial customers, principally in the aviation, marine and land transportation industries. World Fuel Services sells fuel and delivers services to its clients at more than 8,000 locations in more than 200 countries and territories worldwide.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For more information, call 305-428-8000 or visit </w:t>
      </w:r>
      <w:r>
        <w:rPr>
          <w:rFonts w:ascii="Times New Roman" w:cs="Times New Roman" w:eastAsia="Times New Roman" w:hAnsi="Times New Roman"/>
          <w:sz w:val="22"/>
          <w:szCs w:val="22"/>
          <w:u w:val="single" w:color="auto"/>
          <w:color w:val="auto"/>
        </w:rPr>
        <w:t>www.wfscorp.com</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Ira M. Birns, Executive Vice President &amp;</w:t>
      </w:r>
    </w:p>
    <w:p>
      <w:pPr>
        <w:spacing w:after="0"/>
        <w:rPr>
          <w:sz w:val="20"/>
          <w:szCs w:val="20"/>
          <w:color w:val="auto"/>
        </w:rPr>
      </w:pPr>
      <w:r>
        <w:rPr>
          <w:rFonts w:ascii="Times New Roman" w:cs="Times New Roman" w:eastAsia="Times New Roman" w:hAnsi="Times New Roman"/>
          <w:sz w:val="22"/>
          <w:szCs w:val="22"/>
          <w:color w:val="auto"/>
        </w:rPr>
        <w:t>Chief Financial Officer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Glenn Klevitz</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Vice President, Assistant Treasurer</w:t>
      </w:r>
    </w:p>
    <w:p>
      <w:pPr>
        <w:spacing w:after="0"/>
        <w:rPr>
          <w:sz w:val="20"/>
          <w:szCs w:val="20"/>
          <w:color w:val="auto"/>
        </w:rPr>
      </w:pPr>
      <w:r>
        <w:rPr>
          <w:rFonts w:ascii="Times New Roman" w:cs="Times New Roman" w:eastAsia="Times New Roman" w:hAnsi="Times New Roman"/>
          <w:sz w:val="22"/>
          <w:szCs w:val="22"/>
          <w:color w:val="auto"/>
        </w:rPr>
        <w:t>305-428-8000</w:t>
      </w:r>
    </w:p>
    <w:sectPr>
      <w:pgSz w:w="11900" w:h="16838" w:orient="portrait"/>
      <w:cols w:equalWidth="0" w:num="1">
        <w:col w:w="11420"/>
      </w:cols>
      <w:pgMar w:left="240" w:top="1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2019-12-28T15:18:32Z</dcterms:created>
  <dcterms:modified xsi:type="dcterms:W3CDTF">2019-12-28T15:18:32Z</dcterms:modified>
</cp:coreProperties>
</file>