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14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16" w:lineRule="exact"/>
        <w:rPr>
          <w:sz w:val="24"/>
          <w:szCs w:val="24"/>
          <w:color w:val="auto"/>
        </w:rPr>
      </w:pPr>
    </w:p>
    <w:p>
      <w:pPr>
        <w:ind w:left="780" w:right="14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4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1-9533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tbl>
      <w:tblPr>
        <w:tblLayout w:type="fixed"/>
        <w:tblInd w:w="1340" w:type="dxa"/>
        <w:tblCellMar>
          <w:top w:w="0" w:type="dxa"/>
          <w:left w:w="0" w:type="dxa"/>
          <w:bottom w:w="0" w:type="dxa"/>
          <w:right w:w="0" w:type="dxa"/>
        </w:tblCellMar>
      </w:tblPr>
      <w:tr>
        <w:trPr>
          <w:trHeight w:val="230"/>
        </w:trPr>
        <w:tc>
          <w:tcPr>
            <w:tcW w:w="6420" w:type="dxa"/>
            <w:vAlign w:val="bottom"/>
          </w:tcPr>
          <w:p>
            <w:pPr>
              <w:ind w:left="2520"/>
              <w:spacing w:after="0"/>
              <w:rPr>
                <w:sz w:val="20"/>
                <w:szCs w:val="20"/>
                <w:color w:val="auto"/>
              </w:rPr>
            </w:pPr>
            <w:r>
              <w:rPr>
                <w:rFonts w:ascii="Arial" w:cs="Arial" w:eastAsia="Arial" w:hAnsi="Arial"/>
                <w:sz w:val="18"/>
                <w:szCs w:val="18"/>
                <w:color w:val="auto"/>
                <w:w w:val="94"/>
              </w:rPr>
              <w:t>(Exact name of registrant as specified in its charter)</w:t>
            </w:r>
          </w:p>
        </w:tc>
        <w:tc>
          <w:tcPr>
            <w:tcW w:w="1540" w:type="dxa"/>
            <w:vAlign w:val="bottom"/>
          </w:tcPr>
          <w:p>
            <w:pPr>
              <w:spacing w:after="0"/>
              <w:rPr>
                <w:sz w:val="20"/>
                <w:szCs w:val="20"/>
                <w:color w:val="auto"/>
              </w:rPr>
            </w:pPr>
          </w:p>
        </w:tc>
      </w:tr>
      <w:tr>
        <w:trPr>
          <w:trHeight w:val="402"/>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6"/>
              </w:rPr>
              <w:t>Florida</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59-2459427</w:t>
            </w:r>
          </w:p>
        </w:tc>
      </w:tr>
      <w:tr>
        <w:trPr>
          <w:trHeight w:val="216"/>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(I.R.S. Employer</w:t>
            </w:r>
          </w:p>
        </w:tc>
      </w:tr>
      <w:tr>
        <w:trPr>
          <w:trHeight w:val="230"/>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23"/>
                <w:szCs w:val="23"/>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1540" w:type="dxa"/>
            <w:vAlign w:val="bottom"/>
          </w:tcPr>
          <w:p>
            <w:pPr>
              <w:spacing w:after="0"/>
              <w:rPr>
                <w:sz w:val="24"/>
                <w:szCs w:val="24"/>
                <w:color w:val="auto"/>
              </w:rPr>
            </w:pPr>
          </w:p>
        </w:tc>
      </w:tr>
      <w:tr>
        <w:trPr>
          <w:trHeight w:val="220"/>
        </w:trPr>
        <w:tc>
          <w:tcPr>
            <w:tcW w:w="6420" w:type="dxa"/>
            <w:vAlign w:val="bottom"/>
          </w:tcPr>
          <w:p>
            <w:pPr>
              <w:jc w:val="center"/>
              <w:ind w:right="3390"/>
              <w:spacing w:after="0"/>
              <w:rPr>
                <w:sz w:val="20"/>
                <w:szCs w:val="20"/>
                <w:color w:val="auto"/>
              </w:rPr>
            </w:pPr>
            <w:r>
              <w:rPr>
                <w:rFonts w:ascii="Arial" w:cs="Arial" w:eastAsia="Arial" w:hAnsi="Arial"/>
                <w:sz w:val="18"/>
                <w:szCs w:val="18"/>
                <w:b w:val="1"/>
                <w:bCs w:val="1"/>
                <w:color w:val="auto"/>
                <w:w w:val="97"/>
              </w:rPr>
              <w:t>Miami, Florida</w:t>
            </w:r>
          </w:p>
        </w:tc>
        <w:tc>
          <w:tcPr>
            <w:tcW w:w="1540" w:type="dxa"/>
            <w:vAlign w:val="bottom"/>
          </w:tcPr>
          <w:p>
            <w:pPr>
              <w:jc w:val="right"/>
              <w:ind w:right="370"/>
              <w:spacing w:after="0"/>
              <w:rPr>
                <w:sz w:val="20"/>
                <w:szCs w:val="20"/>
                <w:color w:val="auto"/>
              </w:rPr>
            </w:pPr>
            <w:r>
              <w:rPr>
                <w:rFonts w:ascii="Arial" w:cs="Arial" w:eastAsia="Arial" w:hAnsi="Arial"/>
                <w:sz w:val="18"/>
                <w:szCs w:val="18"/>
                <w:b w:val="1"/>
                <w:bCs w:val="1"/>
                <w:color w:val="auto"/>
              </w:rPr>
              <w:t>33178</w:t>
            </w:r>
          </w:p>
        </w:tc>
      </w:tr>
      <w:tr>
        <w:trPr>
          <w:trHeight w:val="230"/>
        </w:trPr>
        <w:tc>
          <w:tcPr>
            <w:tcW w:w="642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x Accelerated filer o Non-accelerated filer o Smaller reporting company o</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registrant had a total of 72,774,000 shares of common stock, par value $0.01 per share, issued and outstanding as of July 25,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53"/>
        </w:trPr>
        <w:tc>
          <w:tcPr>
            <w:tcW w:w="4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20" w:type="dxa"/>
            <w:vAlign w:val="bottom"/>
            <w:gridSpan w:val="2"/>
          </w:tcPr>
          <w:p>
            <w:pPr>
              <w:ind w:left="7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r>
      <w:tr>
        <w:trPr>
          <w:trHeight w:val="392"/>
        </w:trPr>
        <w:tc>
          <w:tcPr>
            <w:tcW w:w="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994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540" w:type="dxa"/>
            <w:vAlign w:val="bottom"/>
          </w:tcPr>
          <w:p>
            <w:pPr>
              <w:spacing w:after="0"/>
              <w:rPr>
                <w:sz w:val="24"/>
                <w:szCs w:val="24"/>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General</w:t>
              </w:r>
            </w:hyperlink>
          </w:p>
        </w:tc>
        <w:tc>
          <w:tcPr>
            <w:tcW w:w="680" w:type="dxa"/>
            <w:vAlign w:val="bottom"/>
            <w:tcBorders>
              <w:top w:val="single" w:sz="8" w:color="0000EE"/>
            </w:tcBorders>
          </w:tcPr>
          <w:p>
            <w:pPr>
              <w:spacing w:after="0"/>
              <w:rPr>
                <w:sz w:val="17"/>
                <w:szCs w:val="17"/>
                <w:color w:val="auto"/>
              </w:rPr>
            </w:pPr>
          </w:p>
        </w:tc>
        <w:tc>
          <w:tcPr>
            <w:tcW w:w="17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412"/>
        </w:trPr>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Item 1.</w:t>
              </w:r>
            </w:hyperlink>
          </w:p>
        </w:tc>
        <w:tc>
          <w:tcPr>
            <w:tcW w:w="340" w:type="dxa"/>
            <w:vAlign w:val="bottom"/>
          </w:tcPr>
          <w:p>
            <w:pPr>
              <w:spacing w:after="0"/>
              <w:rPr>
                <w:sz w:val="24"/>
                <w:szCs w:val="24"/>
                <w:color w:val="auto"/>
              </w:rPr>
            </w:pPr>
          </w:p>
        </w:tc>
        <w:tc>
          <w:tcPr>
            <w:tcW w:w="90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54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 as of June 30, 2013 and December 31, 2012</w:t>
              </w:r>
            </w:hyperlink>
          </w:p>
        </w:tc>
        <w:tc>
          <w:tcPr>
            <w:tcW w:w="374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and Comprehensive Income for the Three and Six Months ended June 30, 2013 and 2012</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62"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Shareholders’ Equity for the Six Months ended June 30, 2013 and 2012</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80" w:type="dxa"/>
            <w:vAlign w:val="bottom"/>
            <w:tcBorders>
              <w:top w:val="single" w:sz="8" w:color="0000EE"/>
            </w:tcBorders>
            <w:gridSpan w:val="6"/>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Cash Flows for the Six Months ended June 30, 2013 and 2012</w:t>
              </w:r>
            </w:hyperlink>
          </w:p>
        </w:tc>
        <w:tc>
          <w:tcPr>
            <w:tcW w:w="11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3"/>
          </w:tcPr>
          <w:p>
            <w:pPr>
              <w:spacing w:after="0"/>
              <w:rPr>
                <w:sz w:val="17"/>
                <w:szCs w:val="17"/>
                <w:color w:val="auto"/>
              </w:rPr>
            </w:pPr>
          </w:p>
        </w:tc>
        <w:tc>
          <w:tcPr>
            <w:tcW w:w="180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90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2.</w:t>
              </w:r>
            </w:hyperlink>
          </w:p>
        </w:tc>
        <w:tc>
          <w:tcPr>
            <w:tcW w:w="8300" w:type="dxa"/>
            <w:vAlign w:val="bottom"/>
            <w:gridSpan w:val="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6460" w:type="dxa"/>
            <w:vAlign w:val="bottom"/>
            <w:tcBorders>
              <w:top w:val="single" w:sz="8" w:color="0000EE"/>
            </w:tcBorders>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840" w:type="dxa"/>
            <w:vAlign w:val="bottom"/>
            <w:gridSpan w:val="3"/>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30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Part II.</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Other Information</w:t>
        </w:r>
      </w:hyperlink>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640" w:type="dxa"/>
            <w:vAlign w:val="bottom"/>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260" w:type="dxa"/>
            <w:vAlign w:val="bottom"/>
          </w:tcPr>
          <w:p>
            <w:pPr>
              <w:spacing w:after="0"/>
              <w:rPr>
                <w:sz w:val="17"/>
                <w:szCs w:val="17"/>
                <w:color w:val="auto"/>
              </w:rPr>
            </w:pPr>
          </w:p>
        </w:tc>
        <w:tc>
          <w:tcPr>
            <w:tcW w:w="436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2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260" w:type="dxa"/>
            <w:vAlign w:val="bottom"/>
          </w:tcPr>
          <w:p>
            <w:pPr>
              <w:spacing w:after="0"/>
              <w:rPr>
                <w:sz w:val="24"/>
                <w:szCs w:val="24"/>
                <w:color w:val="auto"/>
              </w:rPr>
            </w:pPr>
          </w:p>
        </w:tc>
        <w:tc>
          <w:tcPr>
            <w:tcW w:w="4360" w:type="dxa"/>
            <w:vAlign w:val="bottom"/>
            <w:gridSpan w:val="3"/>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436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52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following unaudited consolidated financial statements and notes thereto of World Fuel Services Corporation and its subsidiaries have been prepared in accordance with the instructions to Quarterly Reports on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which are of a normal and recurring nature, have been made for the interim periods reported. Results of operations for the three and six months ended June 30, 2013 are not necessarily indicative of the results for the entire fiscal year. The unaudited consolidated financial statements and notes thereto included in this Quarterly Report on Form 10-Q for the quarterly period ended June 30, 2013 (“10-Q Report”) should be read in conjunction with the audited consolidated financial statements and notes thereto included in our Annual Report on Form 10-K for the fiscal year ended December 31, 2012 (“2012 10-K Report”). World Fuel Services Corporation (“World Fuel” or the “Company”) and its subsidiaries are collectively referred to in this 10-Q Report as “we,” “our” and “us.”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8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90"/>
              </w:rPr>
              <w:t>World Fuel Services Corporation and Subsidiaries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840" w:type="dxa"/>
            <w:vAlign w:val="bottom"/>
            <w:gridSpan w:val="2"/>
          </w:tcPr>
          <w:p>
            <w:pPr>
              <w:jc w:val="center"/>
              <w:ind w:right="750"/>
              <w:spacing w:after="0"/>
              <w:rPr>
                <w:sz w:val="20"/>
                <w:szCs w:val="20"/>
                <w:color w:val="auto"/>
              </w:rPr>
            </w:pPr>
            <w:r>
              <w:rPr>
                <w:rFonts w:ascii="Arial" w:cs="Arial" w:eastAsia="Arial" w:hAnsi="Arial"/>
                <w:sz w:val="18"/>
                <w:szCs w:val="18"/>
                <w:b w:val="1"/>
                <w:bCs w:val="1"/>
                <w:color w:val="auto"/>
                <w:w w:val="87"/>
              </w:rPr>
              <w:t>Consolidated Balance Sheets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40" w:type="dxa"/>
            <w:vAlign w:val="bottom"/>
            <w:gridSpan w:val="2"/>
          </w:tcPr>
          <w:p>
            <w:pPr>
              <w:jc w:val="center"/>
              <w:ind w:right="770"/>
              <w:spacing w:after="0"/>
              <w:rPr>
                <w:sz w:val="20"/>
                <w:szCs w:val="20"/>
                <w:color w:val="auto"/>
              </w:rPr>
            </w:pPr>
            <w:r>
              <w:rPr>
                <w:rFonts w:ascii="Arial" w:cs="Arial" w:eastAsia="Arial" w:hAnsi="Arial"/>
                <w:sz w:val="18"/>
                <w:szCs w:val="18"/>
                <w:color w:val="auto"/>
                <w:w w:val="89"/>
              </w:rPr>
              <w:t>(Unaudited - In thousands, except per share data)</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900" w:type="dxa"/>
            <w:vAlign w:val="bottom"/>
            <w:tcBorders>
              <w:bottom w:val="single" w:sz="8" w:color="CCEEFF"/>
            </w:tcBorders>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90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232,480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2,587,977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2,193,866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551,333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100,274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212,059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3,684,123</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gridSpan w:val="2"/>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136,851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9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467,749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w w:val="91"/>
              </w:rPr>
              <w:t>Identifiable intangible and other non-current assets</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240,415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243,343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4,529,138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8"/>
              </w:rPr>
              <w:t>Liabilities:</w:t>
            </w:r>
          </w:p>
        </w:tc>
        <w:tc>
          <w:tcPr>
            <w:tcW w:w="29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4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2,210,525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1,814,794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Accrued expenses and other current liabilities</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265,342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2,504,576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2,149,298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gridSpan w:val="2"/>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322,642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income tax liabilities, net</w:t>
            </w:r>
          </w:p>
        </w:tc>
        <w:tc>
          <w:tcPr>
            <w:tcW w:w="4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57,280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12,362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11,697</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CCEEFF"/>
            </w:tcBorders>
            <w:shd w:val="clear" w:color="auto" w:fill="CCEEFF"/>
          </w:tcPr>
          <w:p>
            <w:pPr>
              <w:spacing w:after="0"/>
              <w:rPr>
                <w:sz w:val="5"/>
                <w:szCs w:val="5"/>
                <w:color w:val="auto"/>
              </w:rPr>
            </w:pPr>
          </w:p>
        </w:tc>
        <w:tc>
          <w:tcPr>
            <w:tcW w:w="45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2,896,860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2,566,127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World Fuel shareholders’ equity: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$1.00 par value; 100 shares authorized, none issued</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100,000 shares authorized, 72,777 and 72,147 issued and outstanding as of</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June 30, 2013 and December 31, 2012, respectively</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728</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in excess of par value</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1,109,269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1,014,882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(25,189)</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World Fuel shareholders’ equity</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1,606,996</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equity</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25,282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1,632,278</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1,541,624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4,529,138</w:t>
            </w: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10,479,604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9,618,797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20,663,633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19,097,852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10,291,146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9,446,674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20,292,796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18,768,494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188,458</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172,123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72,745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142,174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Provision for bad debt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3,812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44,268</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89,174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119,722</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rPr>
              <w:t>Non-operating expenses, net: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Other (expense) income, net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63,965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including noncontrolling interest</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52,357</w:t>
            </w: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103,468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World Fuel</w:t>
            </w: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51,016</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48,600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99,741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95,015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 weighted average common shares</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71,516</w:t>
            </w:r>
          </w:p>
        </w:tc>
        <w:tc>
          <w:tcPr>
            <w:tcW w:w="34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71,173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71,483</w:t>
            </w:r>
          </w:p>
        </w:tc>
        <w:tc>
          <w:tcPr>
            <w:tcW w:w="3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71,083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0.71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72,018</w:t>
            </w:r>
          </w:p>
        </w:tc>
        <w:tc>
          <w:tcPr>
            <w:tcW w:w="34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71,767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72,099</w:t>
            </w:r>
          </w:p>
        </w:tc>
        <w:tc>
          <w:tcPr>
            <w:tcW w:w="3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71,773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including noncontrolling interest</w:t>
            </w:r>
          </w:p>
        </w:tc>
        <w:tc>
          <w:tcPr>
            <w:tcW w:w="5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52,357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54,882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103,468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(10,205)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4"/>
              </w:rPr>
              <w:t>Cash flow hedges, net of income taxes of $2 and $23 for the</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w w:val="98"/>
              </w:rPr>
              <w:t>three and six months ended June 30, 2013, respectively</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income including noncontrolling interest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42,146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94,297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7"/>
              </w:rPr>
              <w:t>Comprehensive income attributable to noncontrolling interest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Comprehensive income attributable to World Fuel</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40,805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90,570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20"/>
          </w:cols>
          <w:pgMar w:left="240" w:top="140" w:right="239" w:bottom="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3" w:gutter="0" w:footer="0" w:header="0"/>
          <w:type w:val="continuous"/>
        </w:sectPr>
      </w:pPr>
    </w:p>
    <w:bookmarkStart w:id="3" w:name="page4"/>
    <w:bookmarkEnd w:id="3"/>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8"/>
            <w:vMerge w:val="restart"/>
          </w:tcPr>
          <w:p>
            <w:pPr>
              <w:jc w:val="right"/>
              <w:ind w:right="4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World Fuel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2012</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72,147</w:t>
            </w:r>
          </w:p>
        </w:tc>
        <w:tc>
          <w:tcPr>
            <w:tcW w:w="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517,589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1,014,882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(16,018)</w:t>
            </w:r>
          </w:p>
        </w:tc>
        <w:tc>
          <w:tcPr>
            <w:tcW w:w="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1,517,174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24,450</w:t>
            </w: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1,541,624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99,741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99,741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3,727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dividends declared</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5"/>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(5,354)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Distribution of noncontrolling interest</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(2,895)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Amortization of share-based payment</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awards</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8,102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8,102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ind w:left="160"/>
              <w:spacing w:after="0" w:line="130" w:lineRule="exact"/>
              <w:rPr>
                <w:sz w:val="20"/>
                <w:szCs w:val="20"/>
                <w:color w:val="auto"/>
              </w:rPr>
            </w:pPr>
            <w:r>
              <w:rPr>
                <w:rFonts w:ascii="Arial" w:cs="Arial" w:eastAsia="Arial" w:hAnsi="Arial"/>
                <w:sz w:val="14"/>
                <w:szCs w:val="14"/>
                <w:color w:val="auto"/>
              </w:rPr>
              <w:t>Issuance of common stock related to</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340"/>
              <w:spacing w:after="0" w:line="149" w:lineRule="exact"/>
              <w:rPr>
                <w:sz w:val="20"/>
                <w:szCs w:val="20"/>
                <w:color w:val="auto"/>
              </w:rPr>
            </w:pPr>
            <w:r>
              <w:rPr>
                <w:rFonts w:ascii="Arial" w:cs="Arial" w:eastAsia="Arial" w:hAnsi="Arial"/>
                <w:sz w:val="14"/>
                <w:szCs w:val="14"/>
                <w:color w:val="auto"/>
              </w:rPr>
              <w:t>share-based payment awards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340"/>
              <w:spacing w:after="0" w:line="149" w:lineRule="exact"/>
              <w:rPr>
                <w:sz w:val="20"/>
                <w:szCs w:val="20"/>
                <w:color w:val="auto"/>
              </w:rPr>
            </w:pPr>
            <w:r>
              <w:rPr>
                <w:rFonts w:ascii="Arial" w:cs="Arial" w:eastAsia="Arial" w:hAnsi="Arial"/>
                <w:sz w:val="14"/>
                <w:szCs w:val="14"/>
                <w:color w:val="auto"/>
              </w:rPr>
              <w:t>including income tax benefit 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360"/>
              <w:spacing w:after="0"/>
              <w:rPr>
                <w:sz w:val="20"/>
                <w:szCs w:val="20"/>
                <w:color w:val="auto"/>
              </w:rPr>
            </w:pPr>
            <w:r>
              <w:rPr>
                <w:rFonts w:ascii="Arial" w:cs="Arial" w:eastAsia="Arial" w:hAnsi="Arial"/>
                <w:sz w:val="14"/>
                <w:szCs w:val="14"/>
                <w:color w:val="auto"/>
              </w:rPr>
              <w:t>$2,712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2,705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2,712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Purchases of common stock tendered by</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employees to satisfy the required</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withholding taxes related to share-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based payment awards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(6,208)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(6,208)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(9,171)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June 30, 2013</w:t>
            </w:r>
          </w:p>
        </w:tc>
        <w:tc>
          <w:tcPr>
            <w:tcW w:w="6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72,777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522,188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1,109,269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(25,189)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1,606,996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1,632,278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 in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24"/>
                <w:szCs w:val="24"/>
                <w:color w:val="auto"/>
              </w:rPr>
            </w:pPr>
          </w:p>
        </w:tc>
        <w:tc>
          <w:tcPr>
            <w:tcW w:w="12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Noncontrolling</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8"/>
            <w:vMerge w:val="restart"/>
          </w:tcPr>
          <w:p>
            <w:pPr>
              <w:jc w:val="right"/>
              <w:ind w:right="46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World Fuel</w:t>
            </w: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12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gridSpan w:val="2"/>
          </w:tcPr>
          <w:p>
            <w:pPr>
              <w:spacing w:after="0"/>
              <w:rPr>
                <w:sz w:val="12"/>
                <w:szCs w:val="12"/>
                <w:color w:val="auto"/>
              </w:rPr>
            </w:pPr>
          </w:p>
        </w:tc>
        <w:tc>
          <w:tcPr>
            <w:tcW w:w="98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7"/>
              </w:rPr>
              <w:t>Par Value</w:t>
            </w:r>
          </w:p>
        </w:tc>
        <w:tc>
          <w:tcPr>
            <w:tcW w:w="120" w:type="dxa"/>
            <w:vAlign w:val="bottom"/>
          </w:tcPr>
          <w:p>
            <w:pPr>
              <w:spacing w:after="0"/>
              <w:rPr>
                <w:sz w:val="12"/>
                <w:szCs w:val="12"/>
                <w:color w:val="auto"/>
              </w:rPr>
            </w:pPr>
          </w:p>
        </w:tc>
        <w:tc>
          <w:tcPr>
            <w:tcW w:w="8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2011</w:t>
            </w: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71,154</w:t>
            </w:r>
          </w:p>
        </w:tc>
        <w:tc>
          <w:tcPr>
            <w:tcW w:w="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502,551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836,222</w:t>
            </w:r>
          </w:p>
        </w:tc>
        <w:tc>
          <w:tcPr>
            <w:tcW w:w="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1,332,961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13,757</w:t>
            </w:r>
          </w:p>
        </w:tc>
        <w:tc>
          <w:tcPr>
            <w:tcW w:w="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1,346,718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95,015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8,413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dividends declared</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(5,350)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Distribution of noncontrolling interest</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Amortization of share-based payment</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awards</w:t>
            </w:r>
          </w:p>
        </w:tc>
        <w:tc>
          <w:tcPr>
            <w:tcW w:w="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5,487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5,487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tcPr>
          <w:p>
            <w:pPr>
              <w:ind w:left="160"/>
              <w:spacing w:after="0" w:line="130" w:lineRule="exact"/>
              <w:rPr>
                <w:sz w:val="20"/>
                <w:szCs w:val="20"/>
                <w:color w:val="auto"/>
              </w:rPr>
            </w:pPr>
            <w:r>
              <w:rPr>
                <w:rFonts w:ascii="Arial" w:cs="Arial" w:eastAsia="Arial" w:hAnsi="Arial"/>
                <w:sz w:val="14"/>
                <w:szCs w:val="14"/>
                <w:color w:val="auto"/>
              </w:rPr>
              <w:t>Issuance of common stock related to</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340"/>
              <w:spacing w:after="0"/>
              <w:rPr>
                <w:sz w:val="20"/>
                <w:szCs w:val="20"/>
                <w:color w:val="auto"/>
              </w:rPr>
            </w:pPr>
            <w:r>
              <w:rPr>
                <w:rFonts w:ascii="Arial" w:cs="Arial" w:eastAsia="Arial" w:hAnsi="Arial"/>
                <w:sz w:val="14"/>
                <w:szCs w:val="14"/>
                <w:color w:val="auto"/>
              </w:rPr>
              <w:t>share-based payment awards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2,721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2,730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Purchases of common stock tendered by</w:t>
            </w: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employees to satisfy the required</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withholding taxes related to share-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based payment awards</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(4,546)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as of June 30, 2012</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72,058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506,213</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925,887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(14,603</w:t>
            </w:r>
          </w:p>
        </w:tc>
        <w:tc>
          <w:tcPr>
            <w:tcW w:w="1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4"/>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1,418,218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20,850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1,439,068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For the Six Months ended June 30,</w:t>
            </w:r>
          </w:p>
        </w:tc>
      </w:tr>
      <w:tr>
        <w:trPr>
          <w:trHeight w:val="142"/>
        </w:trPr>
        <w:tc>
          <w:tcPr>
            <w:tcW w:w="83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320" w:type="dxa"/>
            <w:vAlign w:val="bottom"/>
            <w:shd w:val="clear" w:color="auto" w:fill="CCEEFF"/>
          </w:tcPr>
          <w:p>
            <w:pPr>
              <w:jc w:val="center"/>
              <w:ind w:right="5550"/>
              <w:spacing w:after="0" w:line="196" w:lineRule="exact"/>
              <w:rPr>
                <w:sz w:val="20"/>
                <w:szCs w:val="20"/>
                <w:color w:val="auto"/>
              </w:rPr>
            </w:pPr>
            <w:r>
              <w:rPr>
                <w:rFonts w:ascii="Arial" w:cs="Arial" w:eastAsia="Arial" w:hAnsi="Arial"/>
                <w:sz w:val="18"/>
                <w:szCs w:val="18"/>
                <w:color w:val="auto"/>
                <w:w w:val="93"/>
              </w:rPr>
              <w:t>Cash flows from 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Net income including noncontrolling interest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103,468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103,428</w:t>
            </w:r>
          </w:p>
        </w:tc>
      </w:tr>
      <w:tr>
        <w:trPr>
          <w:trHeight w:val="182"/>
        </w:trPr>
        <w:tc>
          <w:tcPr>
            <w:tcW w:w="83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w w:val="99"/>
              </w:rPr>
              <w:t>Adjustments to reconcile net income including noncontrolling interest to net cash provided by (used in)</w:t>
            </w: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832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22,287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17,668</w:t>
            </w:r>
          </w:p>
        </w:tc>
      </w:tr>
      <w:tr>
        <w:trPr>
          <w:trHeight w:val="216"/>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Provision for bad debt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8320" w:type="dxa"/>
            <w:vAlign w:val="bottom"/>
          </w:tcPr>
          <w:p>
            <w:pPr>
              <w:ind w:left="540"/>
              <w:spacing w:after="0"/>
              <w:rPr>
                <w:sz w:val="20"/>
                <w:szCs w:val="20"/>
                <w:color w:val="auto"/>
              </w:rPr>
            </w:pPr>
            <w:r>
              <w:rPr>
                <w:rFonts w:ascii="Arial" w:cs="Arial" w:eastAsia="Arial" w:hAnsi="Arial"/>
                <w:sz w:val="18"/>
                <w:szCs w:val="18"/>
                <w:color w:val="auto"/>
              </w:rPr>
              <w:t>Share-based payment award compensation costs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8,197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5,957</w:t>
            </w:r>
          </w:p>
        </w:tc>
      </w:tr>
      <w:tr>
        <w:trPr>
          <w:trHeight w:val="216"/>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 provision</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r>
      <w:tr>
        <w:trPr>
          <w:trHeight w:val="216"/>
        </w:trPr>
        <w:tc>
          <w:tcPr>
            <w:tcW w:w="8320" w:type="dxa"/>
            <w:vAlign w:val="bottom"/>
          </w:tcPr>
          <w:p>
            <w:pPr>
              <w:ind w:left="540"/>
              <w:spacing w:after="0"/>
              <w:rPr>
                <w:sz w:val="20"/>
                <w:szCs w:val="20"/>
                <w:color w:val="auto"/>
              </w:rPr>
            </w:pPr>
            <w:r>
              <w:rPr>
                <w:rFonts w:ascii="Arial" w:cs="Arial" w:eastAsia="Arial" w:hAnsi="Arial"/>
                <w:sz w:val="18"/>
                <w:szCs w:val="18"/>
                <w:color w:val="auto"/>
              </w:rPr>
              <w:t>Extinguishment of liabilities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(7,381)</w:t>
            </w:r>
          </w:p>
        </w:tc>
      </w:tr>
      <w:tr>
        <w:trPr>
          <w:trHeight w:val="216"/>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Foreign currency gains, net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(4,843)</w:t>
            </w:r>
          </w:p>
        </w:tc>
      </w:tr>
      <w:tr>
        <w:trPr>
          <w:trHeight w:val="216"/>
        </w:trPr>
        <w:tc>
          <w:tcPr>
            <w:tcW w:w="8320" w:type="dxa"/>
            <w:vAlign w:val="bottom"/>
          </w:tcPr>
          <w:p>
            <w:pPr>
              <w:ind w:left="5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r>
      <w:tr>
        <w:trPr>
          <w:trHeight w:val="216"/>
        </w:trPr>
        <w:tc>
          <w:tcPr>
            <w:tcW w:w="8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Changes in assets and liabilities, net of acquisitions: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9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(381,679)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42,097</w:t>
            </w:r>
          </w:p>
        </w:tc>
      </w:tr>
      <w:tr>
        <w:trPr>
          <w:trHeight w:val="216"/>
        </w:trPr>
        <w:tc>
          <w:tcPr>
            <w:tcW w:w="8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(76,710)</w:t>
            </w:r>
          </w:p>
        </w:tc>
      </w:tr>
      <w:tr>
        <w:trPr>
          <w:trHeight w:val="216"/>
        </w:trPr>
        <w:tc>
          <w:tcPr>
            <w:tcW w:w="832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53,497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(50,619)</w:t>
            </w:r>
          </w:p>
        </w:tc>
      </w:tr>
      <w:tr>
        <w:trPr>
          <w:trHeight w:val="216"/>
        </w:trPr>
        <w:tc>
          <w:tcPr>
            <w:tcW w:w="8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(126,805)</w:t>
            </w:r>
          </w:p>
        </w:tc>
      </w:tr>
      <w:tr>
        <w:trPr>
          <w:trHeight w:val="216"/>
        </w:trPr>
        <w:tc>
          <w:tcPr>
            <w:tcW w:w="8320" w:type="dxa"/>
            <w:vAlign w:val="bottom"/>
          </w:tcPr>
          <w:p>
            <w:pPr>
              <w:ind w:left="900"/>
              <w:spacing w:after="0"/>
              <w:rPr>
                <w:sz w:val="20"/>
                <w:szCs w:val="20"/>
                <w:color w:val="auto"/>
              </w:rPr>
            </w:pPr>
            <w:r>
              <w:rPr>
                <w:rFonts w:ascii="Arial" w:cs="Arial" w:eastAsia="Arial" w:hAnsi="Arial"/>
                <w:sz w:val="18"/>
                <w:szCs w:val="18"/>
                <w:color w:val="auto"/>
              </w:rPr>
              <w:t>Cash collateral with financial counterparties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(128,058)</w:t>
            </w:r>
          </w:p>
        </w:tc>
      </w:tr>
      <w:tr>
        <w:trPr>
          <w:trHeight w:val="216"/>
        </w:trPr>
        <w:tc>
          <w:tcPr>
            <w:tcW w:w="8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w:t>
            </w:r>
          </w:p>
        </w:tc>
      </w:tr>
      <w:tr>
        <w:trPr>
          <w:trHeight w:val="216"/>
        </w:trPr>
        <w:tc>
          <w:tcPr>
            <w:tcW w:w="832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376,298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39,197</w:t>
            </w:r>
          </w:p>
        </w:tc>
      </w:tr>
      <w:tr>
        <w:trPr>
          <w:trHeight w:val="216"/>
        </w:trPr>
        <w:tc>
          <w:tcPr>
            <w:tcW w:w="8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126,976</w:t>
            </w:r>
          </w:p>
        </w:tc>
      </w:tr>
      <w:tr>
        <w:trPr>
          <w:trHeight w:val="216"/>
        </w:trPr>
        <w:tc>
          <w:tcPr>
            <w:tcW w:w="8320" w:type="dxa"/>
            <w:vAlign w:val="bottom"/>
          </w:tcPr>
          <w:p>
            <w:pPr>
              <w:ind w:left="900"/>
              <w:spacing w:after="0"/>
              <w:rPr>
                <w:sz w:val="20"/>
                <w:szCs w:val="20"/>
                <w:color w:val="auto"/>
              </w:rPr>
            </w:pPr>
            <w:r>
              <w:rPr>
                <w:rFonts w:ascii="Arial" w:cs="Arial" w:eastAsia="Arial" w:hAnsi="Arial"/>
                <w:sz w:val="18"/>
                <w:szCs w:val="18"/>
                <w:color w:val="auto"/>
              </w:rPr>
              <w:t>Non-current income tax, net and other long-term liabilities</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(3,676)</w:t>
            </w:r>
          </w:p>
        </w:tc>
      </w:tr>
      <w:tr>
        <w:trPr>
          <w:trHeight w:val="210"/>
        </w:trPr>
        <w:tc>
          <w:tcPr>
            <w:tcW w:w="8320" w:type="dxa"/>
            <w:vAlign w:val="bottom"/>
            <w:tcBorders>
              <w:top w:val="single" w:sz="8" w:color="CCEEFF"/>
            </w:tcBorders>
            <w:shd w:val="clear" w:color="auto" w:fill="CCEEFF"/>
          </w:tcPr>
          <w:p>
            <w:pPr>
              <w:jc w:val="center"/>
              <w:ind w:right="5510"/>
              <w:spacing w:after="0"/>
              <w:rPr>
                <w:sz w:val="20"/>
                <w:szCs w:val="20"/>
                <w:color w:val="auto"/>
              </w:rPr>
            </w:pPr>
            <w:r>
              <w:rPr>
                <w:rFonts w:ascii="Arial" w:cs="Arial" w:eastAsia="Arial" w:hAnsi="Arial"/>
                <w:sz w:val="18"/>
                <w:szCs w:val="18"/>
                <w:color w:val="auto"/>
                <w:w w:val="90"/>
              </w:rPr>
              <w:t>Total adjustments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134,572</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Borders>
              <w:bottom w:val="single" w:sz="8" w:color="CCEEFF"/>
            </w:tcBorders>
          </w:tcPr>
          <w:p>
            <w:pPr>
              <w:spacing w:after="0"/>
              <w:rPr>
                <w:sz w:val="18"/>
                <w:szCs w:val="18"/>
                <w:color w:val="auto"/>
              </w:rPr>
            </w:pPr>
          </w:p>
        </w:tc>
      </w:tr>
      <w:tr>
        <w:trPr>
          <w:trHeight w:val="196"/>
        </w:trPr>
        <w:tc>
          <w:tcPr>
            <w:tcW w:w="8320" w:type="dxa"/>
            <w:vAlign w:val="bottom"/>
            <w:shd w:val="clear" w:color="auto" w:fill="CCEEFF"/>
          </w:tcPr>
          <w:p>
            <w:pPr>
              <w:jc w:val="center"/>
              <w:ind w:right="5570"/>
              <w:spacing w:after="0" w:line="196" w:lineRule="exact"/>
              <w:rPr>
                <w:sz w:val="20"/>
                <w:szCs w:val="20"/>
                <w:color w:val="auto"/>
              </w:rPr>
            </w:pPr>
            <w:r>
              <w:rPr>
                <w:rFonts w:ascii="Arial" w:cs="Arial" w:eastAsia="Arial" w:hAnsi="Arial"/>
                <w:sz w:val="18"/>
                <w:szCs w:val="18"/>
                <w:color w:val="auto"/>
                <w:w w:val="93"/>
              </w:rPr>
              <w:t>Cash flows from investing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Acquisitions and other investments, net of cash acquired</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(7,697)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(29,038)</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(9,567)</w:t>
            </w:r>
          </w:p>
        </w:tc>
      </w:tr>
    </w:tbl>
    <w:p>
      <w:pPr>
        <w:sectPr>
          <w:pgSz w:w="11900" w:h="16897" w:orient="portrait"/>
          <w:cols w:equalWidth="0" w:num="1">
            <w:col w:w="11420"/>
          </w:cols>
          <w:pgMar w:left="240" w:top="36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3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(21,588)</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short-term investments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21,588</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Issuance of notes receivable</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notes receivable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1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(32,341)</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Borders>
              <w:bottom w:val="single" w:sz="8" w:color="CCEEFF"/>
            </w:tcBorders>
          </w:tcPr>
          <w:p>
            <w:pPr>
              <w:spacing w:after="0"/>
              <w:rPr>
                <w:sz w:val="18"/>
                <w:szCs w:val="18"/>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Borrowings under senior revolving credit facility and senior term loans</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2,501,500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2,008,000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senior revolving credit facility and senior term loans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(2,523,500)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(1,960,000)</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Borrowings of other debt</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2,397</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other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(6,103)</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Dividends paid on common stock</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(5,342)</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(5,350)</w:t>
            </w:r>
          </w:p>
        </w:tc>
      </w:tr>
      <w:tr>
        <w:trPr>
          <w:trHeight w:val="21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earn-out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(4,304)</w:t>
            </w:r>
          </w:p>
        </w:tc>
      </w:tr>
      <w:tr>
        <w:trPr>
          <w:trHeight w:val="216"/>
        </w:trPr>
        <w:tc>
          <w:tcPr>
            <w:tcW w:w="8320" w:type="dxa"/>
            <w:vAlign w:val="bottom"/>
          </w:tcPr>
          <w:p>
            <w:pPr>
              <w:ind w:left="180"/>
              <w:spacing w:after="0"/>
              <w:rPr>
                <w:sz w:val="20"/>
                <w:szCs w:val="20"/>
                <w:color w:val="auto"/>
              </w:rPr>
            </w:pPr>
            <w:r>
              <w:rPr>
                <w:rFonts w:ascii="Arial" w:cs="Arial" w:eastAsia="Arial" w:hAnsi="Arial"/>
                <w:sz w:val="18"/>
                <w:szCs w:val="18"/>
                <w:color w:val="auto"/>
              </w:rPr>
              <w:t>Distribution of noncontrolling interest</w:t>
            </w:r>
          </w:p>
        </w:tc>
        <w:tc>
          <w:tcPr>
            <w:tcW w:w="3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(1,401)</w:t>
            </w:r>
          </w:p>
        </w:tc>
      </w:tr>
      <w:tr>
        <w:trPr>
          <w:trHeight w:val="202"/>
        </w:trPr>
        <w:tc>
          <w:tcPr>
            <w:tcW w:w="8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Federal and state tax benefits resulting from tax deductions in excess of the compensation cost recognized</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 share-based payment awards</w:t>
            </w:r>
          </w:p>
        </w:tc>
        <w:tc>
          <w:tcPr>
            <w:tcW w:w="3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2,712</w:t>
            </w:r>
          </w:p>
        </w:tc>
        <w:tc>
          <w:tcPr>
            <w:tcW w:w="3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20" w:type="dxa"/>
            <w:vAlign w:val="bottom"/>
          </w:tcPr>
          <w:p>
            <w:pPr>
              <w:ind w:left="180"/>
              <w:spacing w:after="0" w:line="201" w:lineRule="exact"/>
              <w:rPr>
                <w:sz w:val="20"/>
                <w:szCs w:val="20"/>
                <w:color w:val="auto"/>
              </w:rPr>
            </w:pPr>
            <w:r>
              <w:rPr>
                <w:rFonts w:ascii="Arial" w:cs="Arial" w:eastAsia="Arial" w:hAnsi="Arial"/>
                <w:sz w:val="18"/>
                <w:szCs w:val="18"/>
                <w:color w:val="auto"/>
                <w:w w:val="99"/>
              </w:rPr>
              <w:t>Purchases of common stock tendered by employees to satisfy the required withholding taxes related to</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share-based payment awards</w:t>
            </w:r>
          </w:p>
        </w:tc>
        <w:tc>
          <w:tcPr>
            <w:tcW w:w="3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(6,208)</w:t>
            </w:r>
          </w:p>
        </w:tc>
        <w:tc>
          <w:tcPr>
            <w:tcW w:w="3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(4,546)</w:t>
            </w:r>
          </w:p>
        </w:tc>
      </w:tr>
      <w:tr>
        <w:trPr>
          <w:trHeight w:val="210"/>
        </w:trPr>
        <w:tc>
          <w:tcPr>
            <w:tcW w:w="8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18"/>
                <w:szCs w:val="18"/>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(68,739)</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Cash and cash equivalents, as of beginning of period</w:t>
            </w:r>
          </w:p>
        </w:tc>
        <w:tc>
          <w:tcPr>
            <w:tcW w:w="3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172,740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205,415</w:t>
            </w:r>
          </w:p>
        </w:tc>
      </w:tr>
      <w:tr>
        <w:trPr>
          <w:trHeight w:val="210"/>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as of end of period</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ind w:right="640" w:firstLine="252"/>
        <w:spacing w:after="0" w:line="277" w:lineRule="auto"/>
        <w:rPr>
          <w:sz w:val="20"/>
          <w:szCs w:val="20"/>
          <w:color w:val="auto"/>
        </w:rPr>
      </w:pPr>
      <w:r>
        <w:rPr>
          <w:rFonts w:ascii="Arial" w:cs="Arial" w:eastAsia="Arial" w:hAnsi="Arial"/>
          <w:sz w:val="18"/>
          <w:szCs w:val="18"/>
          <w:color w:val="auto"/>
        </w:rPr>
        <w:t>We declared cash dividends of $0.0375 per common share of $2.7 million for the three months ended June 30, 2013 and 2012, which were paid in July 2013 and 2012,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2013, we had accrued capital expenditures totaling $7.3 million, which were recorded in accounts payable.</w:t>
      </w:r>
    </w:p>
    <w:p>
      <w:pPr>
        <w:spacing w:after="0" w:line="225" w:lineRule="exact"/>
        <w:rPr>
          <w:sz w:val="20"/>
          <w:szCs w:val="20"/>
          <w:color w:val="auto"/>
        </w:rPr>
      </w:pPr>
    </w:p>
    <w:p>
      <w:pPr>
        <w:ind w:right="360" w:firstLine="252"/>
        <w:spacing w:after="0" w:line="277" w:lineRule="auto"/>
        <w:rPr>
          <w:sz w:val="20"/>
          <w:szCs w:val="20"/>
          <w:color w:val="auto"/>
        </w:rPr>
      </w:pPr>
      <w:r>
        <w:rPr>
          <w:rFonts w:ascii="Arial" w:cs="Arial" w:eastAsia="Arial" w:hAnsi="Arial"/>
          <w:sz w:val="18"/>
          <w:szCs w:val="18"/>
          <w:color w:val="auto"/>
        </w:rPr>
        <w:t>During the six months ended June 30, 2012, we granted equity awards to certain employees of which $2.7 million was previously recorded in accrued expenses and other current liabilities.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connection with our acquisitions for the period presented, the following table presents the assets acquired, net of cash and liabilities assumed:</w:t>
      </w:r>
    </w:p>
    <w:p>
      <w:pPr>
        <w:spacing w:after="0" w:line="228"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For the Six Months ended June 30,</w:t>
            </w:r>
          </w:p>
        </w:tc>
      </w:tr>
      <w:tr>
        <w:trPr>
          <w:trHeight w:val="142"/>
        </w:trPr>
        <w:tc>
          <w:tcPr>
            <w:tcW w:w="41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99"/>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r>
      <w:tr>
        <w:trPr>
          <w:trHeight w:val="210"/>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 acquired, net of cash</w:t>
            </w:r>
          </w:p>
        </w:tc>
        <w:tc>
          <w:tcPr>
            <w:tcW w:w="2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29,947</w:t>
            </w:r>
          </w:p>
        </w:tc>
        <w:tc>
          <w:tcPr>
            <w:tcW w:w="2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4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20,471</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320" w:firstLine="252"/>
        <w:spacing w:after="0" w:line="342" w:lineRule="auto"/>
        <w:rPr>
          <w:sz w:val="20"/>
          <w:szCs w:val="20"/>
          <w:color w:val="auto"/>
        </w:rPr>
      </w:pPr>
      <w:r>
        <w:rPr>
          <w:rFonts w:ascii="Arial" w:cs="Arial" w:eastAsia="Arial" w:hAnsi="Arial"/>
          <w:sz w:val="16"/>
          <w:szCs w:val="16"/>
          <w:color w:val="auto"/>
        </w:rPr>
        <w:t>In connection with our acquisitions during the six months ended June 30, 2013, we recorded a purchase price adjustment of $1.6 million which will be paid in a subsequent quarter. In connection with our acquisitions during the six months ended June 30, 2012, we issued promissory notes of $2.2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Except as updated below, the significant accounting policies we use for quarterly financial reporting are the same as those disclosed in Note 1 of the “Notes to the Consolidated Financial Statements” included in our 2012 10-K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accompanying consolidated financial statements and related notes include the accounts of our wholly-owned and majority-owned subsidiaries and joint ventures where we exercise operational control or have a primary benefit of its profits. All significant intercompany accounts, transactions and profits are eliminated upon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ectPr>
          <w:pgSz w:w="11900" w:h="16838" w:orient="portrait"/>
          <w:cols w:equalWidth="0" w:num="1">
            <w:col w:w="11420"/>
          </w:cols>
          <w:pgMar w:left="240" w:top="125" w:right="239" w:bottom="0" w:gutter="0" w:footer="0" w:header="0"/>
        </w:sectPr>
      </w:pPr>
    </w:p>
    <w:bookmarkStart w:id="5" w:name="page6"/>
    <w:bookmarkEnd w:id="5"/>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amounts in prior periods have been reclassified to conform to the current period’s presentation.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We have a Receivables Purchase Agreement (“RPA”) to sell up to $125.0 million of certain of our accounts receivable. On our sold receivables, we are charged a discount margin equivalent to a floating market rate plus 2% and certain other fees, as applicable and we retain a beneficial interest in certain of the sold accounts receivable which is included in accounts receivable, net in the accompanying consolidated balance sheets.</w:t>
      </w:r>
    </w:p>
    <w:p>
      <w:pPr>
        <w:spacing w:after="0" w:line="16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June 30, 2013, we had sold accounts receivable of $68.0 million and retained a beneficial interest of $5.3 million. During the three and six months ended June 30, 2013, the fees and interest paid under the receivables purchase agreement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During the six months ended June 30, 2013, based on our ongoing fair value assessment of certain of our 2012 acquisitions, we recorded a $2.0 million reduction in goodwill within our land segment principally due to a $3.3 million increase in identifiable intangible assets, partially offset by a $0.9 million decrease in other acquired assets and a $0.4 million increase in assumed liabilities. Additionally, we reclassified $6.5 million in goodwill from our land segment to our aviation segment. We had additional goodwill reductions of $0.5 million and $0.2 million as a result of foreign currency translation adjustments of our non-U.S. dollar functional currency subsidiaries in our marine and aviation segments,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Presentation of an Unrecognized Tax Benefit When a Net Loss Carryforward, a Similar Tax Loss, or a Tax Credit Carryforward Exists. </w:t>
      </w:r>
      <w:r>
        <w:rPr>
          <w:rFonts w:ascii="Arial" w:cs="Arial" w:eastAsia="Arial" w:hAnsi="Arial"/>
          <w:sz w:val="17"/>
          <w:szCs w:val="17"/>
          <w:color w:val="auto"/>
        </w:rPr>
        <w:t>In July 2013,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Accounting Standards Board (“FASB”) issued an accounting standards update (“ASU”) on the presentation of an unrecognized tax benefit when a net operating loss carryforward exists. Under this guidance, an unrecognized tax benefit, or a portion of an unrecognized tax benefit, should be presented in the financial statements as a reduction to a deferred tax asset for a net operating loss carryforward. This update is effective for fiscal years, and interim periods within those years, beginning after December 15, 2013. We are currently evaluating whether the adoption of this new guidance will have a significant impact on our consolidated financial statements and disclosures.</w:t>
      </w:r>
    </w:p>
    <w:p>
      <w:pPr>
        <w:spacing w:after="0" w:line="17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Inclusion of the Fed Funds Effective Swap Rate (or Overnight Index Swap Rate) as a Benchmark Interest Rate for Hedge Accounting Purposes.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color w:val="auto"/>
        </w:rPr>
        <w:t>July 2013, the FASB issued an ASU which includes amendments permitting the Fed Funds Effective Swap Rate to be used as a U.S. benchmark interest rate for hedge accounting purposes, in addition to U.S. Government and London Interbank Offered Rate. The amendments also remove the restriction on using different benchmark rates for similar hedges. This update is effective prospectively for qualifying new or redesignated hedging relationships entered into on or after July 17, 2013. We do not believe adoption of this new guidance will have a significant impact on our consolidated financial statements and disclosures.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 xml:space="preserve">Foreign Currency Matters Parent’s Accounting for the Cumulative Translation Adjustment upon Derecognition of Certain Foreign Subsidiaries.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2013, the FASB issued an ASU aimed at resolving the diversity in practice of accounting for the release of the cumulative translation adjustment into net income when a parent either sells a part or all of its investment in a foreign entity or no longer holds a controlling financial interest in a subsidiary or group of assets that is a nonprofit activity or a business within a foreign entity. In addition, the amendments in this ASU resolve the diversity in practice for the treatment of business combinations achieved in stages (sometimes also referred to as step acquisitions) involving a foreign entity. This update is effective for fiscal years, and interim periods within those years, beginning after December 15, 2013. We are currently evaluating whether the adoption of this new guidance will have a significant impact on our consolidated financial statements and disclosures.</w:t>
      </w:r>
    </w:p>
    <w:p>
      <w:pPr>
        <w:spacing w:after="0" w:line="17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 xml:space="preserve">Disclosure Obligations Resulting from Joint and Several Liability Arrangements. </w:t>
      </w:r>
      <w:r>
        <w:rPr>
          <w:rFonts w:ascii="Arial" w:cs="Arial" w:eastAsia="Arial" w:hAnsi="Arial"/>
          <w:sz w:val="16"/>
          <w:szCs w:val="16"/>
          <w:color w:val="auto"/>
        </w:rPr>
        <w:t>In February 2013, the FASB issued an ASU clarifying the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recognition, measurement and disclosure of obligations resulting from joint and several liability arrangements for which the total amount of the obligation within the scope of this ASU is fixed at the reporting date, except for obligations addressed within existing guidance in U.S. GAAP. This update is effective for fiscal years, and interim periods within those years, beginning after December 15, 2013 and will be applied retrospectively. We are currently evaluating whether the adoption of this new guidance will have a significant impact on our consolidated financial statements and disclosures.</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Disclosure Relating to Amounts Reclassified Out of Accumulated Other Comprehensive Income. </w:t>
      </w:r>
      <w:r>
        <w:rPr>
          <w:rFonts w:ascii="Arial" w:cs="Arial" w:eastAsia="Arial" w:hAnsi="Arial"/>
          <w:sz w:val="18"/>
          <w:szCs w:val="18"/>
          <w:color w:val="auto"/>
        </w:rPr>
        <w:t>In February 2013, the FASB issued an ASU amending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information that companies will be required to present relating to reclassifications out of accumulated other comprehensive income. The amendments require presentation, either on the face of the financial statements or in the notes, of amounts reclassified out of accumulated other comprehensive income by component and by net income line item. This update is effective for fiscal years, and interim periods within those years, beginning after December 15, 2012. The adoption of this ASU resulted in additional derivative disclosures included in Note 2 - Derivatives and did not have a significant impact on our consolidated financial statements.</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Disclosure About Offsetting Assets and Liabilities. </w:t>
      </w:r>
      <w:r>
        <w:rPr>
          <w:rFonts w:ascii="Arial" w:cs="Arial" w:eastAsia="Arial" w:hAnsi="Arial"/>
          <w:sz w:val="17"/>
          <w:szCs w:val="17"/>
          <w:color w:val="auto"/>
        </w:rPr>
        <w:t>In December 2011, the FASB issued an ASU which requires companies to disclose information about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instruments that have been offset and related arrangements to enable users of its financial statements to understand the effect of those arrangements on its financial position. Companies will be required to provide both net (offset amounts) and gross information in the notes to the financial statements for relevant assets and liabilities that are offset. In January 2013, the FASB issued an ASU clarifying that the requirement to disclose information about financial instruments that have been offset and related arrangements applies only to derivatives, repurchase agreements and reverse purchase agreements, and securities borrowing and lending transactions that are either offset in accordance with specific criteria contained in the FASB Accounting Standards Codification or subject to a master netting arrangement or similar agreement. This update became effective at the beginning of our 2013 fiscal year. The adoption of this ASU did not have a significant impact on our consolidated financial statements and disclosures.</w:t>
      </w:r>
    </w:p>
    <w:p>
      <w:pPr>
        <w:spacing w:after="0" w:line="175"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We enter into financial derivative contracts in order to mitigate the risk of market price fluctuations in aviation, marine and land fuel, to offer our customers fuel pricing alternatives to meet their needs and to mitigate the risk of fluctuations in foreign currency exchange rates. We also enter into proprietary derivative transactions, primarily intended to capitalize on arbitrage opportunities related to basis or time spreads related to fuel products we sell. We have applied the normal purchase and normal sales exception (“NPNS”), as provided by accounting guidance for derivative instruments and hedging</w:t>
      </w:r>
    </w:p>
    <w:p>
      <w:pPr>
        <w:sectPr>
          <w:pgSz w:w="11900" w:h="16877" w:orient="portrait"/>
          <w:cols w:equalWidth="0" w:num="1">
            <w:col w:w="11400"/>
          </w:cols>
          <w:pgMar w:left="240" w:top="125" w:right="259" w:bottom="0" w:gutter="0" w:footer="0" w:header="0"/>
        </w:sectPr>
      </w:pPr>
    </w:p>
    <w:bookmarkStart w:id="6" w:name="page7"/>
    <w:bookmarkEnd w:id="6"/>
    <w:p>
      <w:pPr>
        <w:ind w:right="20"/>
        <w:spacing w:after="0" w:line="257" w:lineRule="auto"/>
        <w:rPr>
          <w:sz w:val="20"/>
          <w:szCs w:val="20"/>
          <w:color w:val="auto"/>
        </w:rPr>
      </w:pPr>
      <w:r>
        <w:rPr>
          <w:rFonts w:ascii="Arial" w:cs="Arial" w:eastAsia="Arial" w:hAnsi="Arial"/>
          <w:sz w:val="18"/>
          <w:szCs w:val="18"/>
          <w:color w:val="auto"/>
        </w:rPr>
        <w:t>activities, to certain of our physical forward sales and purchase contracts. While these contracts are considered derivative instruments under the guidance for derivative instruments and hedging activities, they are not recorded at fair value, but rather are recorded in our consolidated financial statements when physical settlement of the contracts occurs. If it is determined that a transaction designated as NPNS no longer meets the scope of the exception, the fair value of the related contract is recorded as an asset or liability on the consolidated balance sheet and the difference between the fair value and the contract amount is immediately recognized through earnings.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June 30, 2013, our derivative instruments, at their respective fair value positions were as follows (in thousands, except weighted average fixed price and weighted average mark-to-market amount):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w:t>
            </w: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Mark-to-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1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Derivative Instrument</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Notional</w:t>
            </w: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Unit</w:t>
            </w: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4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4"/>
                <w:szCs w:val="14"/>
                <w:color w:val="auto"/>
              </w:rPr>
            </w:pPr>
          </w:p>
        </w:tc>
        <w:tc>
          <w:tcPr>
            <w:tcW w:w="22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Fixed Price</w:t>
            </w:r>
          </w:p>
        </w:tc>
        <w:tc>
          <w:tcPr>
            <w:tcW w:w="1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2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Commodity contracts for</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Hedge</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inventory hedging (long)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Commodity contracts for</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inventory hedging (short)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2,450</w:t>
            </w:r>
          </w:p>
        </w:tc>
        <w:tc>
          <w:tcPr>
            <w:tcW w:w="94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112.93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Non-Designated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Commodity contracts (long)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37,067</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Commodity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27,366</w:t>
            </w:r>
          </w:p>
        </w:tc>
        <w:tc>
          <w:tcPr>
            <w:tcW w:w="94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Commodity contracts (long)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Commodity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3,969</w:t>
            </w:r>
          </w:p>
        </w:tc>
        <w:tc>
          <w:tcPr>
            <w:tcW w:w="94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84.61</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Commodity contracts (long)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115.68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Commodity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940" w:type="dxa"/>
            <w:vAlign w:val="bottom"/>
            <w:gridSpan w:val="2"/>
          </w:tcPr>
          <w:p>
            <w:pPr>
              <w:spacing w:after="0"/>
              <w:rPr>
                <w:sz w:val="20"/>
                <w:szCs w:val="20"/>
                <w:color w:val="auto"/>
              </w:rPr>
            </w:pPr>
            <w:r>
              <w:rPr>
                <w:rFonts w:ascii="Arial" w:cs="Arial" w:eastAsia="Arial" w:hAnsi="Arial"/>
                <w:sz w:val="18"/>
                <w:szCs w:val="18"/>
                <w:color w:val="auto"/>
              </w:rPr>
              <w:t>BBL</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113.77</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14,680</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15,815</w:t>
            </w:r>
          </w:p>
        </w:tc>
        <w:tc>
          <w:tcPr>
            <w:tcW w:w="940" w:type="dxa"/>
            <w:vAlign w:val="bottom"/>
            <w:gridSpan w:val="2"/>
          </w:tcPr>
          <w:p>
            <w:pPr>
              <w:spacing w:after="0"/>
              <w:rPr>
                <w:sz w:val="20"/>
                <w:szCs w:val="20"/>
                <w:color w:val="auto"/>
              </w:rPr>
            </w:pPr>
            <w:r>
              <w:rPr>
                <w:rFonts w:ascii="Arial" w:cs="Arial" w:eastAsia="Arial" w:hAnsi="Arial"/>
                <w:sz w:val="18"/>
                <w:szCs w:val="18"/>
                <w:color w:val="auto"/>
              </w:rPr>
              <w:t>AUD</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BRL</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64,494</w:t>
            </w:r>
          </w:p>
        </w:tc>
        <w:tc>
          <w:tcPr>
            <w:tcW w:w="940" w:type="dxa"/>
            <w:vAlign w:val="bottom"/>
            <w:gridSpan w:val="2"/>
          </w:tcPr>
          <w:p>
            <w:pPr>
              <w:spacing w:after="0"/>
              <w:rPr>
                <w:sz w:val="20"/>
                <w:szCs w:val="20"/>
                <w:color w:val="auto"/>
              </w:rPr>
            </w:pPr>
            <w:r>
              <w:rPr>
                <w:rFonts w:ascii="Arial" w:cs="Arial" w:eastAsia="Arial" w:hAnsi="Arial"/>
                <w:sz w:val="18"/>
                <w:szCs w:val="18"/>
                <w:color w:val="auto"/>
              </w:rPr>
              <w:t>CAD</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55,868</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CAD</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2,173,632</w:t>
            </w:r>
          </w:p>
        </w:tc>
        <w:tc>
          <w:tcPr>
            <w:tcW w:w="940" w:type="dxa"/>
            <w:vAlign w:val="bottom"/>
            <w:gridSpan w:val="2"/>
          </w:tcPr>
          <w:p>
            <w:pPr>
              <w:spacing w:after="0"/>
              <w:rPr>
                <w:sz w:val="20"/>
                <w:szCs w:val="20"/>
                <w:color w:val="auto"/>
              </w:rPr>
            </w:pPr>
            <w:r>
              <w:rPr>
                <w:rFonts w:ascii="Arial" w:cs="Arial" w:eastAsia="Arial" w:hAnsi="Arial"/>
                <w:sz w:val="18"/>
                <w:szCs w:val="18"/>
                <w:color w:val="auto"/>
              </w:rPr>
              <w:t>CLP</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497.09</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608,949</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492.61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32,725,597</w:t>
            </w:r>
          </w:p>
        </w:tc>
        <w:tc>
          <w:tcPr>
            <w:tcW w:w="940" w:type="dxa"/>
            <w:vAlign w:val="bottom"/>
            <w:gridSpan w:val="2"/>
          </w:tcPr>
          <w:p>
            <w:pPr>
              <w:spacing w:after="0"/>
              <w:rPr>
                <w:sz w:val="20"/>
                <w:szCs w:val="20"/>
                <w:color w:val="auto"/>
              </w:rPr>
            </w:pPr>
            <w:r>
              <w:rPr>
                <w:rFonts w:ascii="Arial" w:cs="Arial" w:eastAsia="Arial" w:hAnsi="Arial"/>
                <w:sz w:val="18"/>
                <w:szCs w:val="18"/>
                <w:color w:val="auto"/>
              </w:rPr>
              <w:t>COP</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1,869.45</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29,884,001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COP</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1,875.76</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42,857</w:t>
            </w:r>
          </w:p>
        </w:tc>
        <w:tc>
          <w:tcPr>
            <w:tcW w:w="940" w:type="dxa"/>
            <w:vAlign w:val="bottom"/>
            <w:gridSpan w:val="2"/>
          </w:tcPr>
          <w:p>
            <w:pPr>
              <w:spacing w:after="0"/>
              <w:rPr>
                <w:sz w:val="20"/>
                <w:szCs w:val="20"/>
                <w:color w:val="auto"/>
              </w:rPr>
            </w:pPr>
            <w:r>
              <w:rPr>
                <w:rFonts w:ascii="Arial" w:cs="Arial" w:eastAsia="Arial" w:hAnsi="Arial"/>
                <w:sz w:val="18"/>
                <w:szCs w:val="18"/>
                <w:color w:val="auto"/>
              </w:rPr>
              <w:t>DKK</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37,922</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DKK</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80" w:type="dxa"/>
            <w:vAlign w:val="bottom"/>
            <w:gridSpan w:val="3"/>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(long)</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13,025</w:t>
            </w:r>
          </w:p>
        </w:tc>
        <w:tc>
          <w:tcPr>
            <w:tcW w:w="940" w:type="dxa"/>
            <w:vAlign w:val="bottom"/>
            <w:gridSpan w:val="2"/>
          </w:tcPr>
          <w:p>
            <w:pPr>
              <w:spacing w:after="0"/>
              <w:rPr>
                <w:sz w:val="20"/>
                <w:szCs w:val="20"/>
                <w:color w:val="auto"/>
              </w:rPr>
            </w:pPr>
            <w:r>
              <w:rPr>
                <w:rFonts w:ascii="Arial" w:cs="Arial" w:eastAsia="Arial" w:hAnsi="Arial"/>
                <w:sz w:val="18"/>
                <w:szCs w:val="18"/>
                <w:color w:val="auto"/>
              </w:rPr>
              <w:t>EUR</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0.77</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Foreign currency contracts</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(short)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39,884</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480" w:type="dxa"/>
            <w:vAlign w:val="bottom"/>
            <w:gridSpan w:val="3"/>
          </w:tcPr>
          <w:p>
            <w:pPr>
              <w:ind w:left="240"/>
              <w:spacing w:after="0"/>
              <w:rPr>
                <w:sz w:val="20"/>
                <w:szCs w:val="20"/>
                <w:color w:val="auto"/>
              </w:rPr>
            </w:pPr>
            <w:r>
              <w:rPr>
                <w:rFonts w:ascii="Arial" w:cs="Arial" w:eastAsia="Arial" w:hAnsi="Arial"/>
                <w:sz w:val="18"/>
                <w:szCs w:val="18"/>
                <w:color w:val="auto"/>
              </w:rPr>
              <w:t>Foreign currency contracts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105,343</w:t>
            </w:r>
          </w:p>
        </w:tc>
        <w:tc>
          <w:tcPr>
            <w:tcW w:w="940" w:type="dxa"/>
            <w:vAlign w:val="bottom"/>
            <w:gridSpan w:val="2"/>
          </w:tcPr>
          <w:p>
            <w:pPr>
              <w:spacing w:after="0"/>
              <w:rPr>
                <w:sz w:val="20"/>
                <w:szCs w:val="20"/>
                <w:color w:val="auto"/>
              </w:rPr>
            </w:pPr>
            <w:r>
              <w:rPr>
                <w:rFonts w:ascii="Arial" w:cs="Arial" w:eastAsia="Arial" w:hAnsi="Arial"/>
                <w:sz w:val="18"/>
                <w:szCs w:val="18"/>
                <w:color w:val="auto"/>
              </w:rPr>
              <w:t>GBP</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2540" w:type="dxa"/>
            <w:vAlign w:val="bottom"/>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169,593</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GBP</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0.66</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111,367</w:t>
            </w:r>
          </w:p>
        </w:tc>
        <w:tc>
          <w:tcPr>
            <w:tcW w:w="1140" w:type="dxa"/>
            <w:vAlign w:val="bottom"/>
          </w:tcPr>
          <w:p>
            <w:pPr>
              <w:ind w:left="100"/>
              <w:spacing w:after="0"/>
              <w:rPr>
                <w:sz w:val="20"/>
                <w:szCs w:val="20"/>
                <w:color w:val="auto"/>
              </w:rPr>
            </w:pPr>
            <w:r>
              <w:rPr>
                <w:rFonts w:ascii="Arial" w:cs="Arial" w:eastAsia="Arial" w:hAnsi="Arial"/>
                <w:sz w:val="18"/>
                <w:szCs w:val="18"/>
                <w:color w:val="auto"/>
              </w:rPr>
              <w:t>INR</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55.55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JPY</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98.04</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409,640</w:t>
            </w:r>
          </w:p>
        </w:tc>
        <w:tc>
          <w:tcPr>
            <w:tcW w:w="1140" w:type="dxa"/>
            <w:vAlign w:val="bottom"/>
          </w:tcPr>
          <w:p>
            <w:pPr>
              <w:ind w:left="100"/>
              <w:spacing w:after="0"/>
              <w:rPr>
                <w:sz w:val="20"/>
                <w:szCs w:val="20"/>
                <w:color w:val="auto"/>
              </w:rPr>
            </w:pPr>
            <w:r>
              <w:rPr>
                <w:rFonts w:ascii="Arial" w:cs="Arial" w:eastAsia="Arial" w:hAnsi="Arial"/>
                <w:sz w:val="18"/>
                <w:szCs w:val="18"/>
                <w:color w:val="auto"/>
              </w:rPr>
              <w:t>JPY</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98.77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1,197,748</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MXN</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12.51</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1,029,637</w:t>
            </w:r>
          </w:p>
        </w:tc>
        <w:tc>
          <w:tcPr>
            <w:tcW w:w="1140" w:type="dxa"/>
            <w:vAlign w:val="bottom"/>
          </w:tcPr>
          <w:p>
            <w:pPr>
              <w:ind w:left="100"/>
              <w:spacing w:after="0"/>
              <w:rPr>
                <w:sz w:val="20"/>
                <w:szCs w:val="20"/>
                <w:color w:val="auto"/>
              </w:rPr>
            </w:pPr>
            <w:r>
              <w:rPr>
                <w:rFonts w:ascii="Arial" w:cs="Arial" w:eastAsia="Arial" w:hAnsi="Arial"/>
                <w:sz w:val="18"/>
                <w:szCs w:val="18"/>
                <w:color w:val="auto"/>
              </w:rPr>
              <w:t>MXN</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12.57</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NOK</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6.12</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16,202</w:t>
            </w:r>
          </w:p>
        </w:tc>
        <w:tc>
          <w:tcPr>
            <w:tcW w:w="1140" w:type="dxa"/>
            <w:vAlign w:val="bottom"/>
          </w:tcPr>
          <w:p>
            <w:pPr>
              <w:ind w:left="100"/>
              <w:spacing w:after="0"/>
              <w:rPr>
                <w:sz w:val="20"/>
                <w:szCs w:val="20"/>
                <w:color w:val="auto"/>
              </w:rPr>
            </w:pPr>
            <w:r>
              <w:rPr>
                <w:rFonts w:ascii="Arial" w:cs="Arial" w:eastAsia="Arial" w:hAnsi="Arial"/>
                <w:sz w:val="18"/>
                <w:szCs w:val="18"/>
                <w:color w:val="auto"/>
              </w:rPr>
              <w:t>NOK</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5.93</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PLN</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3.26</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6,427</w:t>
            </w:r>
          </w:p>
        </w:tc>
        <w:tc>
          <w:tcPr>
            <w:tcW w:w="1140" w:type="dxa"/>
            <w:vAlign w:val="bottom"/>
          </w:tcPr>
          <w:p>
            <w:pPr>
              <w:ind w:left="100"/>
              <w:spacing w:after="0"/>
              <w:rPr>
                <w:sz w:val="20"/>
                <w:szCs w:val="20"/>
                <w:color w:val="auto"/>
              </w:rPr>
            </w:pPr>
            <w:r>
              <w:rPr>
                <w:rFonts w:ascii="Arial" w:cs="Arial" w:eastAsia="Arial" w:hAnsi="Arial"/>
                <w:sz w:val="18"/>
                <w:szCs w:val="18"/>
                <w:color w:val="auto"/>
              </w:rPr>
              <w:t>PLN</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3.26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11,456</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RON</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3.42</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30,095</w:t>
            </w:r>
          </w:p>
        </w:tc>
        <w:tc>
          <w:tcPr>
            <w:tcW w:w="1140" w:type="dxa"/>
            <w:vAlign w:val="bottom"/>
          </w:tcPr>
          <w:p>
            <w:pPr>
              <w:ind w:left="100"/>
              <w:spacing w:after="0"/>
              <w:rPr>
                <w:sz w:val="20"/>
                <w:szCs w:val="20"/>
                <w:color w:val="auto"/>
              </w:rPr>
            </w:pPr>
            <w:r>
              <w:rPr>
                <w:rFonts w:ascii="Arial" w:cs="Arial" w:eastAsia="Arial" w:hAnsi="Arial"/>
                <w:sz w:val="18"/>
                <w:szCs w:val="18"/>
                <w:color w:val="auto"/>
              </w:rPr>
              <w:t>SGD</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1.25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32,991</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SGD</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1.25</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58,103</w:t>
            </w:r>
          </w:p>
        </w:tc>
        <w:tc>
          <w:tcPr>
            <w:tcW w:w="1140" w:type="dxa"/>
            <w:vAlign w:val="bottom"/>
          </w:tcPr>
          <w:p>
            <w:pPr>
              <w:ind w:left="100"/>
              <w:spacing w:after="0"/>
              <w:rPr>
                <w:sz w:val="20"/>
                <w:szCs w:val="20"/>
                <w:color w:val="auto"/>
              </w:rPr>
            </w:pPr>
            <w:r>
              <w:rPr>
                <w:rFonts w:ascii="Arial" w:cs="Arial" w:eastAsia="Arial" w:hAnsi="Arial"/>
                <w:sz w:val="18"/>
                <w:szCs w:val="18"/>
                <w:color w:val="auto"/>
              </w:rPr>
              <w:t>ZAR</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9.62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17"/>
                <w:szCs w:val="17"/>
                <w:color w:val="auto"/>
              </w:rPr>
            </w:pPr>
          </w:p>
        </w:tc>
        <w:tc>
          <w:tcPr>
            <w:tcW w:w="25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2014</w:t>
            </w:r>
          </w:p>
        </w:tc>
        <w:tc>
          <w:tcPr>
            <w:tcW w:w="2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GBP</w:t>
            </w:r>
          </w:p>
        </w:tc>
        <w:tc>
          <w:tcPr>
            <w:tcW w:w="15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0.66</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60" w:type="dxa"/>
            <w:vAlign w:val="bottom"/>
          </w:tcPr>
          <w:p>
            <w:pPr>
              <w:spacing w:after="0"/>
              <w:rPr>
                <w:sz w:val="17"/>
                <w:szCs w:val="17"/>
                <w:color w:val="auto"/>
              </w:rPr>
            </w:pPr>
          </w:p>
        </w:tc>
        <w:tc>
          <w:tcPr>
            <w:tcW w:w="2540" w:type="dxa"/>
            <w:vAlign w:val="bottom"/>
          </w:tcPr>
          <w:p>
            <w:pPr>
              <w:ind w:left="280"/>
              <w:spacing w:after="0" w:line="201" w:lineRule="exact"/>
              <w:rPr>
                <w:sz w:val="20"/>
                <w:szCs w:val="20"/>
                <w:color w:val="auto"/>
              </w:rPr>
            </w:pPr>
            <w:r>
              <w:rPr>
                <w:rFonts w:ascii="Arial" w:cs="Arial" w:eastAsia="Arial" w:hAnsi="Arial"/>
                <w:sz w:val="18"/>
                <w:szCs w:val="18"/>
                <w:color w:val="auto"/>
              </w:rPr>
              <w:t>Foreign currency contracts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2540" w:type="dxa"/>
            <w:vAlign w:val="bottom"/>
          </w:tcPr>
          <w:p>
            <w:pPr>
              <w:ind w:left="280"/>
              <w:spacing w:after="0"/>
              <w:rPr>
                <w:sz w:val="20"/>
                <w:szCs w:val="20"/>
                <w:color w:val="auto"/>
              </w:rPr>
            </w:pPr>
            <w:r>
              <w:rPr>
                <w:rFonts w:ascii="Arial" w:cs="Arial" w:eastAsia="Arial" w:hAnsi="Arial"/>
                <w:sz w:val="18"/>
                <w:szCs w:val="18"/>
                <w:color w:val="auto"/>
              </w:rPr>
              <w:t>(short)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12,040</w:t>
            </w:r>
          </w:p>
        </w:tc>
        <w:tc>
          <w:tcPr>
            <w:tcW w:w="1140" w:type="dxa"/>
            <w:vAlign w:val="bottom"/>
          </w:tcPr>
          <w:p>
            <w:pPr>
              <w:ind w:left="100"/>
              <w:spacing w:after="0"/>
              <w:rPr>
                <w:sz w:val="20"/>
                <w:szCs w:val="20"/>
                <w:color w:val="auto"/>
              </w:rPr>
            </w:pPr>
            <w:r>
              <w:rPr>
                <w:rFonts w:ascii="Arial" w:cs="Arial" w:eastAsia="Arial" w:hAnsi="Arial"/>
                <w:sz w:val="18"/>
                <w:szCs w:val="18"/>
                <w:color w:val="auto"/>
              </w:rPr>
              <w:t>GBP</w:t>
            </w: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0.66</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40" w:type="dxa"/>
            <w:vAlign w:val="bottom"/>
            <w:vMerge w:val="restart"/>
          </w:tcPr>
          <w:p>
            <w:pPr>
              <w:jc w:val="right"/>
              <w:ind w:right="59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76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presents information about our derivative instruments measured at fair value and their locations on the consolidated balance sheets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10"/>
                <w:szCs w:val="10"/>
                <w:color w:val="auto"/>
              </w:rPr>
            </w:pPr>
          </w:p>
        </w:tc>
        <w:tc>
          <w:tcPr>
            <w:tcW w:w="10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1020" w:type="dxa"/>
            <w:vAlign w:val="bottom"/>
          </w:tcPr>
          <w:p>
            <w:pPr>
              <w:jc w:val="right"/>
              <w:ind w:right="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2"/>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Derivative assets:</w:t>
            </w:r>
          </w:p>
        </w:tc>
        <w:tc>
          <w:tcPr>
            <w:tcW w:w="520" w:type="dxa"/>
            <w:vAlign w:val="bottom"/>
            <w:tcBorders>
              <w:top w:val="single" w:sz="8" w:color="CCEEFF"/>
            </w:tcBorders>
            <w:shd w:val="clear" w:color="auto" w:fill="CCEEFF"/>
          </w:tcPr>
          <w:p>
            <w:pPr>
              <w:spacing w:after="0"/>
              <w:rPr>
                <w:sz w:val="13"/>
                <w:szCs w:val="13"/>
                <w:color w:val="auto"/>
              </w:rPr>
            </w:pPr>
          </w:p>
        </w:tc>
        <w:tc>
          <w:tcPr>
            <w:tcW w:w="3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Derivatives designated as hedging instruments</w:t>
            </w:r>
          </w:p>
        </w:tc>
        <w:tc>
          <w:tcPr>
            <w:tcW w:w="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5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67,533</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Identifiable intangible and other non-current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36,473</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10,646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Identifiable intangible and other non-current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0"/>
        </w:trPr>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6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37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140" w:type="dxa"/>
            <w:vAlign w:val="bottom"/>
            <w:gridSpan w:val="3"/>
          </w:tcPr>
          <w:p>
            <w:pPr>
              <w:spacing w:after="0" w:line="176" w:lineRule="exact"/>
              <w:rPr>
                <w:sz w:val="20"/>
                <w:szCs w:val="20"/>
                <w:color w:val="auto"/>
              </w:rPr>
            </w:pPr>
            <w:r>
              <w:rPr>
                <w:rFonts w:ascii="Arial" w:cs="Arial" w:eastAsia="Arial" w:hAnsi="Arial"/>
                <w:sz w:val="18"/>
                <w:szCs w:val="18"/>
                <w:color w:val="auto"/>
              </w:rPr>
              <w:t>Derivative liabilities:</w:t>
            </w:r>
          </w:p>
        </w:tc>
        <w:tc>
          <w:tcPr>
            <w:tcW w:w="5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5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52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41,410</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Identifiable intangible and other non-current assets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62,646</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20,927</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4140" w:type="dxa"/>
            <w:vAlign w:val="bottom"/>
            <w:gridSpan w:val="3"/>
          </w:tcPr>
          <w:p>
            <w:pPr>
              <w:ind w:left="180"/>
              <w:spacing w:after="0"/>
              <w:rPr>
                <w:sz w:val="20"/>
                <w:szCs w:val="20"/>
                <w:color w:val="auto"/>
              </w:rPr>
            </w:pPr>
            <w:r>
              <w:rPr>
                <w:rFonts w:ascii="Arial" w:cs="Arial" w:eastAsia="Arial" w:hAnsi="Arial"/>
                <w:sz w:val="18"/>
                <w:szCs w:val="18"/>
                <w:color w:val="auto"/>
              </w:rPr>
              <w:t>Foreign currency contracts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91"/>
        </w:trPr>
        <w:tc>
          <w:tcPr>
            <w:tcW w:w="12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37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9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10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8" w:name="page9"/>
    <w:bookmarkEnd w:id="8"/>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77,641</w:t>
            </w: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67,263</w:t>
            </w:r>
          </w:p>
        </w:tc>
      </w:tr>
      <w:tr>
        <w:trPr>
          <w:trHeight w:val="210"/>
        </w:trPr>
        <w:tc>
          <w:tcPr>
            <w:tcW w:w="85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69,547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and related hedged items in fair value hedging relationships on our consolidated statements of income and comprehensive income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Realized and Unrealized</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Realized and Unrealized</w:t>
            </w:r>
          </w:p>
        </w:tc>
        <w:tc>
          <w:tcPr>
            <w:tcW w:w="0" w:type="dxa"/>
            <w:vAlign w:val="bottom"/>
          </w:tcPr>
          <w:p>
            <w:pPr>
              <w:spacing w:after="0"/>
              <w:rPr>
                <w:sz w:val="1"/>
                <w:szCs w:val="1"/>
                <w:color w:val="auto"/>
              </w:rPr>
            </w:pPr>
          </w:p>
        </w:tc>
      </w:tr>
      <w:tr>
        <w:trPr>
          <w:trHeight w:val="171"/>
        </w:trPr>
        <w:tc>
          <w:tcPr>
            <w:tcW w:w="2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 Instruments</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Location</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Gain (Loss)</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Hedged Items</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Gain (Loss)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gridSpan w:val="4"/>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Three months ended June 30,</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14,546</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36,522</w:t>
            </w: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w:t>
            </w:r>
          </w:p>
        </w:tc>
        <w:tc>
          <w:tcPr>
            <w:tcW w:w="34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(19,053)</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(32,847)</w:t>
            </w:r>
          </w:p>
        </w:tc>
        <w:tc>
          <w:tcPr>
            <w:tcW w:w="0" w:type="dxa"/>
            <w:vAlign w:val="bottom"/>
          </w:tcPr>
          <w:p>
            <w:pPr>
              <w:spacing w:after="0"/>
              <w:rPr>
                <w:sz w:val="1"/>
                <w:szCs w:val="1"/>
                <w:color w:val="auto"/>
              </w:rPr>
            </w:pPr>
          </w:p>
        </w:tc>
      </w:tr>
      <w:tr>
        <w:trPr>
          <w:trHeight w:val="217"/>
        </w:trPr>
        <w:tc>
          <w:tcPr>
            <w:tcW w:w="2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Six months ended June 30,</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Firm</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line="201"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spacing w:after="0" w:line="201" w:lineRule="exact"/>
              <w:rPr>
                <w:sz w:val="20"/>
                <w:szCs w:val="20"/>
                <w:color w:val="auto"/>
              </w:rPr>
            </w:pPr>
            <w:r>
              <w:rPr>
                <w:rFonts w:ascii="Arial" w:cs="Arial" w:eastAsia="Arial" w:hAnsi="Arial"/>
                <w:sz w:val="18"/>
                <w:szCs w:val="18"/>
                <w:color w:val="auto"/>
              </w:rPr>
              <w:t>Firm</w:t>
            </w: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Cost of</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4"/>
          </w:tcPr>
          <w:p>
            <w:pPr>
              <w:spacing w:after="0"/>
              <w:rPr>
                <w:sz w:val="20"/>
                <w:szCs w:val="20"/>
                <w:color w:val="auto"/>
              </w:rPr>
            </w:pPr>
            <w:r>
              <w:rPr>
                <w:rFonts w:ascii="Arial" w:cs="Arial" w:eastAsia="Arial" w:hAnsi="Arial"/>
                <w:sz w:val="18"/>
                <w:szCs w:val="18"/>
                <w:color w:val="auto"/>
              </w:rPr>
              <w:t>Commodity contracts</w:t>
            </w:r>
          </w:p>
        </w:tc>
        <w:tc>
          <w:tcPr>
            <w:tcW w:w="10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(1,417)</w:t>
            </w:r>
          </w:p>
        </w:tc>
        <w:tc>
          <w:tcPr>
            <w:tcW w:w="1360" w:type="dxa"/>
            <w:vAlign w:val="bottom"/>
            <w:gridSpan w:val="2"/>
          </w:tcPr>
          <w:p>
            <w:pPr>
              <w:spacing w:after="0"/>
              <w:rPr>
                <w:sz w:val="20"/>
                <w:szCs w:val="20"/>
                <w:color w:val="auto"/>
              </w:rPr>
            </w:pPr>
            <w:r>
              <w:rPr>
                <w:rFonts w:ascii="Arial" w:cs="Arial" w:eastAsia="Arial" w:hAnsi="Arial"/>
                <w:sz w:val="18"/>
                <w:szCs w:val="18"/>
                <w:color w:val="auto"/>
              </w:rPr>
              <w:t>commitments</w:t>
            </w:r>
          </w:p>
        </w:tc>
        <w:tc>
          <w:tcPr>
            <w:tcW w:w="112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19,625</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10,193</w:t>
            </w: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(18,161)</w:t>
            </w:r>
          </w:p>
        </w:tc>
        <w:tc>
          <w:tcPr>
            <w:tcW w:w="3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19,625</w:t>
            </w:r>
          </w:p>
        </w:tc>
        <w:tc>
          <w:tcPr>
            <w:tcW w:w="22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were no gains or losses for the three and six months ended June 30, 2013 and 2012 that were excluded from the assessment of the effectiveness of our fair value hedges.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324"/>
        <w:spacing w:after="0" w:line="308" w:lineRule="auto"/>
        <w:rPr>
          <w:sz w:val="20"/>
          <w:szCs w:val="20"/>
          <w:color w:val="auto"/>
        </w:rPr>
      </w:pPr>
      <w:r>
        <w:rPr>
          <w:rFonts w:ascii="Arial" w:cs="Arial" w:eastAsia="Arial" w:hAnsi="Arial"/>
          <w:sz w:val="17"/>
          <w:szCs w:val="17"/>
          <w:color w:val="auto"/>
        </w:rPr>
        <w:t>The following table presents the effect and financial statement location of our derivative instruments in cash flow hedging relationships on our accumulated other comprehensive income and consolidated statements of income and comprehensive income (in thousands):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 of Gain (Loss)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3"/>
          </w:tcPr>
          <w:p>
            <w:pPr>
              <w:jc w:val="center"/>
              <w:ind w:right="396"/>
              <w:spacing w:after="0"/>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Accumulated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Location of</w:t>
            </w:r>
          </w:p>
        </w:tc>
        <w:tc>
          <w:tcPr>
            <w:tcW w:w="2480" w:type="dxa"/>
            <w:vAlign w:val="bottom"/>
            <w:gridSpan w:val="4"/>
          </w:tcPr>
          <w:p>
            <w:pPr>
              <w:jc w:val="center"/>
              <w:ind w:left="221"/>
              <w:spacing w:after="0" w:line="149" w:lineRule="exact"/>
              <w:rPr>
                <w:sz w:val="20"/>
                <w:szCs w:val="20"/>
                <w:color w:val="auto"/>
              </w:rPr>
            </w:pPr>
            <w:r>
              <w:rPr>
                <w:rFonts w:ascii="Arial" w:cs="Arial" w:eastAsia="Arial" w:hAnsi="Arial"/>
                <w:sz w:val="14"/>
                <w:szCs w:val="14"/>
                <w:b w:val="1"/>
                <w:bCs w:val="1"/>
                <w:color w:val="auto"/>
                <w:w w:val="91"/>
              </w:rPr>
              <w:t>Reclassified from Accumulated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2480" w:type="dxa"/>
            <w:vAlign w:val="bottom"/>
            <w:gridSpan w:val="4"/>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Other Comprehensive Income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Realized Gain</w:t>
            </w:r>
          </w:p>
        </w:tc>
        <w:tc>
          <w:tcPr>
            <w:tcW w:w="8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Derivative Instruments</w:t>
            </w:r>
          </w:p>
        </w:tc>
        <w:tc>
          <w:tcPr>
            <w:tcW w:w="220" w:type="dxa"/>
            <w:vAlign w:val="bottom"/>
          </w:tcPr>
          <w:p>
            <w:pPr>
              <w:spacing w:after="0"/>
              <w:rPr>
                <w:sz w:val="12"/>
                <w:szCs w:val="12"/>
                <w:color w:val="auto"/>
              </w:rPr>
            </w:pPr>
          </w:p>
        </w:tc>
        <w:tc>
          <w:tcPr>
            <w:tcW w:w="1040" w:type="dxa"/>
            <w:vAlign w:val="bottom"/>
          </w:tcPr>
          <w:p>
            <w:pPr>
              <w:jc w:val="right"/>
              <w:ind w:right="40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Three months ended June 30,</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Foreign currency contracts</w:t>
            </w:r>
          </w:p>
        </w:tc>
        <w:tc>
          <w:tcPr>
            <w:tcW w:w="460" w:type="dxa"/>
            <w:vAlign w:val="bottom"/>
            <w:tcBorders>
              <w:top w:val="single" w:sz="8" w:color="CCEEFF"/>
            </w:tcBorders>
            <w:gridSpan w:val="2"/>
          </w:tcPr>
          <w:p>
            <w:pPr>
              <w:spacing w:after="0"/>
              <w:rPr>
                <w:sz w:val="22"/>
                <w:szCs w:val="22"/>
                <w:color w:val="auto"/>
              </w:rPr>
            </w:pPr>
          </w:p>
        </w:tc>
        <w:tc>
          <w:tcPr>
            <w:tcW w:w="220" w:type="dxa"/>
            <w:vAlign w:val="bottom"/>
            <w:tcBorders>
              <w:top w:val="single" w:sz="8" w:color="CCEEFF"/>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w:t>
            </w:r>
          </w:p>
        </w:tc>
        <w:tc>
          <w:tcPr>
            <w:tcW w:w="2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(expense) income, net</w:t>
            </w:r>
          </w:p>
        </w:tc>
        <w:tc>
          <w:tcPr>
            <w:tcW w:w="800" w:type="dxa"/>
            <w:vAlign w:val="bottom"/>
            <w:tcBorders>
              <w:top w:val="single" w:sz="8" w:color="CCEEFF"/>
            </w:tcBorders>
          </w:tcPr>
          <w:p>
            <w:pPr>
              <w:jc w:val="right"/>
              <w:ind w:right="62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19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60" w:type="dxa"/>
            <w:vAlign w:val="bottom"/>
            <w:gridSpan w:val="4"/>
          </w:tcPr>
          <w:p>
            <w:pPr>
              <w:spacing w:after="0" w:line="176" w:lineRule="exact"/>
              <w:rPr>
                <w:sz w:val="20"/>
                <w:szCs w:val="20"/>
                <w:color w:val="auto"/>
              </w:rPr>
            </w:pPr>
            <w:r>
              <w:rPr>
                <w:rFonts w:ascii="Arial" w:cs="Arial" w:eastAsia="Arial" w:hAnsi="Arial"/>
                <w:sz w:val="18"/>
                <w:szCs w:val="18"/>
                <w:color w:val="auto"/>
              </w:rPr>
              <w:t>Six months ended June 30,</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the event forecasted cash outflows are less than the hedged amounts, a portion or all of the gains or losses recorded in accumulated other comprehensive income are reclassified to the consolidated statements of income and comprehensive income. As of June 30, 2013, the maximum amount that could be reclassified to the consolidated statements of income and comprehensive income for the next twelve months is not significant.</w:t>
      </w:r>
    </w:p>
    <w:p>
      <w:pPr>
        <w:spacing w:after="0" w:line="16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not designated as hedging instruments on our consolidated statements of income and comprehensive income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4"/>
          </w:tcPr>
          <w:p>
            <w:pPr>
              <w:jc w:val="right"/>
              <w:spacing w:after="0"/>
              <w:rPr>
                <w:sz w:val="20"/>
                <w:szCs w:val="20"/>
                <w:color w:val="auto"/>
              </w:rPr>
            </w:pPr>
            <w:r>
              <w:rPr>
                <w:rFonts w:ascii="Arial" w:cs="Arial" w:eastAsia="Arial" w:hAnsi="Arial"/>
                <w:sz w:val="14"/>
                <w:szCs w:val="14"/>
                <w:b w:val="1"/>
                <w:bCs w:val="1"/>
                <w:color w:val="auto"/>
              </w:rPr>
              <w:t>Realized and Unrealized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w:t>
            </w:r>
          </w:p>
        </w:tc>
        <w:tc>
          <w:tcPr>
            <w:tcW w:w="392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Location</w:t>
            </w: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Gain (Loss)</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4"/>
            <w:vMerge w:val="continue"/>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jc w:val="right"/>
              <w:ind w:right="532"/>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Three months ended June 30,</w:t>
            </w:r>
          </w:p>
        </w:tc>
        <w:tc>
          <w:tcPr>
            <w:tcW w:w="3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(16,549)</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Commodity contracts</w:t>
            </w:r>
          </w:p>
        </w:tc>
        <w:tc>
          <w:tcPr>
            <w:tcW w:w="39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22,549</w:t>
            </w: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Foreign currency contracts</w:t>
            </w:r>
          </w:p>
        </w:tc>
        <w:tc>
          <w:tcPr>
            <w:tcW w:w="39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Six months ended June 30,</w:t>
            </w:r>
          </w:p>
        </w:tc>
        <w:tc>
          <w:tcPr>
            <w:tcW w:w="3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Commodity contracts</w:t>
            </w: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19,507</w:t>
            </w:r>
          </w:p>
        </w:tc>
        <w:tc>
          <w:tcPr>
            <w:tcW w:w="76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(16,772)</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Commodity contracts</w:t>
            </w:r>
          </w:p>
        </w:tc>
        <w:tc>
          <w:tcPr>
            <w:tcW w:w="39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29,570</w:t>
            </w:r>
          </w:p>
        </w:tc>
        <w:tc>
          <w:tcPr>
            <w:tcW w:w="0" w:type="dxa"/>
            <w:vAlign w:val="bottom"/>
          </w:tcPr>
          <w:p>
            <w:pPr>
              <w:spacing w:after="0"/>
              <w:rPr>
                <w:sz w:val="1"/>
                <w:szCs w:val="1"/>
                <w:color w:val="auto"/>
              </w:rPr>
            </w:pPr>
          </w:p>
        </w:tc>
      </w:tr>
      <w:tr>
        <w:trPr>
          <w:trHeight w:val="216"/>
        </w:trPr>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3200" w:type="dxa"/>
            <w:vAlign w:val="bottom"/>
            <w:gridSpan w:val="4"/>
          </w:tcPr>
          <w:p>
            <w:pPr>
              <w:spacing w:after="0"/>
              <w:rPr>
                <w:sz w:val="20"/>
                <w:szCs w:val="20"/>
                <w:color w:val="auto"/>
              </w:rPr>
            </w:pPr>
            <w:r>
              <w:rPr>
                <w:rFonts w:ascii="Arial" w:cs="Arial" w:eastAsia="Arial" w:hAnsi="Arial"/>
                <w:sz w:val="18"/>
                <w:szCs w:val="18"/>
                <w:color w:val="auto"/>
              </w:rPr>
              <w:t>Foreign currency contracts</w:t>
            </w:r>
          </w:p>
        </w:tc>
        <w:tc>
          <w:tcPr>
            <w:tcW w:w="392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enter into derivative instrument contracts which may require us to periodically post collateral. Certain of these derivative contracts contain clauses that are similar to credit-risk-related contingent features, including material adverse change, general adequate assurance and internal credit review clauses that</w:t>
      </w:r>
    </w:p>
    <w:p>
      <w:pPr>
        <w:sectPr>
          <w:pgSz w:w="11900" w:h="16838" w:orient="portrait"/>
          <w:cols w:equalWidth="0" w:num="1">
            <w:col w:w="11400"/>
          </w:cols>
          <w:pgMar w:left="240" w:top="140" w:right="259" w:bottom="0" w:gutter="0" w:footer="0" w:header="0"/>
        </w:sectPr>
      </w:pPr>
    </w:p>
    <w:bookmarkStart w:id="9" w:name="page10"/>
    <w:bookmarkEnd w:id="9"/>
    <w:p>
      <w:pPr>
        <w:ind w:right="120"/>
        <w:spacing w:after="0" w:line="259" w:lineRule="auto"/>
        <w:rPr>
          <w:sz w:val="20"/>
          <w:szCs w:val="20"/>
          <w:color w:val="auto"/>
        </w:rPr>
      </w:pPr>
      <w:r>
        <w:rPr>
          <w:rFonts w:ascii="Arial" w:cs="Arial" w:eastAsia="Arial" w:hAnsi="Arial"/>
          <w:sz w:val="18"/>
          <w:szCs w:val="18"/>
          <w:color w:val="auto"/>
        </w:rPr>
        <w:t>may require additional collateral to be posted and/or settlement of the instruments in the event an aforementioned clause is triggered. The triggering events are not a quantifiable measure; rather they are based on good faith and reasonable determination by the counterparty that the triggers have occurred. The net liability position for such contracts, the collateral posted and the amount of assets required to be posted and/or to settle the positions should a contingent feature be triggered is not significant as of June 30, 2013.</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Income, Expense and Other Financing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additional information about our interest expense and other financing costs, net, for the periods presented (in thousands):</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480" w:type="dxa"/>
            <w:vAlign w:val="bottom"/>
            <w:gridSpan w:val="5"/>
          </w:tcPr>
          <w:p>
            <w:pPr>
              <w:jc w:val="right"/>
              <w:ind w:right="25"/>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4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 and other financing costs</w:t>
            </w:r>
          </w:p>
        </w:tc>
        <w:tc>
          <w:tcPr>
            <w:tcW w:w="8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(5,080)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(5,690)</w:t>
            </w:r>
          </w:p>
        </w:tc>
        <w:tc>
          <w:tcPr>
            <w:tcW w:w="8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(9,163)</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(10,623)</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(4,579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(5,437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(8,238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 and Accumulated Other Comprehensive Loss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other comprehensive income, consisting of foreign currency translation adjustments related to our subsidiaries that have a functional currency other than the U.S. dollar and cash flow hedges, was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15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Flow Hedges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(9,096)</w:t>
            </w: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(9,171)</w:t>
            </w:r>
          </w:p>
        </w:tc>
        <w:tc>
          <w:tcPr>
            <w:tcW w:w="0" w:type="dxa"/>
            <w:vAlign w:val="bottom"/>
          </w:tcPr>
          <w:p>
            <w:pPr>
              <w:spacing w:after="0"/>
              <w:rPr>
                <w:sz w:val="1"/>
                <w:szCs w:val="1"/>
                <w:color w:val="auto"/>
              </w:rPr>
            </w:pP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(25,226</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foreign currency translation adjustment losses for the six months ended June 30, 2013 were primarily due to the strengthening of the U.S. dollar as compared to the Brazilian Real.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relating to our cash flow hedges for the periods presented is included in Note 2 - Derivatives.</w:t>
      </w:r>
    </w:p>
    <w:p>
      <w:pPr>
        <w:spacing w:after="0" w:line="22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thousands, except for income tax rates):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80" w:type="dxa"/>
            <w:vAlign w:val="bottom"/>
            <w:gridSpan w:val="5"/>
          </w:tcPr>
          <w:p>
            <w:pPr>
              <w:jc w:val="center"/>
              <w:ind w:left="448"/>
              <w:spacing w:after="0"/>
              <w:rPr>
                <w:sz w:val="20"/>
                <w:szCs w:val="20"/>
                <w:color w:val="auto"/>
              </w:rPr>
            </w:pPr>
            <w:r>
              <w:rPr>
                <w:rFonts w:ascii="Arial" w:cs="Arial" w:eastAsia="Arial" w:hAnsi="Arial"/>
                <w:sz w:val="14"/>
                <w:szCs w:val="14"/>
                <w:b w:val="1"/>
                <w:bCs w:val="1"/>
                <w:color w:val="auto"/>
                <w:w w:val="93"/>
              </w:rPr>
              <w:t>For the Three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4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11,951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23,899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provision for income taxes for each of the three-month and six-month periods ended June 30, 2013 and 2012 were calculated based on the estimated annual effective income tax rate for the full 2013 and 2012 fiscal years. The provision for income taxes for the six-month period ended June 30, 2012 includes an adjustment for an income tax benefit of $3.3 million for a discrete item related to a change in estimate in an uncertain income tax position. The actual effective income tax rate for the full 2013 fiscal year may be materially different as a result of differences between estimated versus actual results and the geographic tax jurisdictions in which the results are earned.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thousands, except per share amounts):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54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2"/>
              </w:rPr>
              <w:t>For the Three Months ended</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45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267"/>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left="621"/>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4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51,016</w:t>
            </w: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48,600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99,741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95,015</w:t>
            </w: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Weighted average common shares for basic earnings per</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share</w:t>
            </w:r>
          </w:p>
        </w:tc>
        <w:tc>
          <w:tcPr>
            <w:tcW w:w="8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71,516</w:t>
            </w:r>
          </w:p>
        </w:tc>
        <w:tc>
          <w:tcPr>
            <w:tcW w:w="8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71,173</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71,483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71,083</w:t>
            </w:r>
          </w:p>
        </w:tc>
      </w:tr>
    </w:tbl>
    <w:p>
      <w:pPr>
        <w:sectPr>
          <w:pgSz w:w="11900" w:h="16838" w:orient="portrait"/>
          <w:cols w:equalWidth="0" w:num="1">
            <w:col w:w="11360"/>
          </w:cols>
          <w:pgMar w:left="240" w:top="125" w:right="299" w:bottom="0" w:gutter="0" w:footer="0" w:header="0"/>
        </w:sectPr>
      </w:pPr>
    </w:p>
    <w:bookmarkStart w:id="10" w:name="page11"/>
    <w:bookmarkEnd w:id="10"/>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5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502</w:t>
            </w:r>
          </w:p>
        </w:tc>
        <w:tc>
          <w:tcPr>
            <w:tcW w:w="4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4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Weighted average common shares for diluted earnings</w:t>
            </w: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72,018</w:t>
            </w:r>
          </w:p>
        </w:tc>
        <w:tc>
          <w:tcPr>
            <w:tcW w:w="4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71,767</w:t>
            </w:r>
          </w:p>
        </w:tc>
        <w:tc>
          <w:tcPr>
            <w:tcW w:w="4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72,099</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71,773</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 common share</w:t>
            </w:r>
          </w:p>
        </w:tc>
        <w:tc>
          <w:tcPr>
            <w:tcW w:w="5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securities which are not included in the</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 of diluted earnings per common share</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because their impact is anti-dilutive or their performance</w:t>
            </w:r>
          </w:p>
        </w:tc>
        <w:tc>
          <w:tcPr>
            <w:tcW w:w="50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48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774</w:t>
            </w:r>
          </w:p>
        </w:tc>
        <w:tc>
          <w:tcPr>
            <w:tcW w:w="48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conditions have not been met</w:t>
            </w:r>
          </w:p>
        </w:tc>
        <w:tc>
          <w:tcPr>
            <w:tcW w:w="5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8480" w:hanging="332"/>
        <w:spacing w:after="0" w:line="503" w:lineRule="auto"/>
        <w:tabs>
          <w:tab w:leader="none" w:pos="37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Cathay Pacific Litigation</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Since April 2012, one of our subsidiaries, World Fuel Services (Singapore) Pte Ltd. (“WFSS”) has been involved in litigation with Cathay Pacific Airways Limited (“Cathay”) arising out of the emergency landing of a Cathay aircraft in Hong Kong in 2010, which Cathay alleges was caused by contaminated fuel supplied by WFSS. Cathay claims damages relating to the incident of approximately $34.0 million. Because the outcome of litigation is inherently uncertain, we cannot estimate the possible loss or range of loss for this matter. We intend to vigorously defend against this claim, and we believe our liability in this matter (if any) should be adequately covered by insurance. As of June 30, 2013, we have not recorded any accruals associated with this claim.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a party to various claims, complaints and proceedings arising in the ordinary course of our business including, but not limited to, environmental claims, commercial and governmental contract claims, such as property damage, demurrage, billing and fuel quality claims, as well as bankruptcy preference claims. We have established loss provisions for these ordinary course claims as well as other matters in which losses are probable and can be reasonably estimated. As of June 30, 2013, we had recorded certain reserves which were not significant.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business or financial condition. However, any adverse resolution of one or more such claims, complaints or proceedings during a particular period could have a material adverse effect on our results of operations or cash flow for that period.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June 7, 2013, STX Pan OceanCo. Ltd (“STX Pan Ocean”), one of our customers in our marine segment, filed for bankruptcy protection in Korea which was subsequently recognized in the United States on July 12, 2013. As of July 25, 2013, we had outstanding receivables owing from STX Pan Ocean of $12.9 million, and outstanding receivables owing from STX Pan Ocean's parent company, STX Corporation (“STX Corp”), of $9.6 million. As of the date of this report, STX Corp has not filed for bankruptcy protection and, at present, both entities continue to conduct operations. We routinely extend credit to customers in connection with their purchases of fuel and services from us, and from time to time customers of ours face financial difficulty. We have been successful in the past in being able to recover amounts from these customers with little or no losses on amounts owing to us, and we are confident in our ability to do so in this case. We are currently in discussions with these entities to settle the outstanding receivables. We also have a number of avenues that we may pursue in connection with recovering these amounts or to mitigate losses we might face, including insurance, enforcement of maritime liens and offset rights. However, there can be no assurance that we will be able to recover the full amounts owing from either STX Pan Ocean or STX Corp.</w:t>
      </w:r>
    </w:p>
    <w:p>
      <w:pPr>
        <w:spacing w:after="0" w:line="16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carrying amounts of cash and cash equivalents, accounts receivable, net, accounts payable and accrued expenses and other current liabilities approximate fair value based on the short-term maturities of these instruments. We believe the carrying values of our debt and notes receivable approximate fair value since these instruments bear interest either at variable rates or fixed rates which are not significantly different than market rates. Based on the fair value hierarchy, our debt of $351.4 million and $380.3 million as of June 30, 2013 and December 31, 2012, respectively, and our notes receivable of $10.1 million and $12.7 million as of June 30, 2013 and December 31, 2012, respectively, are categorized in Level 3.</w:t>
      </w:r>
    </w:p>
    <w:p>
      <w:pPr>
        <w:spacing w:after="0" w:line="15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estimated fair value on a recurring basis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Netting</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Sub-Total</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Collateral</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8"/>
              </w:rPr>
              <w:t>As of June 30, 2013</w:t>
            </w: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21,781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56,741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78,522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(42,995)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16"/>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2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12,331</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(8,790)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138"/>
        </w:trPr>
        <w:tc>
          <w:tcPr>
            <w:tcW w:w="14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11" w:name="page12"/>
    <w:bookmarkEnd w:id="11"/>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21,781</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69,635</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91,416</w:t>
            </w:r>
          </w:p>
        </w:tc>
        <w:tc>
          <w:tcPr>
            <w:tcW w:w="1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(52,348)</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39,068</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r>
      <w:tr>
        <w:trPr>
          <w:trHeight w:val="170"/>
        </w:trPr>
        <w:tc>
          <w:tcPr>
            <w:tcW w:w="340" w:type="dxa"/>
            <w:vAlign w:val="bottom"/>
          </w:tcPr>
          <w:p>
            <w:pPr>
              <w:spacing w:after="0"/>
              <w:rPr>
                <w:sz w:val="14"/>
                <w:szCs w:val="14"/>
                <w:color w:val="auto"/>
              </w:rPr>
            </w:pPr>
          </w:p>
        </w:tc>
        <w:tc>
          <w:tcPr>
            <w:tcW w:w="2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12,717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55,926</w:t>
            </w: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89</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68,732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(53,085)</w:t>
            </w: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15,647</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1,290</w:t>
            </w:r>
          </w:p>
        </w:tc>
        <w:tc>
          <w:tcPr>
            <w:tcW w:w="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8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2012</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Commodity contracts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18,087</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57,682</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75,769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(56,115)</w:t>
            </w:r>
          </w:p>
        </w:tc>
        <w:tc>
          <w:tcPr>
            <w:tcW w:w="42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19,654</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2,434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4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28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18,087</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60,934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79,021</w:t>
            </w:r>
          </w:p>
        </w:tc>
        <w:tc>
          <w:tcPr>
            <w:tcW w:w="1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(58,929)</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20,092</w:t>
            </w:r>
          </w:p>
        </w:tc>
        <w:tc>
          <w:tcPr>
            <w:tcW w:w="120" w:type="dxa"/>
            <w:vAlign w:val="bottom"/>
            <w:tcBorders>
              <w:bottom w:val="single" w:sz="8" w:color="CCEEFF"/>
            </w:tcBorders>
          </w:tcPr>
          <w:p>
            <w:pPr>
              <w:spacing w:after="0"/>
              <w:rPr>
                <w:sz w:val="21"/>
                <w:szCs w:val="21"/>
                <w:color w:val="auto"/>
              </w:rPr>
            </w:pPr>
          </w:p>
        </w:tc>
        <w:tc>
          <w:tcPr>
            <w:tcW w:w="480" w:type="dxa"/>
            <w:vAlign w:val="bottom"/>
          </w:tcPr>
          <w:p>
            <w:pPr>
              <w:spacing w:after="0"/>
              <w:rPr>
                <w:sz w:val="21"/>
                <w:szCs w:val="21"/>
                <w:color w:val="auto"/>
              </w:rPr>
            </w:pPr>
          </w:p>
        </w:tc>
      </w:tr>
      <w:tr>
        <w:trPr>
          <w:trHeight w:val="170"/>
        </w:trPr>
        <w:tc>
          <w:tcPr>
            <w:tcW w:w="340" w:type="dxa"/>
            <w:vAlign w:val="bottom"/>
          </w:tcPr>
          <w:p>
            <w:pPr>
              <w:spacing w:after="0"/>
              <w:rPr>
                <w:sz w:val="14"/>
                <w:szCs w:val="14"/>
                <w:color w:val="auto"/>
              </w:rPr>
            </w:pPr>
          </w:p>
        </w:tc>
        <w:tc>
          <w:tcPr>
            <w:tcW w:w="2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Commodity contracts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20,970</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44,732</w:t>
            </w:r>
          </w:p>
        </w:tc>
        <w:tc>
          <w:tcPr>
            <w:tcW w:w="540" w:type="dxa"/>
            <w:vAlign w:val="bottom"/>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65,702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(49,562)</w:t>
            </w:r>
          </w:p>
        </w:tc>
        <w:tc>
          <w:tcPr>
            <w:tcW w:w="4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16,140</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w:t>
            </w:r>
          </w:p>
        </w:tc>
        <w:tc>
          <w:tcPr>
            <w:tcW w:w="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84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8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information regarding the balance sheet location of our commodity and foreign currency contracts net assets and liabilities (in thousands):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2"/>
                <w:szCs w:val="12"/>
                <w:color w:val="auto"/>
              </w:rPr>
            </w:pPr>
          </w:p>
        </w:tc>
        <w:tc>
          <w:tcPr>
            <w:tcW w:w="126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December 31, 2012</w:t>
            </w:r>
          </w:p>
        </w:tc>
        <w:tc>
          <w:tcPr>
            <w:tcW w:w="100" w:type="dxa"/>
            <w:vAlign w:val="bottom"/>
          </w:tcPr>
          <w:p>
            <w:pPr>
              <w:spacing w:after="0"/>
              <w:rPr>
                <w:sz w:val="12"/>
                <w:szCs w:val="12"/>
                <w:color w:val="auto"/>
              </w:rPr>
            </w:pPr>
          </w:p>
        </w:tc>
      </w:tr>
      <w:tr>
        <w:trPr>
          <w:trHeight w:val="176"/>
        </w:trPr>
        <w:tc>
          <w:tcPr>
            <w:tcW w:w="49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Commodity Contracts</w:t>
            </w:r>
          </w:p>
        </w:tc>
        <w:tc>
          <w:tcPr>
            <w:tcW w:w="10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34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18,277</w:t>
            </w:r>
          </w:p>
        </w:tc>
      </w:tr>
      <w:tr>
        <w:trPr>
          <w:trHeight w:val="216"/>
        </w:trPr>
        <w:tc>
          <w:tcPr>
            <w:tcW w:w="4920" w:type="dxa"/>
            <w:vAlign w:val="bottom"/>
            <w:gridSpan w:val="3"/>
          </w:tcPr>
          <w:p>
            <w:pPr>
              <w:ind w:left="180"/>
              <w:spacing w:after="0"/>
              <w:rPr>
                <w:sz w:val="20"/>
                <w:szCs w:val="20"/>
                <w:color w:val="auto"/>
              </w:rPr>
            </w:pPr>
            <w:r>
              <w:rPr>
                <w:rFonts w:ascii="Arial" w:cs="Arial" w:eastAsia="Arial" w:hAnsi="Arial"/>
                <w:sz w:val="18"/>
                <w:szCs w:val="18"/>
                <w:color w:val="auto"/>
              </w:rPr>
              <w:t>Identifiable intangible and other non-current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10"/>
        </w:trPr>
        <w:tc>
          <w:tcPr>
            <w:tcW w:w="49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14,778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15,152</w:t>
            </w:r>
          </w:p>
        </w:tc>
      </w:tr>
      <w:tr>
        <w:trPr>
          <w:trHeight w:val="216"/>
        </w:trPr>
        <w:tc>
          <w:tcPr>
            <w:tcW w:w="4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r>
      <w:tr>
        <w:trPr>
          <w:trHeight w:val="250"/>
        </w:trPr>
        <w:tc>
          <w:tcPr>
            <w:tcW w:w="49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net liabilities</w:t>
            </w:r>
          </w:p>
        </w:tc>
        <w:tc>
          <w:tcPr>
            <w:tcW w:w="10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15,647</w:t>
            </w: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16,140</w:t>
            </w:r>
          </w:p>
        </w:tc>
        <w:tc>
          <w:tcPr>
            <w:tcW w:w="100" w:type="dxa"/>
            <w:vAlign w:val="bottom"/>
            <w:tcBorders>
              <w:bottom w:val="single" w:sz="8" w:color="CCEEFF"/>
            </w:tcBorders>
          </w:tcPr>
          <w:p>
            <w:pPr>
              <w:spacing w:after="0"/>
              <w:rPr>
                <w:sz w:val="21"/>
                <w:szCs w:val="21"/>
                <w:color w:val="auto"/>
              </w:rPr>
            </w:pPr>
          </w:p>
        </w:tc>
      </w:tr>
      <w:tr>
        <w:trPr>
          <w:trHeight w:val="197"/>
        </w:trPr>
        <w:tc>
          <w:tcPr>
            <w:tcW w:w="1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4920" w:type="dxa"/>
            <w:vAlign w:val="bottom"/>
            <w:gridSpan w:val="3"/>
          </w:tcPr>
          <w:p>
            <w:pPr>
              <w:spacing w:after="0" w:line="176" w:lineRule="exact"/>
              <w:rPr>
                <w:sz w:val="20"/>
                <w:szCs w:val="20"/>
                <w:color w:val="auto"/>
              </w:rPr>
            </w:pPr>
            <w:r>
              <w:rPr>
                <w:rFonts w:ascii="Arial" w:cs="Arial" w:eastAsia="Arial" w:hAnsi="Arial"/>
                <w:sz w:val="18"/>
                <w:szCs w:val="18"/>
                <w:color w:val="auto"/>
              </w:rPr>
              <w:t>Foreign Currency Contracts</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5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4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Identifiable intangible and other non-current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9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net assets</w:t>
            </w:r>
          </w:p>
        </w:tc>
        <w:tc>
          <w:tcPr>
            <w:tcW w:w="10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1"/>
                <w:szCs w:val="21"/>
                <w:color w:val="auto"/>
              </w:rPr>
            </w:pPr>
          </w:p>
        </w:tc>
      </w:tr>
      <w:tr>
        <w:trPr>
          <w:trHeight w:val="197"/>
        </w:trPr>
        <w:tc>
          <w:tcPr>
            <w:tcW w:w="1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r>
      <w:tr>
        <w:trPr>
          <w:trHeight w:val="216"/>
        </w:trPr>
        <w:tc>
          <w:tcPr>
            <w:tcW w:w="4920" w:type="dxa"/>
            <w:vAlign w:val="bottom"/>
            <w:gridSpan w:val="3"/>
          </w:tcPr>
          <w:p>
            <w:pPr>
              <w:ind w:left="180"/>
              <w:spacing w:after="0"/>
              <w:rPr>
                <w:sz w:val="20"/>
                <w:szCs w:val="20"/>
                <w:color w:val="auto"/>
              </w:rPr>
            </w:pPr>
            <w:r>
              <w:rPr>
                <w:rFonts w:ascii="Arial" w:cs="Arial" w:eastAsia="Arial" w:hAnsi="Arial"/>
                <w:sz w:val="18"/>
                <w:szCs w:val="18"/>
                <w:color w:val="auto"/>
              </w:rPr>
              <w:t>Other long-term 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0"/>
        </w:trPr>
        <w:tc>
          <w:tcPr>
            <w:tcW w:w="492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Total net liabilities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fair value of cash collateral paid or received against fair value amounts recognized for net derivative positions executed with the same counterparty under the same master netting or offset agreement.</w:t>
      </w:r>
    </w:p>
    <w:p>
      <w:pPr>
        <w:spacing w:after="0" w:line="187"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As of June 30, 2013, we had $34.3 million of cash collateral deposits held by financial counterparties of which $10.7 million have been offset against the total amount of commodity fair value liabilities in the above table and the remaining $23.6 million is included in other current assets in the accompanying consolidated balance sheets. Additionally, as of June 30, 2013, we have offset $0.6 million of cash collateral received from customers against the total amount of commodity fair value assets in the above table. As of December 31, 2012, we had $22.9 million of cash collateral deposits held by financial counterparties included in other current assets in the accompanying consolidated balance sheets. Additionally, as of December 31, 2012, we have offset $6.6 million of cash collateral received from customers against the total amount of commodity fair value assets in the above table.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presents information about our assets and liabilities that are measured at fair value on a recurring basis that utilized Level 3 inputs for the periods presented (in thousands):</w:t>
      </w:r>
    </w:p>
    <w:p>
      <w:pPr>
        <w:spacing w:after="0" w:line="150"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90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Beginning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Total Gains</w:t>
            </w:r>
          </w:p>
        </w:tc>
        <w:tc>
          <w:tcPr>
            <w:tcW w:w="1240" w:type="dxa"/>
            <w:vAlign w:val="bottom"/>
          </w:tcPr>
          <w:p>
            <w:pPr>
              <w:ind w:left="260"/>
              <w:spacing w:after="0"/>
              <w:rPr>
                <w:sz w:val="20"/>
                <w:szCs w:val="20"/>
                <w:color w:val="auto"/>
              </w:rPr>
            </w:pPr>
            <w:r>
              <w:rPr>
                <w:rFonts w:ascii="Arial" w:cs="Arial" w:eastAsia="Arial" w:hAnsi="Arial"/>
                <w:sz w:val="14"/>
                <w:szCs w:val="14"/>
                <w:b w:val="1"/>
                <w:bCs w:val="1"/>
                <w:color w:val="auto"/>
              </w:rPr>
              <w:t>Settlements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End</w:t>
            </w: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Change in</w:t>
            </w:r>
          </w:p>
        </w:tc>
        <w:tc>
          <w:tcPr>
            <w:tcW w:w="190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Location of Total Gains</w:t>
            </w:r>
          </w:p>
        </w:tc>
      </w:tr>
      <w:tr>
        <w:trPr>
          <w:trHeight w:val="149"/>
        </w:trPr>
        <w:tc>
          <w:tcPr>
            <w:tcW w:w="9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2"/>
              </w:rPr>
              <w:t>of Period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(Losses)</w:t>
            </w:r>
          </w:p>
        </w:tc>
        <w:tc>
          <w:tcPr>
            <w:tcW w:w="12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Period</w:t>
            </w:r>
          </w:p>
        </w:tc>
        <w:tc>
          <w:tcPr>
            <w:tcW w:w="14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9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1"/>
              </w:rPr>
              <w:t>(Losses) Included in</w:t>
            </w:r>
          </w:p>
        </w:tc>
      </w:tr>
      <w:tr>
        <w:trPr>
          <w:trHeight w:val="149"/>
        </w:trPr>
        <w:tc>
          <w:tcPr>
            <w:tcW w:w="9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2"/>
              </w:rPr>
              <w:t>Losses</w:t>
            </w:r>
          </w:p>
        </w:tc>
        <w:tc>
          <w:tcPr>
            <w:tcW w:w="19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3"/>
              </w:rPr>
              <w:t>Earnings</w:t>
            </w:r>
          </w:p>
        </w:tc>
      </w:tr>
      <w:tr>
        <w:trPr>
          <w:trHeight w:val="186"/>
        </w:trPr>
        <w:tc>
          <w:tcPr>
            <w:tcW w:w="9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Relating to</w:t>
            </w:r>
          </w:p>
        </w:tc>
        <w:tc>
          <w:tcPr>
            <w:tcW w:w="1900" w:type="dxa"/>
            <w:vAlign w:val="bottom"/>
          </w:tcPr>
          <w:p>
            <w:pPr>
              <w:spacing w:after="0"/>
              <w:rPr>
                <w:sz w:val="16"/>
                <w:szCs w:val="16"/>
                <w:color w:val="auto"/>
              </w:rPr>
            </w:pPr>
          </w:p>
        </w:tc>
      </w:tr>
    </w:tbl>
    <w:p>
      <w:pPr>
        <w:sectPr>
          <w:pgSz w:w="11900" w:h="16912" w:orient="portrait"/>
          <w:cols w:equalWidth="0" w:num="1">
            <w:col w:w="11460"/>
          </w:cols>
          <w:pgMar w:left="240" w:top="140" w:right="1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 that</w:t>
            </w:r>
          </w:p>
        </w:tc>
        <w:tc>
          <w:tcPr>
            <w:tcW w:w="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are Held at end</w:t>
            </w:r>
          </w:p>
        </w:tc>
        <w:tc>
          <w:tcPr>
            <w:tcW w:w="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 Period</w:t>
            </w:r>
          </w:p>
        </w:tc>
        <w:tc>
          <w:tcPr>
            <w:tcW w:w="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Three months ended June 30,</w:t>
            </w: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4"/>
              </w:rPr>
              <w:t>2013</w:t>
            </w:r>
          </w:p>
        </w:tc>
        <w:tc>
          <w:tcPr>
            <w:tcW w:w="15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Three months ended June 30,</w:t>
            </w: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4"/>
              </w:rPr>
              <w:t>2012</w:t>
            </w:r>
          </w:p>
        </w:tc>
        <w:tc>
          <w:tcPr>
            <w:tcW w:w="158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Earn-out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4,323</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Six months ended June 30, 2013</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Commodity contracts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Six months ended June 30, 2012</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Earn-out</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There were no transfers between Level 1, 2 or 3 during the periods presented. In addition, there were no significant Level 3 settlements, purchases, sales or issuances for the periods presented.</w:t>
      </w:r>
    </w:p>
    <w:p>
      <w:pPr>
        <w:spacing w:after="0" w:line="1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Based on the nature of operations and quantitative thresholds pursuant to accounting guidance for segment reporting, we have three reportable operating business segments: aviation, marine and land. Corporate expenses are allocated to the segments based on usage, where possible, or on other factors according to the nature of the activity. Our results of operations include (i) the results of the acquisition of certain assets of CarterEnergy Corporation in our land segment commencing on September 1, 2012, its acquisition date, and (ii) the results of the acquisition of certain assets of Multi Service Corporation, primarily in our land segment, commencing on December 31, 2012, its acquisition date. The accounting policies of the reportable operating segments are the same as those described in the Summary of Significant Accounting Policies (see Note 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thousands):</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9"/>
          </w:tcPr>
          <w:p>
            <w:pPr>
              <w:jc w:val="center"/>
              <w:ind w:right="74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71"/>
        </w:trPr>
        <w:tc>
          <w:tcPr>
            <w:tcW w:w="4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52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3,745,070</w:t>
            </w:r>
          </w:p>
        </w:tc>
        <w:tc>
          <w:tcPr>
            <w:tcW w:w="300" w:type="dxa"/>
            <w:vAlign w:val="bottom"/>
          </w:tcPr>
          <w:p>
            <w:pPr>
              <w:spacing w:after="0"/>
              <w:rPr>
                <w:sz w:val="18"/>
                <w:szCs w:val="18"/>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3,547,871</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7,675,658</w:t>
            </w:r>
          </w:p>
        </w:tc>
        <w:tc>
          <w:tcPr>
            <w:tcW w:w="2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6,959,418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3,967,109</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3,767,144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7,684,248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7,671,335</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2,767,425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2,303,782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5,303,727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4,467,099</w:t>
            </w:r>
          </w:p>
        </w:tc>
      </w:tr>
      <w:tr>
        <w:trPr>
          <w:trHeight w:val="210"/>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10,479,604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9,618,797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20,663,633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19,097,852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76,041</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69,171</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153,025</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134,085</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52,332</w:t>
            </w:r>
          </w:p>
        </w:tc>
        <w:tc>
          <w:tcPr>
            <w:tcW w:w="5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51,748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94,014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106,825</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60,085</w:t>
            </w:r>
          </w:p>
        </w:tc>
        <w:tc>
          <w:tcPr>
            <w:tcW w:w="5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51,204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123,798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88,448</w:t>
            </w:r>
          </w:p>
        </w:tc>
      </w:tr>
      <w:tr>
        <w:trPr>
          <w:trHeight w:val="210"/>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188,458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172,123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370,837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329,358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33,873</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25,960</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68,753</w:t>
            </w: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52,793</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24,062</w:t>
            </w:r>
          </w:p>
        </w:tc>
        <w:tc>
          <w:tcPr>
            <w:tcW w:w="5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27,931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39,321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55,376</w:t>
            </w: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21,122</w:t>
            </w:r>
          </w:p>
        </w:tc>
        <w:tc>
          <w:tcPr>
            <w:tcW w:w="5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28,352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48,502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44,552</w:t>
            </w: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82,243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156,576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152,721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Corporate overhead - unallocated</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10,321</w:t>
            </w:r>
          </w:p>
        </w:tc>
        <w:tc>
          <w:tcPr>
            <w:tcW w:w="50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9,885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20,899</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21,107</w:t>
            </w:r>
          </w:p>
        </w:tc>
      </w:tr>
      <w:tr>
        <w:trPr>
          <w:trHeight w:val="210"/>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135,677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131,614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5"/>
        </w:trPr>
        <w:tc>
          <w:tcPr>
            <w:tcW w:w="8260" w:type="dxa"/>
            <w:vAlign w:val="bottom"/>
            <w:gridSpan w:val="10"/>
          </w:tcPr>
          <w:p>
            <w:pPr>
              <w:spacing w:after="0"/>
              <w:rPr>
                <w:sz w:val="20"/>
                <w:szCs w:val="20"/>
                <w:color w:val="auto"/>
              </w:rPr>
            </w:pPr>
            <w:r>
              <w:rPr>
                <w:rFonts w:ascii="Arial" w:cs="Arial" w:eastAsia="Arial" w:hAnsi="Arial"/>
                <w:sz w:val="18"/>
                <w:szCs w:val="18"/>
                <w:color w:val="auto"/>
                <w:w w:val="94"/>
              </w:rPr>
              <w:t>Information concerning our accounts receivable, net and total assets by segment is as follows (in thousands):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9"/>
        </w:trPr>
        <w:tc>
          <w:tcPr>
            <w:tcW w:w="4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4"/>
          </w:tcPr>
          <w:p>
            <w:pPr>
              <w:jc w:val="right"/>
              <w:ind w:right="105"/>
              <w:spacing w:after="0" w:line="119" w:lineRule="exact"/>
              <w:rPr>
                <w:sz w:val="20"/>
                <w:szCs w:val="20"/>
                <w:color w:val="auto"/>
              </w:rPr>
            </w:pPr>
            <w:r>
              <w:rPr>
                <w:rFonts w:ascii="Arial" w:cs="Arial" w:eastAsia="Arial" w:hAnsi="Arial"/>
                <w:sz w:val="13"/>
                <w:szCs w:val="13"/>
                <w:b w:val="1"/>
                <w:bCs w:val="1"/>
                <w:color w:val="auto"/>
              </w:rPr>
              <w:t>June 30,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4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5"/>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760" w:type="dxa"/>
            <w:vAlign w:val="bottom"/>
            <w:gridSpan w:val="5"/>
          </w:tcPr>
          <w:p>
            <w:pPr>
              <w:ind w:left="180"/>
              <w:spacing w:after="0" w:line="201" w:lineRule="exact"/>
              <w:rPr>
                <w:sz w:val="20"/>
                <w:szCs w:val="20"/>
                <w:color w:val="auto"/>
              </w:rPr>
            </w:pPr>
            <w:r>
              <w:rPr>
                <w:rFonts w:ascii="Arial" w:cs="Arial" w:eastAsia="Arial" w:hAnsi="Arial"/>
                <w:sz w:val="18"/>
                <w:szCs w:val="18"/>
                <w:color w:val="auto"/>
                <w:w w:val="91"/>
              </w:rPr>
              <w:t>Aviation segment, net of allowance for bad debt of $9,312 and $8,997 as of June 30, 2013</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and December 31, 2012, respectively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713,430</w:t>
            </w:r>
          </w:p>
        </w:tc>
        <w:tc>
          <w:tcPr>
            <w:tcW w:w="740" w:type="dxa"/>
            <w:vAlign w:val="bottom"/>
            <w:gridSpan w:val="2"/>
          </w:tcPr>
          <w:p>
            <w:pPr>
              <w:jc w:val="right"/>
              <w:ind w:right="3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960" w:type="dxa"/>
            <w:vAlign w:val="bottom"/>
            <w:gridSpan w:val="4"/>
          </w:tcPr>
          <w:p>
            <w:pPr>
              <w:ind w:left="260"/>
              <w:spacing w:after="0"/>
              <w:rPr>
                <w:sz w:val="20"/>
                <w:szCs w:val="20"/>
                <w:color w:val="auto"/>
              </w:rPr>
            </w:pPr>
            <w:r>
              <w:rPr>
                <w:rFonts w:ascii="Arial" w:cs="Arial" w:eastAsia="Arial" w:hAnsi="Arial"/>
                <w:sz w:val="18"/>
                <w:szCs w:val="18"/>
                <w:color w:val="auto"/>
              </w:rPr>
              <w:t>674,973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676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Marine segment, net of allowance for bad debt of $9,706 and $7,742 as of June 30, 2013</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December 31, 2012, respectively</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1,289,119</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1,069,833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6760" w:type="dxa"/>
            <w:vAlign w:val="bottom"/>
            <w:gridSpan w:val="5"/>
          </w:tcPr>
          <w:p>
            <w:pPr>
              <w:ind w:left="180"/>
              <w:spacing w:after="0" w:line="201" w:lineRule="exact"/>
              <w:rPr>
                <w:sz w:val="20"/>
                <w:szCs w:val="20"/>
                <w:color w:val="auto"/>
              </w:rPr>
            </w:pPr>
            <w:r>
              <w:rPr>
                <w:rFonts w:ascii="Arial" w:cs="Arial" w:eastAsia="Arial" w:hAnsi="Arial"/>
                <w:sz w:val="18"/>
                <w:szCs w:val="18"/>
                <w:color w:val="auto"/>
                <w:w w:val="90"/>
              </w:rPr>
              <w:t>Land segment, net of allowance for bad debt of $7,060 and $6,980 as of June 30, 2013 and</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4580" w:type="dxa"/>
            <w:vAlign w:val="bottom"/>
          </w:tcPr>
          <w:p>
            <w:pPr>
              <w:ind w:left="360"/>
              <w:spacing w:after="0"/>
              <w:rPr>
                <w:sz w:val="20"/>
                <w:szCs w:val="20"/>
                <w:color w:val="auto"/>
              </w:rPr>
            </w:pPr>
            <w:r>
              <w:rPr>
                <w:rFonts w:ascii="Arial" w:cs="Arial" w:eastAsia="Arial" w:hAnsi="Arial"/>
                <w:sz w:val="18"/>
                <w:szCs w:val="18"/>
                <w:color w:val="auto"/>
              </w:rPr>
              <w:t>December 31, 2012, respectively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585,428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4"/>
          </w:tcPr>
          <w:p>
            <w:pPr>
              <w:ind w:left="260"/>
              <w:spacing w:after="0"/>
              <w:rPr>
                <w:sz w:val="20"/>
                <w:szCs w:val="20"/>
                <w:color w:val="auto"/>
              </w:rPr>
            </w:pPr>
            <w:r>
              <w:rPr>
                <w:rFonts w:ascii="Arial" w:cs="Arial" w:eastAsia="Arial" w:hAnsi="Arial"/>
                <w:sz w:val="18"/>
                <w:szCs w:val="18"/>
                <w:color w:val="auto"/>
              </w:rPr>
              <w:t>449,060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2,587,977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87"/>
              </w:rPr>
              <w:t>2,193,866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38" w:orient="portrait"/>
          <w:cols w:equalWidth="0" w:num="1">
            <w:col w:w="11420"/>
          </w:cols>
          <w:pgMar w:left="240" w:top="104" w:right="239" w:bottom="0" w:gutter="0" w:footer="0" w:header="0"/>
        </w:sectPr>
      </w:pPr>
    </w:p>
    <w:bookmarkStart w:id="13" w:name="page14"/>
    <w:bookmarkEnd w:id="13"/>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Aviation segment</w:t>
            </w:r>
          </w:p>
        </w:tc>
        <w:tc>
          <w:tcPr>
            <w:tcW w:w="324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1,489,090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1,463,423</w:t>
            </w:r>
          </w:p>
        </w:tc>
        <w:tc>
          <w:tcPr>
            <w:tcW w:w="100" w:type="dxa"/>
            <w:vAlign w:val="bottom"/>
          </w:tcPr>
          <w:p>
            <w:pPr>
              <w:spacing w:after="0"/>
              <w:rPr>
                <w:sz w:val="20"/>
                <w:szCs w:val="20"/>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segment</w:t>
            </w: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1,584,546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1,330,796</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Land segment</w:t>
            </w:r>
          </w:p>
        </w:tc>
        <w:tc>
          <w:tcPr>
            <w:tcW w:w="2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1,279,638</w:t>
            </w: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1,145,756</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175,864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167,776</w:t>
            </w:r>
          </w:p>
        </w:tc>
        <w:tc>
          <w:tcPr>
            <w:tcW w:w="100" w:type="dxa"/>
            <w:vAlign w:val="bottom"/>
            <w:shd w:val="clear" w:color="auto" w:fill="CCEEFF"/>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4,529,138</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4,107,751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on behalf of DPTS Marketing LLC (“DPM”), a crude oil marketing joint venture in which we own a 50% membership interest, purchased crude oil from various producers in the Bakken region of North Dakota. Dakota Petroleum Transport Solutions, LLC (“DPTS”), a crude oil transloading joint venture in which we also own a 50% membership interest, arranged for the transloading of the crude oil for DPM into tanker-cars at the joint venture’s facility in New Town, North Dakota. We leased the tanker-cars used in the transloading from a number of third party lessors and subleased the tanker-cars to DPM. We, on behalf of DPM, contracted with Canadian Pacific Railway for the transportation of the tanker-cars and the crude oil from New Town, North Dakota to a customer in New Brunswick, Canada. Canadian Pacific Railway subcontracted a portion of that route to the Montreal, Maine and Atlantic Railway (“MMA”). On July 6, 2013, the freight train operated by MMA with 72 of the tanker-cars carrying approximately 50,000 barrels of the crude oil derailed in Lac-Mégantic, Quebec. The derailment resulted in significant loss of life, damage to the environment from crude oil spilled from the train and extensive property damage from fires and explosions that followed the derailment.</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certain of our subsidiaries, as well as MMA, DPM and DPTS, have been named as defendants in lawsuits and proceedings related to the incident. In addition, an order was issued by the government of Quebec that requires MMA and us to recover the spilled crude oil caused by the incident and to otherwise fully remediate the impact of the incident on the environment. We have submitted an initial response to this order raising numerous objections to the order. Additional lawsuits, proceedings and orders may be filed or issued.</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we and our joint ventures, DPM and DPTS, maintain insurance to mitigate the costs of environmental releases as well as other results of unexpected events, including loss of life, property damage and defense costs, there can be no assurance that our insurance will be adequate to cover any liabilities that may be incurred as a result of this incident. We anticipate that the losses relating to the crude oil and the tanker-cars will be fully covered by insurance.</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also evaluating potential claims that we, DPM or DPTS may assert against third parties to recover costs and other liabilities that may be incurred as a result of this incident, including costs of defending against third party claims and regulatory proceedings. We can provide no assurance that any such claims will be successful or that the responsible parties will have the financial resources to address any such claims.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2012 10-K Report and the consolidated financial statements and related notes in “Item 1</w:t>
      </w:r>
    </w:p>
    <w:p>
      <w:pPr>
        <w:spacing w:after="0" w:line="46" w:lineRule="exact"/>
        <w:rPr>
          <w:sz w:val="20"/>
          <w:szCs w:val="20"/>
          <w:color w:val="auto"/>
        </w:rPr>
      </w:pPr>
    </w:p>
    <w:p>
      <w:pPr>
        <w:ind w:right="80" w:firstLine="8"/>
        <w:spacing w:after="0" w:line="254" w:lineRule="auto"/>
        <w:tabs>
          <w:tab w:leader="none" w:pos="1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Statements” appearing elsewhere in this 10-Q Report. The following discussion may contain forward-looking statements, and our actual results may differ significantly from the results suggested by these forward-looking statements. Some factors that may cause our results to differ materially from the results and events anticipated or implied by such forward-looking statements are described in “Item 1A — Risk Factors” of our 2012 10-K Report and Part II of this 10-Q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Certain statements made in this report and the information incorporated by reference in it, or made by us in other reports, filings with the Securities and Exchange Commission (“SEC”), press releases, teleconferences, industry conferences or otherwise, are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“will likely result,” “plan,” or words or phrases of similar meaning.</w:t>
      </w:r>
    </w:p>
    <w:p>
      <w:pPr>
        <w:spacing w:after="0" w:line="17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Forward-looking statements are estimates and projections reflecting our best judgment and involve risks, uncertainties or other factors relating to our operations and business environment, all of which are difficult to predict and many of which are beyond our control. The Company’s actual results may differ materially from the future results, performance or achievements expressed or implied by the forward-looking statements. These statements are based on our management’s expectations, beliefs and assumptions concerning future events affecting us, which in turn are based on currently available information.</w:t>
      </w:r>
    </w:p>
    <w:p>
      <w:pPr>
        <w:spacing w:after="0" w:line="154"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Examples of forward-looking statements in this 10-Q Report include, but are not limited to, our expectations regarding our business strategy, business prospects, operating results, ability to collect outstanding accounts receivable, potential liabilities and the extent of any insurance coverage, effectiveness of internal controls to manage risk, working capital, liquidity, capital expenditure requirements and future acquisitions. Important assumptions relating to the forward-looking statements include, among others, assumptions regarding demand for our products, the cost, terms and availability of fuel from suppliers, pricing levels, the timing and cost of capital expenditures, outcome of pending litigation, competitive conditions, general economic conditions and synergies relating to acquisitions, joint ventures and alliances. These assumptions could prove inaccurate. Although we believe that the estimates and projections reflected in the forward-looking statements are reasonable, our expectations may prove to be incorrect.</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market price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economic or regulatory conditions generally and in the markets in which we operate;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the use of derivatives;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non-performance by counterparties or customers to derivative contracts;</w:t>
      </w:r>
    </w:p>
    <w:p>
      <w:pPr>
        <w:sectPr>
          <w:pgSz w:w="11900" w:h="16887" w:orient="portrait"/>
          <w:cols w:equalWidth="0" w:num="1">
            <w:col w:w="11420"/>
          </w:cols>
          <w:pgMar w:left="240" w:top="125" w:right="239" w:bottom="0" w:gutter="0" w:footer="0" w:header="0"/>
        </w:sectPr>
      </w:pPr>
    </w:p>
    <w:bookmarkStart w:id="14" w:name="page15"/>
    <w:bookmarkEnd w:id="14"/>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or reduced sales to a significant government customer;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 including a continuation of the global recession and its impact on the airline and shipping industries;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the fuel we sell to meet specifications;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operating in high risk locations, such as Iraq and Afghanistan;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natural disasters, such as hurricanes;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liquidity and solvency of banks within our Credit Facility and Term Loans;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or foreign tax laws or changes in the mix of taxable income among different tax jurisdictions;</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levels of competition;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of litigation and the costs associated in defending any actions;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2012 10-K Report and Part II of this 10-Q Report, as well as those described from time to time in our other filings with the SEC.</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The forward-looking statements in this 10-Q Report are based on assumptions management believes are reasonable. However, due to the uncertainties associated with forward-looking statements, you should not place undue reliance on any forward-looking statements. Further, forward-looking statements speak only as of the date they are made, and unless required by law, we expressly disclaim any obligation or undertaking to publicly update any of them in light of new information, future events, or otherwise.</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of 1934, as amended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ectPr>
          <w:pgSz w:w="11900" w:h="16838" w:orient="portrait"/>
          <w:cols w:equalWidth="0" w:num="1">
            <w:col w:w="11400"/>
          </w:cols>
          <w:pgMar w:left="240" w:top="341" w:right="259" w:bottom="36" w:gutter="0" w:footer="0" w:header="0"/>
        </w:sectPr>
      </w:pPr>
    </w:p>
    <w:bookmarkStart w:id="15" w:name="page16"/>
    <w:bookmarkEnd w:id="15"/>
    <w:p>
      <w:pPr>
        <w:ind w:firstLine="324"/>
        <w:spacing w:after="0" w:line="269" w:lineRule="auto"/>
        <w:rPr>
          <w:sz w:val="20"/>
          <w:szCs w:val="20"/>
          <w:color w:val="auto"/>
        </w:rPr>
      </w:pPr>
      <w:r>
        <w:rPr>
          <w:rFonts w:ascii="Arial" w:cs="Arial" w:eastAsia="Arial" w:hAnsi="Arial"/>
          <w:sz w:val="17"/>
          <w:szCs w:val="17"/>
          <w:color w:val="auto"/>
        </w:rPr>
        <w:t>We are a leading global fuel logistics company, principally engaged in the marketing, sale and distribution of aviation, marine, and land fuel products and related services on a worldwide basis. We compete by providing our customers with value-added benefits, including single-supplier convenience, competitive pricing, the availability of trade credit, price risk management, logistical support, fuel quality control and fuel procurement outsourcing. We have three reportable operating business segments: aviation, marine, and land. We primarily contract with third parties for the delivery and storage of fuel products, however, in some cases we own storage and transportation assets for strategic purposes. Additionally, we offer transaction management services which consist of card payment solutions and merchant processing services to customers in the aviation, marine and land transportation industries. In our aviation segment, we offer fuel and related services to major commercial airlines, second and third-tier airlines, cargo carriers, regional and low cost carriers, airports, fixed based operators, corporate fleets, fractional operators, private aircraft, military fleets and to the U.S. and foreign governments. In our marine segment, we offer fuel and related services to a broad base of marine customers, including international container and tanker fleets, commercial cruise lines, yachts and time-charter operators, as well as to the U.S. and foreign governments. In our land segment, we offer fuel and related services to petroleum distributors operating in the land transportation market, retail petroleum operators, and industrial, commercial and government customers and we engage in crude oil marketing activities.</w:t>
      </w:r>
    </w:p>
    <w:p>
      <w:pPr>
        <w:spacing w:after="0" w:line="18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our aviation and land segments, we primarily purchase and resell fuel, and we do not act as brokers. Profit from our aviation and land segments is primarily determined by the volume and the gross profit achieved on fuel resales and a percentage of card payment and processing revenue. In our marine segment, we primarily purchase and resell fuel and also act as brokers for others. Profit from our marine segment is determined primarily by the volume and gross profit achieved on fuel resales and by the volume and commission rate of the brokering business. Our profitability in our segments also depends on our operating expenses, which may be significantly affected to the extent that we are required to provide for potential bad debt.</w:t>
      </w:r>
    </w:p>
    <w:p>
      <w:pPr>
        <w:spacing w:after="0" w:line="15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revenue and cost of revenue are significantly impacted by world oil prices, as evidenced in part by our revenue and cost of revenue fluctuations in recent fiscal years, while our gross profit is not necessarily impacted by changes in world oil prices. However, significant movements in fuel prices during any given financial period can have a significant impact on our gross profit, either positively or negatively depending on the direction, volatility and timing of such price movements.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experience decreases in future sales volumes and margins as a result of the ongoing deterioration in the world economy, the decline of the transportation industry, natural disasters and continued conflicts and instability in the Middle East, Asia and Latin America, as well as potential future terrorist activities and possible military retaliation. In addition, because fuel costs represent a significant part of our customers’ operating expenses, volatile and/or high fuel prices can adversely affect our customers’ businesses, and, consequently, the demand for our services and our results of operations. Our hedging activities may not be effective to mitigate volatile fuel prices and may expose us to counterparty risk. See “Item 1A — Risk Factors” of our 2012 10-K Report and Part II of this 10-Q Report.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have three reportable operating segments: aviation, marine and land. Corporate expenses are allocated to each segment based on usage, where possible, or on other factors according to the nature of the activity. We evaluate and manage our business segments using the performance measurement of income from operations. Financial information with respect to our business segments is provided in Note 9 to the accompanying consolidated financial statements included in this 10-Q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Our results of operations include (i) the results of the acquisition of certain assets of CarterEnergy Corporation in our land segment commencing on September 1, 2012, its acquisition date, and (ii) the results of the acquisition of certain assets of Multi Service Corporation, primarily in our land segment, commencing on December 31, 2012, its acquisition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Three Months Ended June 30, 2013 Compared to Three Months Ended June 30, 2012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Our revenue for the second quarter of 2013 was $10.5 billion, an increase of $0.9 billion, or 8.9%, as compared to the second quarter of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revenue during these periods was attributable to the following segments (in thousands):</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3,745,070</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3,547,871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197,199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Marine segment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3,967,109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3,767,144</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199,965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2,767,425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2,303,782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10,479,604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9,618,797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aviation segment revenue for the second quarter of 2013 was $3.7 billion, an increase of $0.2 billion, or 5.6%, as compared to the second quarter of 2012. Of the increase in aviation segment revenue, $0.5 billion was due to increased volume principally attributable to new and existing customers, which was partially offset by $0.3 billion due to a decrease in the average price per gallon sold as a result of lower average jet fuel prices in the second quarter of 2013 as compared to the second quarter of 2012.</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Our marine segment revenue for the second quarter of 2013 was $4.0 billion, an increase of $0.2 billion, or 5.3%, as compared to the second quarter of 2012. Of the increase in marine segment revenue, $0.6 billion was due to increased volume attributable to new and existing customers, which was partially offset by $0.4 billion due to a decrease in the average price per metric ton sold as a result of lower average marine fuel prices in the second quarter of 2013 as compared to the second quarter of 2012.</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Our land segment revenue for the second quarter of 2013 was $2.8 billion, an increase of $0.5 billion, or 20.1%, as compared to the second quarter of 2012. The increase in land segment revenue was principally due to the inclusion of revenue from acquired businesses.</w:t>
      </w:r>
    </w:p>
    <w:p>
      <w:pPr>
        <w:sectPr>
          <w:pgSz w:w="11900" w:h="16838" w:orient="portrait"/>
          <w:cols w:equalWidth="0" w:num="1">
            <w:col w:w="11420"/>
          </w:cols>
          <w:pgMar w:left="240" w:top="125" w:right="239" w:bottom="0" w:gutter="0" w:footer="0" w:header="0"/>
        </w:sectPr>
      </w:pPr>
    </w:p>
    <w:bookmarkStart w:id="16" w:name="page17"/>
    <w:bookmarkEnd w:id="16"/>
    <w:p>
      <w:pPr>
        <w:ind w:right="5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second quarter of 2013 was $188.5 million, an increase of $16.3 million, or 9.5%, as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2012. Our gross profit during these periods was attributable to the following segments (in thousands):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76,041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52,332</w:t>
            </w: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51,748</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60,085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51,204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188,458</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172,123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Our aviation segment gross profit for the second quarter of 2013 was $76.0 million, an increase of $6.9 million, or 9.9%, as compared to the second quarter of 2012. Of the increase in aviation segment gross profit, $8.9 million was due to increased volume attributable to new and existing customers and $2.9 million was due to gross profit from acquired businesses. These increases were partially offset by $4.9 million in lower gross profit principally due to fluctuations in customer mix.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marine segment gross profit for the second quarter of 2013 was $52.3 million, an increase of $0.6 million, or 1.1%, as compared to the second quarter of 2012. Of the increase in marine segment gross profit, $7.9 million was due to increased volume attributable to new and existing customers. This was partially offset by $7.3 million due to decreased gross profit per metric ton sold principally due to a shift in business mix to lower risk, lower margin business.</w:t>
      </w:r>
    </w:p>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land segment gross profit for the second quarter of 2013 was $60.1 million, an increase of $8.9 million, or 17.3%, as compared to the second quarter of 2012. Of the increase in land segment gross profit, $19.2 million was due to gross profit from acquired businesses, which was partially offset by $10.3 million in lower gross profit per gallon sold principally attributable to crude oil marketing activities.</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second quarter of 2013 were $119.7 million, an increase of $20.0 million, or 20.0%,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second quarter of 2012. The following table sets forth our expense categories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for bad debt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99,765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$16.6 million increase in compensation and employee benefits was principally due to the inclusion of expenses from acquired businesses. The $2.1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provision for bad debt was principally due to an overall increase in the accounts receivable balance in 2013 as compared to 2012.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increase in general and administrative expenses was due to $6.8 million related to the inclusion of expenses from acquired businesses, which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$5.5 million in decreased expenses principally due to efforts to drive greater operational efficiencies.</w:t>
      </w:r>
    </w:p>
    <w:p>
      <w:pPr>
        <w:spacing w:after="0" w:line="21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for the second quarter of 2013 was $68.7 million, a decrease of $3.6 million, or 5.0%,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second quarter of 2012. Income from operations during these periods was attributable to the following segments (in thousands):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24,062</w:t>
            </w: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27,931</w:t>
            </w:r>
          </w:p>
        </w:tc>
        <w:tc>
          <w:tcPr>
            <w:tcW w:w="2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21,122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28,352</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79,057</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82,243</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10,321</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9,885</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68,736</w:t>
            </w: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72,358</w:t>
            </w:r>
          </w:p>
        </w:tc>
        <w:tc>
          <w:tcPr>
            <w:tcW w:w="28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aviation segment income from operations for the second quarter of 2013 was $33.9 million, an increase of $7.9 million, or 30.5%, as compared to the second quarter of 2012. This increase resulted from $6.9 million in higher gross profit and $1.0 million in decreased operating expenses.</w:t>
      </w:r>
    </w:p>
    <w:p>
      <w:pPr>
        <w:spacing w:after="0" w:line="14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marine segment income from operations for the second quarter of 2013 was $24.1 million, a decrease of $3.9 million, or 13.9%, as compared to the second quarter of 2012. This decrease resulted from increased operating expenses of $4.5 million, which was partially offset by $0.6 million in higher gross profit.</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land segment income from operations for the second quarter of 2013 was $21.1 million, a decrease of $7.2 million, or 25.5%, as compared to the second quarter of 2012. This decrease resulted from increased operating expenses of $16.1 million principally related to the inclusion of acquired businesses and $10.3 million in lower gross profit per gallon sold principally attributable to crude oil marketing activities. The aggregate decrease of $26.4 million was partially offset by $19.2 million in gross profit from acquired businesses.</w:t>
      </w:r>
    </w:p>
    <w:p>
      <w:pPr>
        <w:sectPr>
          <w:pgSz w:w="11900" w:h="16838" w:orient="portrait"/>
          <w:cols w:equalWidth="0" w:num="1">
            <w:col w:w="11420"/>
          </w:cols>
          <w:pgMar w:left="240" w:top="125" w:right="239" w:bottom="24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44"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second quarter of 2013 were $10.3 million, an increase of $0.4 million, or 4.4%, as compared to the second quarter of 2012.</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second quarter of 2013, we had non-operating expenses, net of $4.8 million, a decrease of $0.8 million, or 13.6%,</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second quarter of 2012. This decrease was principally due to a $0.6 million decrease in interest expense and other financing costs, net as a result of lower average borrowing rates under the Credit Facility in the second quarter of 2013 as compared to the second quarter of 2012 and $0.5 million in earnings from our equity investments in the second quarter of 2013. This was partially offset by an increase in foreign currency exchange losses of $0.7 million for the second quarter of 2013 as compared to the second quarter of 2012.</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second quarter of 2013, our effective income tax rate was 18.1% and our income tax provision was $11.6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17.9% and an income tax provision of $12.0 million for the second quarter of 2012. The higher effective income tax rate for the second quarter of 2013 resulted principally from differences in the results of our subsidiaries in tax jurisdictions with different income tax rates as compared to the second quarter of 2012.</w:t>
      </w:r>
    </w:p>
    <w:p>
      <w:pPr>
        <w:spacing w:after="0" w:line="18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Net Income Attributable to Noncontrolling Interest. </w:t>
      </w:r>
      <w:r>
        <w:rPr>
          <w:rFonts w:ascii="Arial" w:cs="Arial" w:eastAsia="Arial" w:hAnsi="Arial"/>
          <w:sz w:val="18"/>
          <w:szCs w:val="18"/>
          <w:color w:val="auto"/>
        </w:rPr>
        <w:t>For the second quarter of 2013, net income attributable to noncontrolling interest was $1.3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$4.9 million, or 78.7%, as compared to the second quarter of 2012. The decrease was principally due to reduced earnings in our crude oil marketing joint venture for the second quarter of 2013 as compared to the second quarter of 2012.</w:t>
      </w:r>
    </w:p>
    <w:p>
      <w:pPr>
        <w:spacing w:after="0" w:line="18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i w:val="1"/>
          <w:iCs w:val="1"/>
          <w:color w:val="auto"/>
        </w:rPr>
        <w:t xml:space="preserve">Net Income and Diluted Earnings per Common Share. </w:t>
      </w:r>
      <w:r>
        <w:rPr>
          <w:rFonts w:ascii="Arial" w:cs="Arial" w:eastAsia="Arial" w:hAnsi="Arial"/>
          <w:sz w:val="18"/>
          <w:szCs w:val="18"/>
          <w:color w:val="auto"/>
        </w:rPr>
        <w:t>Our net income for the second quarter of 2013 was $51.0 million, an increase of $2.4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5.0%, as compared to the second quarter of 2012. Diluted earnings per common share for the second quarter of 2013 was $0.71 per common share, an increase of $0.03 per common share, or 4.4%, as compared to the second quarter of 2012.</w:t>
      </w:r>
    </w:p>
    <w:p>
      <w:pPr>
        <w:spacing w:after="0" w:line="181"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i w:val="1"/>
          <w:iCs w:val="1"/>
          <w:color w:val="auto"/>
        </w:rPr>
        <w:t>Non-GAAP Net Income and Non-GAAP Diluted Earnings per Common Share</w:t>
      </w:r>
      <w:r>
        <w:rPr>
          <w:rFonts w:ascii="Arial" w:cs="Arial" w:eastAsia="Arial" w:hAnsi="Arial"/>
          <w:sz w:val="16"/>
          <w:szCs w:val="16"/>
          <w:color w:val="auto"/>
        </w:rPr>
        <w:t>. Our non-GAAP net income for the second quarter of 2013 was $57.5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$4.7 million, or 8.9%, as compared to the second quarter of 2012. Non-GAAP diluted earnings per common share for the second quarter of 2013 was $0.80 per common share, an increase of $0.06 per common share, or 8.1%, as compared to the second quarter of 2012. The following table sets forth the reconciliation between our net income and non-GAAP net income for the second quarter of 2013 and 2012 (in thousands):</w:t>
      </w:r>
    </w:p>
    <w:p>
      <w:pPr>
        <w:spacing w:after="0" w:line="146"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For the Three Months ended</w:t>
      </w:r>
    </w:p>
    <w:p>
      <w:pPr>
        <w:jc w:val="center"/>
        <w:ind w:left="41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51,016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Share-based compensation expense, net of income taxes of $1,407 and</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$946 for 2013 and 2012, respectively</w:t>
            </w:r>
          </w:p>
        </w:tc>
        <w:tc>
          <w:tcPr>
            <w:tcW w:w="86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2,918</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Intangible asset amortization expense, net of income taxes of $2,018 and</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$1,714 for 2013 and 2012, respectively</w:t>
            </w:r>
          </w:p>
        </w:tc>
        <w:tc>
          <w:tcPr>
            <w:tcW w:w="8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3,576</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Non-GAAP net income attributable to World Fuel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57,510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second quarter of 2013 and 2012:</w:t>
      </w:r>
    </w:p>
    <w:p>
      <w:pPr>
        <w:spacing w:after="0" w:line="162" w:lineRule="exact"/>
        <w:rPr>
          <w:sz w:val="20"/>
          <w:szCs w:val="20"/>
          <w:color w:val="auto"/>
        </w:rPr>
      </w:pPr>
    </w:p>
    <w:p>
      <w:pPr>
        <w:jc w:val="center"/>
        <w:ind w:left="4140"/>
        <w:spacing w:after="0"/>
        <w:rPr>
          <w:sz w:val="20"/>
          <w:szCs w:val="20"/>
          <w:color w:val="auto"/>
        </w:rPr>
      </w:pPr>
      <w:r>
        <w:rPr>
          <w:rFonts w:ascii="Arial" w:cs="Arial" w:eastAsia="Arial" w:hAnsi="Arial"/>
          <w:sz w:val="14"/>
          <w:szCs w:val="14"/>
          <w:b w:val="1"/>
          <w:bCs w:val="1"/>
          <w:color w:val="auto"/>
        </w:rPr>
        <w:t>For the Three Months ended</w:t>
      </w:r>
    </w:p>
    <w:p>
      <w:pPr>
        <w:jc w:val="center"/>
        <w:ind w:left="41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9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0.71</w:t>
            </w:r>
          </w:p>
        </w:tc>
        <w:tc>
          <w:tcPr>
            <w:tcW w:w="4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9"/>
              </w:rPr>
              <w:t>Share-based compensation expense, net of income taxes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7"/>
              </w:rPr>
              <w:t>Intangible asset amortization expense, net of income taxes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ind w:left="660"/>
              <w:spacing w:after="0"/>
              <w:rPr>
                <w:sz w:val="20"/>
                <w:szCs w:val="20"/>
                <w:color w:val="auto"/>
              </w:rPr>
            </w:pPr>
            <w:r>
              <w:rPr>
                <w:rFonts w:ascii="Arial" w:cs="Arial" w:eastAsia="Arial" w:hAnsi="Arial"/>
                <w:sz w:val="18"/>
                <w:szCs w:val="18"/>
                <w:color w:val="auto"/>
              </w:rPr>
              <w:t>Non-GAAP diluted earnings per common share</w:t>
            </w:r>
          </w:p>
        </w:tc>
        <w:tc>
          <w:tcPr>
            <w:tcW w:w="10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non-GAAP financial measures exclude costs associated with share-based compensation and amortization of acquired intangible assets,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Six Months Ended June 30, 2013 Compared to Six Months Ended June 30, 2012</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revenue for the first six months of 2013 was $20.7 billion, an increase of $1.6 billion, or 8.2%, as compared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revenue during these periods was attributable to the following segments (in thousands):</w:t>
      </w:r>
    </w:p>
    <w:p>
      <w:pPr>
        <w:spacing w:after="0" w:line="162" w:lineRule="exact"/>
        <w:rPr>
          <w:sz w:val="20"/>
          <w:szCs w:val="20"/>
          <w:color w:val="auto"/>
        </w:rPr>
      </w:pPr>
    </w:p>
    <w:p>
      <w:pPr>
        <w:jc w:val="center"/>
        <w:ind w:left="2460"/>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jc w:val="center"/>
        <w:ind w:left="2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wp:posOffset>
            </wp:positionV>
            <wp:extent cx="1912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5960"/>
        <w:spacing w:after="0"/>
        <w:tabs>
          <w:tab w:leader="none" w:pos="7600" w:val="left"/>
          <w:tab w:leader="none" w:pos="910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2"/>
          <w:szCs w:val="12"/>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142240</wp:posOffset>
            </wp:positionV>
            <wp:extent cx="627761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77610" cy="3619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-3175</wp:posOffset>
            </wp:positionV>
            <wp:extent cx="29584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8" w:name="page19"/>
    <w:bookmarkEnd w:id="18"/>
    <w:tbl>
      <w:tblPr>
        <w:tblLayout w:type="fixed"/>
        <w:tblInd w:w="34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7,675,658</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6,959,418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716,240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Marine segment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7,684,248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7,671,335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12,913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5,303,727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4,467,099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836,628</w:t>
            </w:r>
          </w:p>
        </w:tc>
      </w:tr>
      <w:tr>
        <w:trPr>
          <w:trHeight w:val="210"/>
        </w:trPr>
        <w:tc>
          <w:tcPr>
            <w:tcW w:w="5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20,663,633</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19,097,852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1,565,781</w:t>
            </w:r>
          </w:p>
        </w:tc>
        <w:tc>
          <w:tcPr>
            <w:tcW w:w="1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aviation segment revenue for the first six months of 2013 was $7.7 billion, an increase of $0.7 billion, or 10.3%, as compared to the first six months of 2012. Of the increase in aviation segment revenue, $0.9 billion was due to increased volume principally attributable to new and existing customers, which was partially offset by $0.2 billion due to a decrease in the average price per gallon sold as a result of lower average jet fuel prices in the first six months of 2013 as compared to the first six months of 2012.</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marine segment revenue for the first six months of 2013 and 2012 was $7.7 billion. Of the increase in marine segment revenue, $0.8 billion was due to increased volume attributable to new and existing customers, which was principally offset by a decrease in the average price per metric ton sold as a result of lower average marine fuel prices in the first six months of 2013 as compared to the first six months of 2012.</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land segment revenue for the first six months of 2013 was $5.3 billion, an increase of $0.8 billion, or 18.7%, as compared to the first six months of 2012. The increase in land segment revenue was principally due to the inclusion of revenue from acquired businesses.</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six months of 2013 was $370.8 million, an increase of $41.5 million, or 12.6%, as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2012. Our gross profit during these periods was attributable to the following segments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Six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153,025</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134,085</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Marine segment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94,014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106,825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(12,811)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123,798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370,837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897"/>
              <w:spacing w:after="0"/>
              <w:rPr>
                <w:sz w:val="20"/>
                <w:szCs w:val="20"/>
                <w:color w:val="auto"/>
              </w:rPr>
            </w:pPr>
            <w:r>
              <w:rPr>
                <w:rFonts w:ascii="Arial" w:cs="Arial" w:eastAsia="Arial" w:hAnsi="Arial"/>
                <w:sz w:val="18"/>
                <w:szCs w:val="18"/>
                <w:color w:val="auto"/>
                <w:w w:val="99"/>
              </w:rPr>
              <w:t>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5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aviation segment gross profit for the first six months of 2013 was $153.0 million, an increase of $18.9 million, or 14.1%, as compared to the first six months of 2012. Of the increase in aviation segment gross profit, $16.5 million was due to increased volume attributable to new and existing customers and $6.6 million was due to gross profit from acquired businesses. These increases were partially offset by $4.2 million in lower gross profit principally due to fluctuations in customer mix.</w:t>
      </w:r>
    </w:p>
    <w:p>
      <w:pPr>
        <w:spacing w:after="0" w:line="18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marine segment gross profit for the first six months of 2013 was $94.0 million, a decrease of $12.8 million, or 12.0%, as compared to the first six months of 2012. Of the decrease in marine segment gross profit, $24.3 million was due to decreased gross profit per metric ton sold principally due to a shift in business mix to lower risk, lower margin business and limited price volatility during the first three months of 2013. This was partially offset by $11.5 million due to increased volume attributable to new and existing customers.</w:t>
      </w:r>
    </w:p>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Our land segment gross profit for the first six months of 2013 was $123.8 million, an increase of $35.4 million, or 40.0%, as compared to the first six months of 2012. The increase in land segment gross profit was principally due to gross profit from acquired businesses.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six months of 2013 were $235.2 million, an increase of $37.4 million, or 18.9%,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six months of 2012. The following table sets forth our expense categories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employee benefits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142,174</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110,710</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Provision for bad debt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3,812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86,252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197,744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$31.5 million increase in compensation and employee benefits was principally due to the inclusion of expenses from acquired businesses. The $3.0 million increase in provision for bad debt was principally due to an overall increase in the accounts receivable balance in 2013 as compared to 2012. The $2.9 million increase in general and administrative expenses was due to $12.8 million related to the inclusion of expenses from acquired businesses, which was partially offset by $9.9 million in decreased expenses due to efforts to drive greater operational efficiencies.</w:t>
      </w:r>
    </w:p>
    <w:p>
      <w:pPr>
        <w:spacing w:after="0" w:line="171"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for the first six months of 2013 was $135.7 million, an increase of $4.1 million, or 3.1%,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first six months of 2012. Income from operations during these periods was attributable to the following segments (in thousands):</w:t>
      </w:r>
    </w:p>
    <w:p>
      <w:pPr>
        <w:spacing w:after="0" w:line="10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Aviation segment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68,753</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52,793</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Marine segment</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39,321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55,376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(16,055)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 segment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48,502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44,552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 - unallocated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20,899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131,614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40" w:right="199" w:bottom="0" w:gutter="0" w:footer="0" w:header="0"/>
        </w:sectPr>
      </w:pPr>
    </w:p>
    <w:bookmarkStart w:id="19" w:name="page20"/>
    <w:bookmarkEnd w:id="19"/>
    <w:p>
      <w:pPr>
        <w:spacing w:after="0" w:line="11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aviation segment income from operations for the first six months of 2013 was $68.8 million, an increase of $16.0 million, or 30.2%, as compared to the first six months of 2012. This increase resulted from $18.9 million in higher gross profit, which was partially offset by $2.9 million in increased operating expenses attributable to the inclusion of acquired businesses.</w:t>
      </w:r>
    </w:p>
    <w:p>
      <w:pPr>
        <w:spacing w:after="0" w:line="181"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Our marine segment income from operations for the first six months of 2013 was $39.3 million, a decrease of $16.1 million, or 29.0%, as compared to the first six months of 2012. This decrease resulted from $12.8 million in lower gross profit and increased operating expenses of $3.3 million.</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Our land segment income from operations for the first six months of 2013 was $48.5 million, an increase of $4.0 million, or 8.9%, as compared to the first six months of 2012. This increase resulted from $35.4 million in higher gross profit, which was partially offset by increased operating expenses of $31.4 million. Of the increase in land segment operating expenses, $30.1 million was related to the inclusion of acquired businesses.</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six months of 2013 were $20.9 million, a decrease of $0.2 million, or 1.0%, as compared to the first six months of 2012.</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Non-Operating Expenses, net</w:t>
      </w:r>
      <w:r>
        <w:rPr>
          <w:rFonts w:ascii="Arial" w:cs="Arial" w:eastAsia="Arial" w:hAnsi="Arial"/>
          <w:sz w:val="18"/>
          <w:szCs w:val="18"/>
          <w:color w:val="auto"/>
        </w:rPr>
        <w:t>. For the first six months of 2013, we had non-operating expenses, net of $8.3 million, a decrease of $1.3 million, or 13.6%,</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first six months of 2012. This decrease was attributable to a $1.5 million decrease in interest expense and other financing costs, net, as a result of lower average borrowing rates in the first six months of 2013 as compared to the first six months of 2012, $1.0 million in earnings from our equity investments in the first six months of 2013 and a $0.5 million increase in other non-operating income. This was partially offset by a $1.7 million negative change related to foreign currency exchange losses of $1.2 million in the first six months of 2013 as compared to foreign currency exchange gains of $0.5 million in the first six months of 2012.</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six months of 2013, our effective income tax rate was 18.8% and our income tax provision was $23.9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15.2% and an income tax provision of $18.6 million for the first six months of 2012. The higher effective income tax rate for the first six months of 2013 resulted primarily from differences in the actual results of our subsidiaries in tax jurisdictions with different income tax rates as compared to the first six months of 2012 and an income tax benefit of $3.3 million for a discrete item related to a change in estimate for an uncertain tax position recorded in the first quarter of 2012. Excluding this discrete income tax benefit, our effective income tax rate for the first six months of 2012 would have been 17.9%.</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Net Income Attributable to Noncontrolling Interest. </w:t>
      </w:r>
      <w:r>
        <w:rPr>
          <w:rFonts w:ascii="Arial" w:cs="Arial" w:eastAsia="Arial" w:hAnsi="Arial"/>
          <w:sz w:val="18"/>
          <w:szCs w:val="18"/>
          <w:color w:val="auto"/>
        </w:rPr>
        <w:t>For the first six months of 2013, net income attributable to noncontrolling interest was $3.7 million,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$4.7 million, or 55.7%, as compared to the first six months of 2012. The decrease was principally due to reduced earnings in our crude oil marketing joint venture for the first six months of 2013 as compared to the first six months of 2012.</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i w:val="1"/>
          <w:iCs w:val="1"/>
          <w:color w:val="auto"/>
        </w:rPr>
        <w:t>Net Income and Diluted Earnings per Common Share</w:t>
      </w:r>
      <w:r>
        <w:rPr>
          <w:rFonts w:ascii="Arial" w:cs="Arial" w:eastAsia="Arial" w:hAnsi="Arial"/>
          <w:sz w:val="18"/>
          <w:szCs w:val="18"/>
          <w:color w:val="auto"/>
        </w:rPr>
        <w:t>. Our net income for the first six months of 2013 was $99.7 million, an increase of $4.7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5.0%, as compared to the first six months of 2012. Diluted earnings per common share for the first six months of 2013 was $1.38 per common share, an increase of $0.06 per common share, or 4.5%, as compared to the first six months of 2012.</w:t>
      </w:r>
    </w:p>
    <w:p>
      <w:pPr>
        <w:spacing w:after="0" w:line="18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i w:val="1"/>
          <w:iCs w:val="1"/>
          <w:color w:val="auto"/>
        </w:rPr>
        <w:t>Non-GAAP Net Income and Non-GAAP Diluted Earnings per Common Share</w:t>
      </w:r>
      <w:r>
        <w:rPr>
          <w:rFonts w:ascii="Arial" w:cs="Arial" w:eastAsia="Arial" w:hAnsi="Arial"/>
          <w:sz w:val="16"/>
          <w:szCs w:val="16"/>
          <w:color w:val="auto"/>
        </w:rPr>
        <w:t>. Our non-GAAP net income for the first six months of 2013 was $112.5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 increase of $6.8 million, or 6.4%, as compared to the first six months of 2012. Non-GAAP diluted earnings per common share for the first six months of 2013 was $1.56 per common share, an increase of $0.09 per common share, or 6.1%, as compared to the first six months of 2012. The following table sets forth the reconciliation between our net income and non-GAAP net income for the first six months of 2013 and 2012 (in thousands):</w:t>
      </w:r>
    </w:p>
    <w:p>
      <w:pPr>
        <w:spacing w:after="0" w:line="146"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For the Six Months ended</w:t>
      </w:r>
    </w:p>
    <w:p>
      <w:pPr>
        <w:jc w:val="center"/>
        <w:ind w:left="54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World Fuel</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99,741</w:t>
            </w:r>
          </w:p>
        </w:tc>
        <w:tc>
          <w:tcPr>
            <w:tcW w:w="5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95,015</w:t>
            </w:r>
          </w:p>
        </w:tc>
        <w:tc>
          <w:tcPr>
            <w:tcW w:w="100" w:type="dxa"/>
            <w:vAlign w:val="bottom"/>
            <w:shd w:val="clear" w:color="auto" w:fill="CCEEFF"/>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260" w:type="dxa"/>
            <w:vAlign w:val="bottom"/>
          </w:tcPr>
          <w:p>
            <w:pPr>
              <w:spacing w:after="0" w:line="201" w:lineRule="exact"/>
              <w:rPr>
                <w:sz w:val="20"/>
                <w:szCs w:val="20"/>
                <w:color w:val="auto"/>
              </w:rPr>
            </w:pPr>
            <w:r>
              <w:rPr>
                <w:rFonts w:ascii="Arial" w:cs="Arial" w:eastAsia="Arial" w:hAnsi="Arial"/>
                <w:sz w:val="18"/>
                <w:szCs w:val="18"/>
                <w:color w:val="auto"/>
                <w:w w:val="94"/>
              </w:rPr>
              <w:t>Share-based compensation expense, net of income taxes of $2,736 and $1,849 for</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60" w:type="dxa"/>
            <w:vAlign w:val="bottom"/>
          </w:tcPr>
          <w:p>
            <w:pPr>
              <w:ind w:left="180"/>
              <w:spacing w:after="0"/>
              <w:rPr>
                <w:sz w:val="20"/>
                <w:szCs w:val="20"/>
                <w:color w:val="auto"/>
              </w:rPr>
            </w:pPr>
            <w:r>
              <w:rPr>
                <w:rFonts w:ascii="Arial" w:cs="Arial" w:eastAsia="Arial" w:hAnsi="Arial"/>
                <w:sz w:val="18"/>
                <w:szCs w:val="18"/>
                <w:color w:val="auto"/>
              </w:rPr>
              <w:t>2013 and 2012, respectively</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Intangible asset amortization expense, net of income taxes of $4,131 and $1,960 for</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 and 2012, respectively</w:t>
            </w:r>
          </w:p>
        </w:tc>
        <w:tc>
          <w:tcPr>
            <w:tcW w:w="2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gridSpan w:val="2"/>
          </w:tcPr>
          <w:p>
            <w:pPr>
              <w:ind w:left="460"/>
              <w:spacing w:after="0"/>
              <w:rPr>
                <w:sz w:val="20"/>
                <w:szCs w:val="20"/>
                <w:color w:val="auto"/>
              </w:rPr>
            </w:pPr>
            <w:r>
              <w:rPr>
                <w:rFonts w:ascii="Arial" w:cs="Arial" w:eastAsia="Arial" w:hAnsi="Arial"/>
                <w:sz w:val="18"/>
                <w:szCs w:val="18"/>
                <w:color w:val="auto"/>
              </w:rPr>
              <w:t>Non-GAAP net income attributable to World Fuel</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112,510</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105,707</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jc w:val="right"/>
              <w:ind w:right="8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62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sets forth the reconciliation between our diluted earnings per common share and non-GAAP diluted earnings per common share for the first six months of 2013 and 2012:</w:t>
      </w:r>
    </w:p>
    <w:p>
      <w:pPr>
        <w:spacing w:after="0" w:line="162"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For the Six Months ended</w:t>
      </w:r>
    </w:p>
    <w:p>
      <w:pPr>
        <w:jc w:val="center"/>
        <w:ind w:left="50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3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Share-based compensation expense, net of income taxes</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net of income taxes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Non-GAAP diluted earnings per common share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non-GAAP financial measures exclude costs associated with share-based compensation and amortization of acquired intangible assets, primarily because we do not believe they are reflective of the Company’s core operating results. We believe the exclusion of share-based compensation from operating</w:t>
      </w:r>
    </w:p>
    <w:p>
      <w:pPr>
        <w:sectPr>
          <w:pgSz w:w="11900" w:h="16948" w:orient="portrait"/>
          <w:cols w:equalWidth="0" w:num="1">
            <w:col w:w="11460"/>
          </w:cols>
          <w:pgMar w:left="240" w:top="341" w:right="199" w:bottom="0" w:gutter="0" w:footer="0" w:header="0"/>
        </w:sectPr>
      </w:pPr>
    </w:p>
    <w:bookmarkStart w:id="20" w:name="page21"/>
    <w:bookmarkEnd w:id="20"/>
    <w:p>
      <w:pPr>
        <w:spacing w:after="0" w:line="1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is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 Non-GAAP financial measures should not be considered in isolation from, or as a substitute for, financial information prepared in accordance with GAAP. In addition, our presentation of non-GAAP net income and non-GAAP earnings per common share may not be comparable to the presentation of such metrics by other companies. Investors are encouraged to review the reconciliation of these non-GAAP measures to their most directly comparable 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six months ended June 30, 2013 and 2012. For additional details, please see the consolidated statements of cash flows.</w:t>
      </w:r>
    </w:p>
    <w:p>
      <w:pPr>
        <w:spacing w:after="0" w:line="162"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For the Six Months ended</w:t>
      </w:r>
    </w:p>
    <w:p>
      <w:pPr>
        <w:jc w:val="center"/>
        <w:ind w:left="49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(32,341)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(38,605)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For the six months ended June 30, 2013, net cash provided by operating activities was $134.6 million as compared to net cash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operating activities of $56.9 million for the first six months of 2012. The $191.5 million increase in operating cash flows was principally due to a $127.3 million decrease in cash collateral deposits held by financial counterparties in the first six months of 2013 as compared to the first six months of 2012, as well as favorable year-over-year changes in working capital items.</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six months ended June 30, 2013, net cash used in investing activities was $32.3 million as compared to $38.6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2012. The $6.3 million decrease in cash used in investing activities was principally due to a $21.3 million reduction in cash used for the acquisition of businesses in the first six months of 2013 as compared to the first six months of 2012, which was partially offset by a $15.0 million increase in capital expenditures for fuel transportation equipment and the upgrade and expansion of one of our inventory storage facilities during the first six months of 2013.</w:t>
      </w:r>
    </w:p>
    <w:p>
      <w:pPr>
        <w:spacing w:after="0" w:line="18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For the six months ended June 30, 2013, net cash used in financing activities was $41.0 million as compared to net cash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financing activities of $26.3 million for the first six months of 2012. The $67.3 million increase in cash used in financing activities was principally due to net repayments of borrowings under our Credit Facility in the first six months of 2013 as compared to the first six months of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As of June 30, 2013 and December 31, 2012, we had cash and cash equivalents of $232.5 million and $172.7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of which $127.4 million and $172.7 million, respectively, was available for usage by our U.S. subsidiaries without incurring additional costs. Our primary uses of cash and cash equivalents are to fund accounts receivable, purchase inventory and make strategic investments, primarily acquisitions. We are usually extended unsecured trade credit from our suppliers for our fuel purchases; however, certain suppliers require us to either prepay or provide a letter of credit. Increases in oil prices can negatively affect liquidity by increasing the amount of cash needed to fund fuel purchases as well as reducing the amount of fuel which we can purchase on an unsecured basis from our suppliers.</w:t>
      </w:r>
    </w:p>
    <w:p>
      <w:pPr>
        <w:spacing w:after="0" w:line="178"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 xml:space="preserve">Credit Facility and Term Loans. </w:t>
      </w:r>
      <w:r>
        <w:rPr>
          <w:rFonts w:ascii="Arial" w:cs="Arial" w:eastAsia="Arial" w:hAnsi="Arial"/>
          <w:sz w:val="16"/>
          <w:szCs w:val="16"/>
          <w:color w:val="auto"/>
        </w:rPr>
        <w:t>We have a senior revolving credit facility (“Credit Facility”) which permits borrowings of up to $800.0 million with a</w:t>
      </w:r>
      <w:r>
        <w:rPr>
          <w:rFonts w:ascii="Arial" w:cs="Arial" w:eastAsia="Arial" w:hAnsi="Arial"/>
          <w:sz w:val="16"/>
          <w:szCs w:val="16"/>
          <w:i w:val="1"/>
          <w:iCs w:val="1"/>
          <w:color w:val="auto"/>
        </w:rPr>
        <w:t xml:space="preserve"> </w:t>
      </w:r>
      <w:r>
        <w:rPr>
          <w:rFonts w:ascii="Arial" w:cs="Arial" w:eastAsia="Arial" w:hAnsi="Arial"/>
          <w:sz w:val="16"/>
          <w:szCs w:val="16"/>
          <w:color w:val="auto"/>
        </w:rPr>
        <w:t>sublimit of $300.0 million for the issuance of letters of credit and bankers’ acceptances. Under the Credit Facility, we have the right to request increases in available borrowings up to an additional $150.0 million, subject to the satisfaction of certain conditions. The Credit Facility expires in July 2016. We had outstanding borrowings under our Credit Facility totaling $80.0 million as of June 30, 2013 and $100.5 million as of December 31, 2012. Our issued letters of credit under the Credit Facility totaled $19.9 million and $47.4 million as of June 30, 2013 and December 31, 2012, respectively. We also had $246.0 million and $247.5 million in senior term loans (“Term Loans”) outstanding as of June 30, 2013 and December 31, 2012, respectively.</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liquidity consisting of cash and cash equivalents and availability under the Credit Facility fluctuates based on a number of factors, including the timing of receipts from our customers and payments to our suppliers as well as commodity prices. Our Credit Facility and our Term Loans contain certain financial covenants with which we are required to comply. Our failure to comply with the financial covenants contained in our Credit Facility and our Term Loans could result in an event of default. An event of default, if not cured or waived, would permit acceleration of any outstanding indebtedness under the Credit Facility and our Term Loans, trigger cross-defaults under other agreements to which we are a party and impair our ability to borrow and issue letters of credit, which would have a material adverse effect on our business, financial condition, results of operations and cash flows. As of June 30, 2013, we were in compliance with all financial covenants contained in our Credit Facility and our Term Loans.</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Other Credit Lines</w:t>
      </w:r>
      <w:r>
        <w:rPr>
          <w:rFonts w:ascii="Arial" w:cs="Arial" w:eastAsia="Arial" w:hAnsi="Arial"/>
          <w:sz w:val="17"/>
          <w:szCs w:val="17"/>
          <w:color w:val="auto"/>
        </w:rPr>
        <w:t>. Additionally, we have other uncommitted credit lines aggregating $215.7 million primarily for the issuance of letters of credit, bank</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and bankers’ acceptances. These credit lines are renewable on an annual basis and are subject to fees at market rates. As of June 30, 2013 and December 31, 2012, our outstanding letters of credit and bank guarantees under these credit lines totaled $184.6 million and $184.2 million, respectively. We also have a Receivables Purchase Agreement (“RPA”) to allow for the sale of up to $125.0 million of our accounts receivable. As of June 30, 2013, we had sold accounts receivable of $68.0 million and recorded a retained beneficial interest of $5.3 million under the RPA.</w:t>
      </w:r>
    </w:p>
    <w:p>
      <w:pPr>
        <w:spacing w:after="0" w:line="173"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Short-Term Debt</w:t>
      </w:r>
      <w:r>
        <w:rPr>
          <w:rFonts w:ascii="Arial" w:cs="Arial" w:eastAsia="Arial" w:hAnsi="Arial"/>
          <w:sz w:val="16"/>
          <w:szCs w:val="16"/>
          <w:color w:val="auto"/>
        </w:rPr>
        <w:t>. As of June 30, 2013, our short-term debt of $28.7 million represents the current maturities (within the next twelve months)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promissory notes related to acquisitions, loans payable to noncontrolling shareholders of a consolidated subsidiary, Term Loan borrowings and capital lease</w:t>
      </w:r>
    </w:p>
    <w:p>
      <w:pPr>
        <w:sectPr>
          <w:pgSz w:w="11900" w:h="16948" w:orient="portrait"/>
          <w:cols w:equalWidth="0" w:num="1">
            <w:col w:w="11380"/>
          </w:cols>
          <w:pgMar w:left="240" w:top="125" w:right="279" w:bottom="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believe that available funds from existing cash and cash equivalents and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from operating activities), the state of worldwide credit markets, and our levels of outstanding debt. Depending on the severity and direct impact of these factors on us, financing may be limited or unavailable on terms favorable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2012 to June 30, 2013. For a discussion of these matters, refer to “Contractual Obligations and Off-Balance Sheet Arrangements” in Item 7 of our 2012 10-K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June 30, 2013, our net derivative obligations were $17.2 million, principally due within one year.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Purchase Commitment Obligations. </w:t>
      </w:r>
      <w:r>
        <w:rPr>
          <w:rFonts w:ascii="Arial" w:cs="Arial" w:eastAsia="Arial" w:hAnsi="Arial"/>
          <w:sz w:val="17"/>
          <w:szCs w:val="17"/>
          <w:color w:val="auto"/>
        </w:rPr>
        <w:t>As of June 30, 2013, our purchase commitment obligations were $32.6 million, principally due within one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June 30, 2013, we had issued letters of credit and bank guarantees totaling $204.5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Information regarding recent accounting pronouncements is included in Note 1 - Significant Accounting Policies in the “Notes to the Consolidated Financial Statements” in this 10-Q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Includes certain of our foreign currency forward contracts we enter into in order to mitigate the risk of currency exchange rate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derivatives we enter into in order to hedge price risk associated with our inventory and certain firm commitments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fixed price purchase and sale contracts.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enter into in order to mitigate the risk of market price fluctuations in aviation, marine and</w:t>
      </w:r>
      <w:r>
        <w:rPr>
          <w:rFonts w:ascii="Arial" w:cs="Arial" w:eastAsia="Arial" w:hAnsi="Arial"/>
          <w:sz w:val="18"/>
          <w:szCs w:val="18"/>
          <w:i w:val="1"/>
          <w:iCs w:val="1"/>
          <w:color w:val="auto"/>
        </w:rPr>
        <w:t xml:space="preserve"> </w:t>
      </w:r>
      <w:r>
        <w:rPr>
          <w:rFonts w:ascii="Arial" w:cs="Arial" w:eastAsia="Arial" w:hAnsi="Arial"/>
          <w:sz w:val="18"/>
          <w:szCs w:val="18"/>
          <w:color w:val="auto"/>
        </w:rPr>
        <w:t>land fuel in the form of swaps or futures as well as certain fixed price purchase and sale contracts and proprietary trading. In addition, non-designated derivatives are also entered into to hedge the risk of currency rate fluctuations.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of June 30, 2013, our derivative instruments, at their respective fair value positions were as follows (in thousands, except weighted average fixed price and weighted average mark-to-market amount):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Settlement</w:t>
            </w:r>
          </w:p>
        </w:tc>
        <w:tc>
          <w:tcPr>
            <w:tcW w:w="2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Mark-to-</w:t>
            </w:r>
          </w:p>
        </w:tc>
        <w:tc>
          <w:tcPr>
            <w:tcW w:w="8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Hedge Strategy</w:t>
            </w: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Derivative Instrument</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Notional</w:t>
            </w: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Unit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gridSpan w:val="3"/>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Fixed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Hedge</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40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Foreign currency contracts (long)</w:t>
            </w: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811</w:t>
            </w: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0.81</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 Value Hedge</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40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Commodity contracts for inventory hedging (long)</w:t>
            </w: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190</w:t>
            </w: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BBL</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119.08</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40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Commodity contracts for inventory hedging (short)</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2,450</w:t>
            </w:r>
          </w:p>
        </w:tc>
        <w:tc>
          <w:tcPr>
            <w:tcW w:w="580" w:type="dxa"/>
            <w:vAlign w:val="bottom"/>
          </w:tcPr>
          <w:p>
            <w:pPr>
              <w:spacing w:after="0" w:line="149" w:lineRule="exact"/>
              <w:rPr>
                <w:sz w:val="20"/>
                <w:szCs w:val="20"/>
                <w:color w:val="auto"/>
              </w:rPr>
            </w:pPr>
            <w:r>
              <w:rPr>
                <w:rFonts w:ascii="Arial" w:cs="Arial" w:eastAsia="Arial" w:hAnsi="Arial"/>
                <w:sz w:val="14"/>
                <w:szCs w:val="14"/>
                <w:color w:val="auto"/>
              </w:rPr>
              <w:t>BBL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0.34</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35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Non-Designated</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40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Commodity contracts (long)</w:t>
            </w: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37,067</w:t>
            </w: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BBL</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66.11</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2013</w:t>
            </w:r>
          </w:p>
        </w:tc>
        <w:tc>
          <w:tcPr>
            <w:tcW w:w="40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Commodity contracts (short)</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27,366</w:t>
            </w:r>
          </w:p>
        </w:tc>
        <w:tc>
          <w:tcPr>
            <w:tcW w:w="580" w:type="dxa"/>
            <w:vAlign w:val="bottom"/>
          </w:tcPr>
          <w:p>
            <w:pPr>
              <w:spacing w:after="0" w:line="149" w:lineRule="exact"/>
              <w:rPr>
                <w:sz w:val="20"/>
                <w:szCs w:val="20"/>
                <w:color w:val="auto"/>
              </w:rPr>
            </w:pPr>
            <w:r>
              <w:rPr>
                <w:rFonts w:ascii="Arial" w:cs="Arial" w:eastAsia="Arial" w:hAnsi="Arial"/>
                <w:sz w:val="14"/>
                <w:szCs w:val="14"/>
                <w:color w:val="auto"/>
              </w:rPr>
              <w:t>BBL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84.91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44,276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40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Commodity contracts (long)</w:t>
            </w: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4,891</w:t>
            </w:r>
          </w:p>
        </w:tc>
        <w:tc>
          <w:tcPr>
            <w:tcW w:w="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BBL</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2014</w:t>
            </w:r>
          </w:p>
        </w:tc>
        <w:tc>
          <w:tcPr>
            <w:tcW w:w="40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Commodity contracts (short)</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3,969</w:t>
            </w:r>
          </w:p>
        </w:tc>
        <w:tc>
          <w:tcPr>
            <w:tcW w:w="580" w:type="dxa"/>
            <w:vAlign w:val="bottom"/>
          </w:tcPr>
          <w:p>
            <w:pPr>
              <w:spacing w:after="0" w:line="149" w:lineRule="exact"/>
              <w:rPr>
                <w:sz w:val="20"/>
                <w:szCs w:val="20"/>
                <w:color w:val="auto"/>
              </w:rPr>
            </w:pPr>
            <w:r>
              <w:rPr>
                <w:rFonts w:ascii="Arial" w:cs="Arial" w:eastAsia="Arial" w:hAnsi="Arial"/>
                <w:sz w:val="14"/>
                <w:szCs w:val="14"/>
                <w:color w:val="auto"/>
              </w:rPr>
              <w:t>BBL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84.61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0.87</w:t>
            </w: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3,463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2015</w:t>
            </w:r>
          </w:p>
        </w:tc>
        <w:tc>
          <w:tcPr>
            <w:tcW w:w="3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Commodity contracts (long)</w:t>
            </w:r>
          </w:p>
        </w:tc>
        <w:tc>
          <w:tcPr>
            <w:tcW w:w="1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BBL</w:t>
            </w:r>
          </w:p>
        </w:tc>
        <w:tc>
          <w:tcPr>
            <w:tcW w:w="13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115.68</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0.31</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2015</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Commodity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BBL</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113.77</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1.22</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14,680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AUD</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0.98</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(0.09)</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(1,272)</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15,815</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AUD</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1.01</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0.12</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1,886</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800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BRL</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2.09</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(0.03)</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64,494</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CAD</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1.03</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(0.02)</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(1,187)</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55,868</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CAD</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1.03</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0.03</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1,561</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2,173,632</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CLP</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497.09</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608,949</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CLP</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492.61</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32,725,597</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COP</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1,869.45</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(589)</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29,884,001</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COP</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1,875.76</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42,857</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DKK</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5.76</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37,922</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DKK</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13,025</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EUR</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0.77</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39,884</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EUR</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0.77</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105,343</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GBP</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0.66</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(0.01)</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(1,548)</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169,593</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GBP</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0.66</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2,466</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111,367</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INR</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55.55</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150,000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JPY</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98.04</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409,640</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JPY</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98.77</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1,197,748</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MXN</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12.51</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(3,884)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1,029,637</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MXN</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12.57</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3,329</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9,500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NOK</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6.12</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16,202</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NOK</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5.93</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3,700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PLN</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3.26</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(0.01)</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6,427</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PLN</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3.26</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11,456</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RON</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3.42</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30,095</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SGD</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1.25</w:t>
            </w: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(0.01)</w:t>
            </w:r>
          </w:p>
        </w:tc>
        <w:tc>
          <w:tcPr>
            <w:tcW w:w="2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(399)</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32,991</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SGD</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1.25</w:t>
            </w:r>
          </w:p>
        </w:tc>
        <w:tc>
          <w:tcPr>
            <w:tcW w:w="8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0.02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524</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2013</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58,103</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ZAR</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9.62</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0.00</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r>
      <w:tr>
        <w:trPr>
          <w:trHeight w:val="149"/>
        </w:trPr>
        <w:tc>
          <w:tcPr>
            <w:tcW w:w="24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2014</w:t>
            </w:r>
          </w:p>
        </w:tc>
        <w:tc>
          <w:tcPr>
            <w:tcW w:w="32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Foreign currency contracts (long)</w:t>
            </w:r>
          </w:p>
        </w:tc>
        <w:tc>
          <w:tcPr>
            <w:tcW w:w="17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1,250</w:t>
            </w:r>
          </w:p>
        </w:tc>
        <w:tc>
          <w:tcPr>
            <w:tcW w:w="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GBP</w:t>
            </w:r>
          </w:p>
        </w:tc>
        <w:tc>
          <w:tcPr>
            <w:tcW w:w="13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0.66</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(0.02)</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r>
      <w:tr>
        <w:trPr>
          <w:trHeight w:val="149"/>
        </w:trPr>
        <w:tc>
          <w:tcPr>
            <w:tcW w:w="24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2014</w:t>
            </w:r>
          </w:p>
        </w:tc>
        <w:tc>
          <w:tcPr>
            <w:tcW w:w="3220" w:type="dxa"/>
            <w:vAlign w:val="bottom"/>
          </w:tcPr>
          <w:p>
            <w:pPr>
              <w:ind w:left="260"/>
              <w:spacing w:after="0" w:line="149" w:lineRule="exact"/>
              <w:rPr>
                <w:sz w:val="20"/>
                <w:szCs w:val="20"/>
                <w:color w:val="auto"/>
              </w:rPr>
            </w:pPr>
            <w:r>
              <w:rPr>
                <w:rFonts w:ascii="Arial" w:cs="Arial" w:eastAsia="Arial" w:hAnsi="Arial"/>
                <w:sz w:val="14"/>
                <w:szCs w:val="14"/>
                <w:color w:val="auto"/>
              </w:rPr>
              <w:t>Foreign currency contracts (short)</w:t>
            </w:r>
          </w:p>
        </w:tc>
        <w:tc>
          <w:tcPr>
            <w:tcW w:w="17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12,040</w:t>
            </w:r>
          </w:p>
        </w:tc>
        <w:tc>
          <w:tcPr>
            <w:tcW w:w="900" w:type="dxa"/>
            <w:vAlign w:val="bottom"/>
          </w:tcPr>
          <w:p>
            <w:pPr>
              <w:ind w:left="120"/>
              <w:spacing w:after="0" w:line="149" w:lineRule="exact"/>
              <w:rPr>
                <w:sz w:val="20"/>
                <w:szCs w:val="20"/>
                <w:color w:val="auto"/>
              </w:rPr>
            </w:pPr>
            <w:r>
              <w:rPr>
                <w:rFonts w:ascii="Arial" w:cs="Arial" w:eastAsia="Arial" w:hAnsi="Arial"/>
                <w:sz w:val="14"/>
                <w:szCs w:val="14"/>
                <w:color w:val="auto"/>
              </w:rPr>
              <w:t>GBP</w:t>
            </w:r>
          </w:p>
        </w:tc>
        <w:tc>
          <w:tcPr>
            <w:tcW w:w="13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0.66</w:t>
            </w:r>
          </w:p>
        </w:tc>
        <w:tc>
          <w:tcPr>
            <w:tcW w:w="8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0.03</w:t>
            </w:r>
          </w:p>
        </w:tc>
        <w:tc>
          <w:tcPr>
            <w:tcW w:w="2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r>
      <w:tr>
        <w:trPr>
          <w:trHeight w:val="142"/>
        </w:trPr>
        <w:tc>
          <w:tcPr>
            <w:tcW w:w="2400" w:type="dxa"/>
            <w:vAlign w:val="bottom"/>
            <w:tcBorders>
              <w:top w:val="single" w:sz="8" w:color="CCEEFF"/>
              <w:bottom w:val="single" w:sz="8" w:color="CCEEFF"/>
            </w:tcBorders>
            <w:shd w:val="clear" w:color="auto" w:fill="CCEEFF"/>
          </w:tcPr>
          <w:p>
            <w:pPr>
              <w:spacing w:after="0"/>
              <w:rPr>
                <w:sz w:val="12"/>
                <w:szCs w:val="12"/>
                <w:color w:val="auto"/>
              </w:rPr>
            </w:pPr>
          </w:p>
        </w:tc>
        <w:tc>
          <w:tcPr>
            <w:tcW w:w="3220" w:type="dxa"/>
            <w:vAlign w:val="bottom"/>
            <w:tcBorders>
              <w:top w:val="single" w:sz="8" w:color="CCEEFF"/>
              <w:bottom w:val="single" w:sz="8" w:color="CCEEFF"/>
            </w:tcBorders>
            <w:shd w:val="clear" w:color="auto" w:fill="CCEEFF"/>
          </w:tcPr>
          <w:p>
            <w:pPr>
              <w:spacing w:after="0"/>
              <w:rPr>
                <w:sz w:val="12"/>
                <w:szCs w:val="12"/>
                <w:color w:val="auto"/>
              </w:rPr>
            </w:pPr>
          </w:p>
        </w:tc>
        <w:tc>
          <w:tcPr>
            <w:tcW w:w="178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3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10,980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4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96"/>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2012. Please refer to our 2012 10-K Report for a complete discussion of our exposure to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Chief Executive Officer and Chief Financial Officer, the effectiveness of the design and operation of our disclosure controls and procedures pursuant to Exchange Act Rule 13a-15(e). Based upon this evaluation, the Chief Executive Officer and Chief Financial Officer concluded that our disclosure controls and procedures were effective as of June 30, 2013.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June 30, 2013.</w:t>
      </w:r>
    </w:p>
    <w:p>
      <w:pPr>
        <w:spacing w:after="0" w:line="103"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We may be subject to costs and liabilities as a result of the derailment of a train carrying our crude oil and subsequent explosion in Lac-Mégantic, Quebec in July 2013.</w:t>
      </w:r>
    </w:p>
    <w:p>
      <w:pPr>
        <w:spacing w:after="0" w:line="170" w:lineRule="exact"/>
        <w:rPr>
          <w:sz w:val="20"/>
          <w:szCs w:val="20"/>
          <w:color w:val="auto"/>
        </w:rPr>
      </w:pPr>
    </w:p>
    <w:p>
      <w:pPr>
        <w:jc w:val="both"/>
        <w:ind w:firstLine="401"/>
        <w:spacing w:after="0" w:line="287" w:lineRule="auto"/>
        <w:rPr>
          <w:sz w:val="20"/>
          <w:szCs w:val="20"/>
          <w:color w:val="auto"/>
        </w:rPr>
      </w:pPr>
      <w:r>
        <w:rPr>
          <w:rFonts w:ascii="Arial" w:cs="Arial" w:eastAsia="Arial" w:hAnsi="Arial"/>
          <w:sz w:val="16"/>
          <w:szCs w:val="16"/>
          <w:color w:val="auto"/>
        </w:rPr>
        <w:t>We, on behalf of DPTS Marketing LLC (“DPM”), a crude oil marketing joint venture in which we own a 50% membership interest, purchased crude oil from various producers in the Bakken region of North Dakota. Dakota Petroleum Transport Solutions, LLC (“DPTS”), a crude oil transloading joint venture in which we also own a 50% membership interest, arranged for the transloading of the crude oil for DPM into tanker-cars at the joint venture’s facility in New Town, North Dakota. We leased the tanker-cars used in the transloading from a number of third party lessors and subleased the tanker-cars to DPM. We, on behalf of DPM, contracted with Canadian Pacific Railway for the transportation of the tanker-cars and the crude oil from New Town, North Dakota to a customer in New Brunswick, Canada. Canadian Pacific Railway subcontracted a portion of that route to the Montreal, Maine and Atlantic Railway (“MMA”). On July 6, 2013, the freight train operated by MMA with 72 of the tanker-cars carrying approximately 50,000 barrels of the crude oil derailed in Lac-Mégantic, Quebec. The derailment resulted in significant loss of life, damage to the environment from crude oil spilled from the train and extensive property damage from fires and explosions that followed the derailment. An investigation by the Canadian authorities into the causes of the incident is underway; however, we expect that it may be a significant period of time before the results of this investigation are finalized and we are in a position to evaluate its consequences. We are currently unable to estimate the potential costs and liabilities we may sustain in connection with this incident.</w:t>
      </w:r>
    </w:p>
    <w:p>
      <w:pPr>
        <w:spacing w:after="0" w:line="105" w:lineRule="exact"/>
        <w:rPr>
          <w:sz w:val="20"/>
          <w:szCs w:val="20"/>
          <w:color w:val="auto"/>
        </w:rPr>
      </w:pPr>
    </w:p>
    <w:p>
      <w:pPr>
        <w:jc w:val="both"/>
        <w:ind w:firstLine="401"/>
        <w:spacing w:after="0" w:line="302" w:lineRule="auto"/>
        <w:rPr>
          <w:sz w:val="20"/>
          <w:szCs w:val="20"/>
          <w:color w:val="auto"/>
        </w:rPr>
      </w:pPr>
      <w:r>
        <w:rPr>
          <w:rFonts w:ascii="Arial" w:cs="Arial" w:eastAsia="Arial" w:hAnsi="Arial"/>
          <w:sz w:val="16"/>
          <w:szCs w:val="16"/>
          <w:color w:val="auto"/>
        </w:rPr>
        <w:t>We, certain of our subsidiaries, as well as MMA, DPM and DPTS, have been named as defendants in lawsuits and proceedings related to the incident. In addition, an order was issued by the government of Quebec that requires MMA and us to recover the spilled crude oil caused by the incident and to otherwise fully remediate the impact of the incident on the environment. We have submitted an initial response to this order raising numerous objections to the order. Additional lawsuits, proceedings and orders may be filed or issued, which may involve civil claims for damages or governmental investigative,</w:t>
      </w:r>
    </w:p>
    <w:p>
      <w:pPr>
        <w:sectPr>
          <w:pgSz w:w="11900" w:h="16838" w:orient="portrait"/>
          <w:cols w:equalWidth="0" w:num="1">
            <w:col w:w="11420"/>
          </w:cols>
          <w:pgMar w:left="240" w:top="127" w:right="239" w:bottom="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regulatory or enforcement actions. The adverse resolution of any proceedings related to these events could subject us and/or the joint ventures to monetary damages, fines and other costs, which could have a negative and material impact on our business, prospects, results of operations and financial condition. In addition, we expect legal fees and costs will be incurred in responding to these matters.</w:t>
      </w:r>
    </w:p>
    <w:p>
      <w:pPr>
        <w:spacing w:after="0" w:line="1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and our joint ventures, DPM and DPTS, maintain insurance to mitigate the costs of environmental releases as well as other results of unexpected events, including loss of life, property damage and defense costs, there can be no assurance that our insurance will be adequate to cover any liabilities that may be incurred as a result of this incident. We anticipate that the losses relating to the crude oil and the tanker-cars will be fully covered by insurance.</w:t>
      </w:r>
    </w:p>
    <w:p>
      <w:pPr>
        <w:spacing w:after="0" w:line="1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also evaluating potential claims that we, DPM or DPTS may assert against third parties to recover costs and other liabilities that may be incurred as a result of this incident, including costs of defending against third party claims and regulatory proceedings. We can provide no assurance that any such claims will be successful or that the responsible parties will have the financial resources to address any such claims. Any losses not covered by insurance or otherwise not recoverable from third parties, if significant, could have a material adverse effect on our business, financial condition, results of operations or cash flows.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The train derailment in Lac-Mégantic may result in increased governmental regulation of shipments of crude oil and other fuel products and additional costs.</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rely in part on rail shipments to move crude oil and other fuel products in both the United States and Canada. The accident in Lac-Mégantic and its aftermath could lead to additional governmental regulation of rail shipments of crude oil and other fuel products in Canada and the United States and to increased safety standards for the tanker-cars that transport these products. We cannot predict with any certainty what form any additional regulation or limitations would take. Any increased regulation that arises out of this incident could result in higher operating costs, which could adversely affect our operating results.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June 30, 2013 (in thousands, except average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165"/>
              <w:spacing w:after="0"/>
              <w:rPr>
                <w:sz w:val="20"/>
                <w:szCs w:val="20"/>
                <w:color w:val="auto"/>
              </w:rPr>
            </w:pPr>
            <w:r>
              <w:rPr>
                <w:rFonts w:ascii="Arial" w:cs="Arial" w:eastAsia="Arial" w:hAnsi="Arial"/>
                <w:sz w:val="14"/>
                <w:szCs w:val="14"/>
                <w:b w:val="1"/>
                <w:bCs w:val="1"/>
                <w:color w:val="auto"/>
                <w:w w:val="91"/>
              </w:rPr>
              <w:t>Total Cost of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Remaining Authorized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Average Price</w:t>
            </w: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Repurchases under</w:t>
            </w:r>
          </w:p>
        </w:tc>
        <w:tc>
          <w:tcPr>
            <w:tcW w:w="0" w:type="dxa"/>
            <w:vAlign w:val="bottom"/>
          </w:tcPr>
          <w:p>
            <w:pPr>
              <w:spacing w:after="0"/>
              <w:rPr>
                <w:sz w:val="1"/>
                <w:szCs w:val="1"/>
                <w:color w:val="auto"/>
              </w:rPr>
            </w:pPr>
          </w:p>
        </w:tc>
      </w:tr>
      <w:tr>
        <w:trPr>
          <w:trHeight w:val="149"/>
        </w:trPr>
        <w:tc>
          <w:tcPr>
            <w:tcW w:w="1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3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of 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ind w:left="145"/>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71"/>
        </w:trPr>
        <w:tc>
          <w:tcPr>
            <w:tcW w:w="1960" w:type="dxa"/>
            <w:vAlign w:val="bottom"/>
            <w:gridSpan w:val="3"/>
            <w:vMerge w:val="continue"/>
          </w:tcPr>
          <w:p>
            <w:pPr>
              <w:spacing w:after="0"/>
              <w:rPr>
                <w:sz w:val="14"/>
                <w:szCs w:val="14"/>
                <w:color w:val="auto"/>
              </w:rPr>
            </w:pP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Purchased (1)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Per Share Paid</w:t>
            </w:r>
          </w:p>
        </w:tc>
        <w:tc>
          <w:tcPr>
            <w:tcW w:w="146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or Programs (2)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165"/>
              <w:spacing w:after="0"/>
              <w:rPr>
                <w:sz w:val="20"/>
                <w:szCs w:val="20"/>
                <w:color w:val="auto"/>
              </w:rPr>
            </w:pPr>
            <w:r>
              <w:rPr>
                <w:rFonts w:ascii="Arial" w:cs="Arial" w:eastAsia="Arial" w:hAnsi="Arial"/>
                <w:sz w:val="14"/>
                <w:szCs w:val="14"/>
                <w:b w:val="1"/>
                <w:bCs w:val="1"/>
                <w:color w:val="auto"/>
                <w:w w:val="93"/>
              </w:rPr>
              <w:t>or Programs (2)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Plans or 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4/1/13-4/30/13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24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5/1/13-5/31/13</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40.88</w:t>
            </w:r>
          </w:p>
        </w:tc>
        <w:tc>
          <w:tcPr>
            <w:tcW w:w="14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6/1/13-6/30/13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1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40.88</w:t>
            </w:r>
          </w:p>
        </w:tc>
        <w:tc>
          <w:tcPr>
            <w:tcW w:w="1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ind w:right="124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right="520" w:hanging="6"/>
        <w:spacing w:after="0" w:line="277" w:lineRule="auto"/>
        <w:tabs>
          <w:tab w:leader="none" w:pos="8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shares relate to the purchase of common stock tendered by employees to satisfy the required withholding taxes related to share-based payment awards.</w:t>
      </w:r>
    </w:p>
    <w:p>
      <w:pPr>
        <w:spacing w:after="0" w:line="170" w:lineRule="exact"/>
        <w:rPr>
          <w:rFonts w:ascii="Arial" w:cs="Arial" w:eastAsia="Arial" w:hAnsi="Arial"/>
          <w:sz w:val="18"/>
          <w:szCs w:val="18"/>
          <w:color w:val="auto"/>
        </w:rPr>
      </w:pPr>
    </w:p>
    <w:p>
      <w:pPr>
        <w:jc w:val="both"/>
        <w:ind w:left="500" w:right="20" w:hanging="6"/>
        <w:spacing w:after="0" w:line="302" w:lineRule="auto"/>
        <w:tabs>
          <w:tab w:leader="none" w:pos="8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October 2008, our Board of Directors authorized a $50.0 million common stock repurchase program. The program does not require a minimum number of shares of common stock to be purchased and has no expiration date but may be suspended or discontinued at any time. As of June 30, 2013, no shares of our common stock had been repurchased under this program. The timing and amount of shares of common stock to be repurchased under the program will depend on market conditions, share price, securities law and other legal requirements and other factors.</w:t>
      </w:r>
    </w:p>
    <w:p>
      <w:pPr>
        <w:spacing w:after="0" w:line="15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217"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020" w:type="dxa"/>
            <w:vAlign w:val="bottom"/>
          </w:tcPr>
          <w:p>
            <w:pPr>
              <w:ind w:left="416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11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9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Fourth Exhibit Update to the Receivables Purchase Agreement among World Fuel Services, Inc., World Fuel Services</w:t>
            </w:r>
          </w:p>
        </w:tc>
      </w:t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3"/>
              </w:rPr>
              <w:t>Europe, Ltd., World Fuel Services (Singapore) Pte Ltd, World Fuel Services Trading DMCC, World Fuel Services Aviation</w:t>
            </w:r>
          </w:p>
        </w:tc>
      </w:t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0"/>
              </w:rPr>
              <w:t>Limited as the sellers, World Fuel Services Corporation, as the parent, and Wells Fargo Bank, National Association, dated as</w:t>
            </w:r>
          </w:p>
        </w:tc>
      </w:tr>
      <w:tr>
        <w:trPr>
          <w:trHeight w:val="230"/>
        </w:trPr>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of April 12, 2013.</w:t>
            </w:r>
          </w:p>
        </w:tc>
      </w:tr>
      <w:tr>
        <w:trPr>
          <w:trHeight w:val="432"/>
        </w:trPr>
        <w:tc>
          <w:tcPr>
            <w:tcW w:w="1180" w:type="dxa"/>
            <w:vAlign w:val="bottom"/>
          </w:tcPr>
          <w:p>
            <w:pPr>
              <w:jc w:val="right"/>
              <w:ind w:right="374"/>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432"/>
        </w:trPr>
        <w:tc>
          <w:tcPr>
            <w:tcW w:w="1180" w:type="dxa"/>
            <w:vAlign w:val="bottom"/>
          </w:tcPr>
          <w:p>
            <w:pPr>
              <w:jc w:val="right"/>
              <w:ind w:right="374"/>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432"/>
        </w:trPr>
        <w:tc>
          <w:tcPr>
            <w:tcW w:w="1180" w:type="dxa"/>
            <w:vAlign w:val="bottom"/>
          </w:tcPr>
          <w:p>
            <w:pPr>
              <w:jc w:val="right"/>
              <w:ind w:right="374"/>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4"/>
              </w:rPr>
              <w:t>Certification of Chief Executive Officer and Chief Financial Officer under Section 906 of the Sarbanes-Oxley Act of 2002.</w:t>
            </w:r>
          </w:p>
        </w:tc>
      </w:tr>
    </w:tbl>
    <w:p>
      <w:pPr>
        <w:spacing w:after="0" w:line="202" w:lineRule="exact"/>
        <w:rPr>
          <w:sz w:val="20"/>
          <w:szCs w:val="20"/>
          <w:color w:val="auto"/>
        </w:rPr>
      </w:pPr>
    </w:p>
    <w:p>
      <w:pPr>
        <w:ind w:left="2240" w:right="620" w:hanging="1065"/>
        <w:spacing w:after="0" w:line="291" w:lineRule="auto"/>
        <w:tabs>
          <w:tab w:leader="none" w:pos="2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materials from World Fuel Services Corporation’s Quarterly Report on Form 10-Q for the quarter ended June 30, 2013, formatted in XBRL (Extensible Business Reporting Language); (i) Consolidated Balance Sheets,</w:t>
      </w:r>
    </w:p>
    <w:p>
      <w:pPr>
        <w:ind w:left="2500" w:hanging="258"/>
        <w:spacing w:after="0"/>
        <w:tabs>
          <w:tab w:leader="none" w:pos="25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Consolidated Statements of Income and Comprehensive Income, (iii) Consolidated Statements of Shareholders’ Equity,</w:t>
      </w:r>
    </w:p>
    <w:p>
      <w:pPr>
        <w:spacing w:after="0" w:line="32" w:lineRule="exact"/>
        <w:rPr>
          <w:rFonts w:ascii="Arial" w:cs="Arial" w:eastAsia="Arial" w:hAnsi="Arial"/>
          <w:sz w:val="16"/>
          <w:szCs w:val="16"/>
          <w:color w:val="auto"/>
        </w:rPr>
      </w:pPr>
    </w:p>
    <w:p>
      <w:pPr>
        <w:ind w:left="2540" w:hanging="298"/>
        <w:spacing w:after="0"/>
        <w:tabs>
          <w:tab w:leader="none" w:pos="2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Statements of Cash Flows, and (v) Notes to the Consolidated Financial Statements.</w:t>
      </w:r>
    </w:p>
    <w:p>
      <w:pPr>
        <w:sectPr>
          <w:pgSz w:w="11900" w:h="16838" w:orient="portrait"/>
          <w:cols w:equalWidth="0" w:num="1">
            <w:col w:w="11420"/>
          </w:cols>
          <w:pgMar w:left="240" w:top="125" w:right="239" w:bottom="0" w:gutter="0" w:footer="0" w:header="0"/>
        </w:sectPr>
      </w:pPr>
    </w:p>
    <w:bookmarkStart w:id="24" w:name="page25"/>
    <w:bookmarkEnd w:id="24"/>
    <w:p>
      <w:pPr>
        <w:ind w:left="56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July 31, 2013</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Vice-President and Chief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type w:val="continuous"/>
        </w:sectPr>
      </w:pPr>
    </w:p>
    <w:bookmarkStart w:id="25" w:name="page26"/>
    <w:bookmarkEnd w:id="25"/>
    <w:p>
      <w:pPr>
        <w:ind w:left="1048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FOURTH EXHIBIT UPDATE, dated as of April 12, 2013 (the “</w:t>
      </w:r>
      <w:r>
        <w:rPr>
          <w:rFonts w:ascii="Arial" w:cs="Arial" w:eastAsia="Arial" w:hAnsi="Arial"/>
          <w:sz w:val="17"/>
          <w:szCs w:val="17"/>
          <w:u w:val="single" w:color="auto"/>
          <w:color w:val="auto"/>
        </w:rPr>
        <w:t>Fourth Exhibit Update</w:t>
      </w:r>
      <w:r>
        <w:rPr>
          <w:rFonts w:ascii="Arial" w:cs="Arial" w:eastAsia="Arial" w:hAnsi="Arial"/>
          <w:sz w:val="17"/>
          <w:szCs w:val="17"/>
          <w:color w:val="auto"/>
        </w:rPr>
        <w:t>”), to the RECEIVABLES PURCHASE AGREEMENT, dated as of March 31, 2011, as amended through the date hereof, the “</w:t>
      </w:r>
      <w:r>
        <w:rPr>
          <w:rFonts w:ascii="Arial" w:cs="Arial" w:eastAsia="Arial" w:hAnsi="Arial"/>
          <w:sz w:val="17"/>
          <w:szCs w:val="17"/>
          <w:u w:val="single" w:color="auto"/>
          <w:color w:val="auto"/>
        </w:rPr>
        <w:t>Receivables Purchase Agreement</w:t>
      </w:r>
      <w:r>
        <w:rPr>
          <w:rFonts w:ascii="Arial" w:cs="Arial" w:eastAsia="Arial" w:hAnsi="Arial"/>
          <w:sz w:val="17"/>
          <w:szCs w:val="17"/>
          <w:color w:val="auto"/>
        </w:rPr>
        <w:t>”), among (i) WORLD FUEL SERVICES, INC., a Texas corporation, WORLD FUEL SERVICES EUROPE, LTD., a company organized under the laws of England and Wales (together with its successors and assigns, “</w:t>
      </w:r>
      <w:r>
        <w:rPr>
          <w:rFonts w:ascii="Arial" w:cs="Arial" w:eastAsia="Arial" w:hAnsi="Arial"/>
          <w:sz w:val="17"/>
          <w:szCs w:val="17"/>
          <w:u w:val="single" w:color="auto"/>
          <w:color w:val="auto"/>
        </w:rPr>
        <w:t>WFSE</w:t>
      </w:r>
      <w:r>
        <w:rPr>
          <w:rFonts w:ascii="Arial" w:cs="Arial" w:eastAsia="Arial" w:hAnsi="Arial"/>
          <w:sz w:val="17"/>
          <w:szCs w:val="17"/>
          <w:color w:val="auto"/>
        </w:rPr>
        <w:t>”), WORLD FUEL SERVICES (SINGAPORE) PTE LTD, a company organized under the laws of Singapore (together with its successors and assigns, “</w:t>
      </w:r>
      <w:r>
        <w:rPr>
          <w:rFonts w:ascii="Arial" w:cs="Arial" w:eastAsia="Arial" w:hAnsi="Arial"/>
          <w:sz w:val="17"/>
          <w:szCs w:val="17"/>
          <w:u w:val="single" w:color="auto"/>
          <w:color w:val="auto"/>
        </w:rPr>
        <w:t>WFSS</w:t>
      </w:r>
      <w:r>
        <w:rPr>
          <w:rFonts w:ascii="Arial" w:cs="Arial" w:eastAsia="Arial" w:hAnsi="Arial"/>
          <w:sz w:val="17"/>
          <w:szCs w:val="17"/>
          <w:color w:val="auto"/>
        </w:rPr>
        <w:t>”), WORLD FUEL SERVICES TRADING DMCC, a company organized under rules and regulations of the Dubai Multi Commodities Center and the laws of Dubai (together with its successors and assigns, “</w:t>
      </w:r>
      <w:r>
        <w:rPr>
          <w:rFonts w:ascii="Arial" w:cs="Arial" w:eastAsia="Arial" w:hAnsi="Arial"/>
          <w:sz w:val="17"/>
          <w:szCs w:val="17"/>
          <w:u w:val="single" w:color="auto"/>
          <w:color w:val="auto"/>
        </w:rPr>
        <w:t>WFST</w:t>
      </w:r>
      <w:r>
        <w:rPr>
          <w:rFonts w:ascii="Arial" w:cs="Arial" w:eastAsia="Arial" w:hAnsi="Arial"/>
          <w:sz w:val="17"/>
          <w:szCs w:val="17"/>
          <w:color w:val="auto"/>
        </w:rPr>
        <w:t>”), and WORLD FUEL SERVICES AVIATION LIMITED, a private limited liability company organized under the laws of England and Wales (together with its successors and assigns “</w:t>
      </w:r>
      <w:r>
        <w:rPr>
          <w:rFonts w:ascii="Arial" w:cs="Arial" w:eastAsia="Arial" w:hAnsi="Arial"/>
          <w:sz w:val="17"/>
          <w:szCs w:val="17"/>
          <w:u w:val="single" w:color="auto"/>
          <w:color w:val="auto"/>
        </w:rPr>
        <w:t>WFSA</w:t>
      </w:r>
      <w:r>
        <w:rPr>
          <w:rFonts w:ascii="Arial" w:cs="Arial" w:eastAsia="Arial" w:hAnsi="Arial"/>
          <w:sz w:val="17"/>
          <w:szCs w:val="17"/>
          <w:color w:val="auto"/>
        </w:rPr>
        <w:t>”; WFSI, WFSE, WFSS, WFST and WFSA, together with its and their successors and assigns, each individually, “</w:t>
      </w:r>
      <w:r>
        <w:rPr>
          <w:rFonts w:ascii="Arial" w:cs="Arial" w:eastAsia="Arial" w:hAnsi="Arial"/>
          <w:sz w:val="17"/>
          <w:szCs w:val="17"/>
          <w:u w:val="single" w:color="auto"/>
          <w:color w:val="auto"/>
        </w:rPr>
        <w:t>Seller</w:t>
      </w:r>
      <w:r>
        <w:rPr>
          <w:rFonts w:ascii="Arial" w:cs="Arial" w:eastAsia="Arial" w:hAnsi="Arial"/>
          <w:sz w:val="17"/>
          <w:szCs w:val="17"/>
          <w:color w:val="auto"/>
        </w:rPr>
        <w:t>”, and also collectively, as applicable, “</w:t>
      </w:r>
      <w:r>
        <w:rPr>
          <w:rFonts w:ascii="Arial" w:cs="Arial" w:eastAsia="Arial" w:hAnsi="Arial"/>
          <w:sz w:val="17"/>
          <w:szCs w:val="17"/>
          <w:u w:val="single" w:color="auto"/>
          <w:color w:val="auto"/>
        </w:rPr>
        <w:t>Seller</w:t>
      </w:r>
      <w:r>
        <w:rPr>
          <w:rFonts w:ascii="Arial" w:cs="Arial" w:eastAsia="Arial" w:hAnsi="Arial"/>
          <w:sz w:val="17"/>
          <w:szCs w:val="17"/>
          <w:color w:val="auto"/>
        </w:rPr>
        <w:t>”), (ii) WORLD FUEL SERVICES CORPORATION, a Florida corporation (together with its successors and assigns, “</w:t>
      </w:r>
      <w:r>
        <w:rPr>
          <w:rFonts w:ascii="Arial" w:cs="Arial" w:eastAsia="Arial" w:hAnsi="Arial"/>
          <w:sz w:val="17"/>
          <w:szCs w:val="17"/>
          <w:u w:val="single" w:color="auto"/>
          <w:color w:val="auto"/>
        </w:rPr>
        <w:t>Parent</w:t>
      </w:r>
      <w:r>
        <w:rPr>
          <w:rFonts w:ascii="Arial" w:cs="Arial" w:eastAsia="Arial" w:hAnsi="Arial"/>
          <w:sz w:val="17"/>
          <w:szCs w:val="17"/>
          <w:color w:val="auto"/>
        </w:rPr>
        <w:t>”), and (iii) WELLS FARGO BANK, NATIONAL ASSOCIATION, a U.S. national banking association (together with its successors and permitted assigns, “</w:t>
      </w:r>
      <w:r>
        <w:rPr>
          <w:rFonts w:ascii="Arial" w:cs="Arial" w:eastAsia="Arial" w:hAnsi="Arial"/>
          <w:sz w:val="17"/>
          <w:szCs w:val="17"/>
          <w:u w:val="single" w:color="auto"/>
          <w:color w:val="auto"/>
        </w:rPr>
        <w:t>Wells</w:t>
      </w:r>
      <w:r>
        <w:rPr>
          <w:rFonts w:ascii="Arial" w:cs="Arial" w:eastAsia="Arial" w:hAnsi="Arial"/>
          <w:sz w:val="17"/>
          <w:szCs w:val="17"/>
          <w:color w:val="auto"/>
        </w:rPr>
        <w:t>”). Terms not otherwise defined herein shall have the meanings set forth in the Receivables Purchase Agreement.</w:t>
      </w:r>
    </w:p>
    <w:p>
      <w:pPr>
        <w:spacing w:after="0" w:line="183" w:lineRule="exact"/>
        <w:rPr>
          <w:sz w:val="20"/>
          <w:szCs w:val="20"/>
          <w:color w:val="auto"/>
        </w:rPr>
      </w:pPr>
    </w:p>
    <w:p>
      <w:pPr>
        <w:ind w:right="140" w:firstLine="656"/>
        <w:spacing w:after="0" w:line="277" w:lineRule="auto"/>
        <w:tabs>
          <w:tab w:leader="none" w:pos="129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Fourth Exhibit Update</w:t>
      </w:r>
      <w:r>
        <w:rPr>
          <w:rFonts w:ascii="Arial" w:cs="Arial" w:eastAsia="Arial" w:hAnsi="Arial"/>
          <w:sz w:val="18"/>
          <w:szCs w:val="18"/>
          <w:color w:val="auto"/>
        </w:rPr>
        <w:t>. Seller, Parent and Wells hereby agree to substitute Exhibit A to the Receivables Purchase Agreement with the new Exhibit A attached to this Fourth Exhibit Update, effective as of April 12, 2013.</w:t>
      </w:r>
    </w:p>
    <w:p>
      <w:pPr>
        <w:spacing w:after="0" w:line="170" w:lineRule="exact"/>
        <w:rPr>
          <w:rFonts w:ascii="Arial" w:cs="Arial" w:eastAsia="Arial" w:hAnsi="Arial"/>
          <w:sz w:val="18"/>
          <w:szCs w:val="18"/>
          <w:color w:val="auto"/>
        </w:rPr>
      </w:pPr>
    </w:p>
    <w:p>
      <w:pPr>
        <w:ind w:right="20" w:firstLine="656"/>
        <w:spacing w:after="0" w:line="293"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Confirmation of Parent Guaranty</w:t>
      </w:r>
      <w:r>
        <w:rPr>
          <w:rFonts w:ascii="Arial" w:cs="Arial" w:eastAsia="Arial" w:hAnsi="Arial"/>
          <w:sz w:val="16"/>
          <w:szCs w:val="16"/>
          <w:color w:val="auto"/>
        </w:rPr>
        <w:t>. By its execution of this Fourth Exhibit Update, Parent hereby consents to and acknowledges this Fourth Exhibit Update, and further acknowledges the continuing validity of the Parent Guaranty and reaffirms all of the terms and obligations contained in the Parent Guaranty, which shall remain in full force and effect for all obligations of Seller now or hereafter owing to Wells and acknowledges, agrees, represents and warrants that no oral or other agreements, understandings, representations or warranties exist with respect to the Parent Guaranty or with respect to the obligations of the undersigned thereunder, except those specifically set forth herein. Parent further acknowledges and agrees that neither further notice to, nor consent of, Parent with respect to the modifications effected by this Fourth Exhibit Update is required under the terms of the Parent Guaranty.</w:t>
      </w:r>
    </w:p>
    <w:p>
      <w:pPr>
        <w:spacing w:after="0" w:line="164" w:lineRule="exact"/>
        <w:rPr>
          <w:rFonts w:ascii="Arial" w:cs="Arial" w:eastAsia="Arial" w:hAnsi="Arial"/>
          <w:sz w:val="16"/>
          <w:szCs w:val="16"/>
          <w:color w:val="auto"/>
        </w:rPr>
      </w:pPr>
    </w:p>
    <w:p>
      <w:pPr>
        <w:ind w:right="300" w:firstLine="656"/>
        <w:spacing w:after="0" w:line="286" w:lineRule="auto"/>
        <w:tabs>
          <w:tab w:leader="none" w:pos="129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This Fourth Exhibit Update, and the Receivables Purchase Agreement as so amended by this Fourth Exhibit Update, shall be interpreted in accordance with and governed by the laws of the State of New York without giving effect to conflicts of law principles that would cause the application of the law of any jurisdiction other than the laws of the State of New York.</w:t>
      </w:r>
    </w:p>
    <w:p>
      <w:pPr>
        <w:spacing w:after="0" w:line="165" w:lineRule="exact"/>
        <w:rPr>
          <w:rFonts w:ascii="Arial" w:cs="Arial" w:eastAsia="Arial" w:hAnsi="Arial"/>
          <w:sz w:val="17"/>
          <w:szCs w:val="17"/>
          <w:color w:val="auto"/>
        </w:rPr>
      </w:pPr>
    </w:p>
    <w:p>
      <w:pPr>
        <w:jc w:val="both"/>
        <w:ind w:right="80" w:firstLine="656"/>
        <w:spacing w:after="0" w:line="312"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Fourth Exhibit Update may be executed in any number of counterparts, each of which shall be an original, but all of which taken together shall constitute one and the same agreement. Delivery of an executed counterpart of this Fourth Exhibit Update by PDF copy, telefacsimile or other electronic means shall have the same force and effect as the delivery of an original executed counterpart of this Fourth Exhibit Update.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WITNESS WHEREOF each Seller, Wells and Parent have caused this Fourth Exhibit Update to be executed by their respective officers thereunto duly authorized as of the date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 as Purchaser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Barbara Van Meerten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Barbara Van Meerten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INC.,</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Seller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Adrienne Urban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Adrienne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EUROPE, LTD.,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Seller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Adrienne Urban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Adrienne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56" w:gutter="0" w:footer="0" w:header="0"/>
        </w:sectPr>
      </w:pPr>
    </w:p>
    <w:bookmarkStart w:id="26" w:name="page27"/>
    <w:bookmarkEnd w:id="26"/>
    <w:p>
      <w:pPr>
        <w:spacing w:after="0" w:line="6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(SINGAPORE) PTE LTD,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Seller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Francis Lee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Francis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TRADING DMCC,</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Seller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Richard McMichael</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McMichael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Senior Vice President — Finance (Aviation)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AVIATION LIMITED,</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a Seller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Christopher White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Christopher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 Finance, EMEA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CORPORATION,</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Parent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Adrienne Urban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Adrienne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Vice President,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Exhibit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List of Account Debtors*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BHP Billiton Marketing AG</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$7,200,000</w:t>
            </w:r>
          </w:p>
        </w:tc>
      </w:tr>
      <w:tr>
        <w:trPr>
          <w:trHeight w:val="216"/>
        </w:trPr>
        <w:tc>
          <w:tcPr>
            <w:tcW w:w="5820" w:type="dxa"/>
            <w:vAlign w:val="bottom"/>
            <w:shd w:val="clear" w:color="auto" w:fill="CCEEFF"/>
          </w:tcPr>
          <w:p>
            <w:pPr>
              <w:spacing w:after="0"/>
              <w:rPr>
                <w:sz w:val="18"/>
                <w:szCs w:val="18"/>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Cathay Pacific Airways Ltd.</w:t>
            </w:r>
          </w:p>
        </w:tc>
        <w:tc>
          <w:tcPr>
            <w:tcW w:w="3640" w:type="dxa"/>
            <w:vAlign w:val="bottom"/>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1960" w:type="dxa"/>
            <w:vAlign w:val="bottom"/>
          </w:tcPr>
          <w:p>
            <w:pPr>
              <w:ind w:left="300"/>
              <w:spacing w:after="0" w:line="201" w:lineRule="exact"/>
              <w:rPr>
                <w:sz w:val="20"/>
                <w:szCs w:val="20"/>
                <w:color w:val="auto"/>
              </w:rPr>
            </w:pPr>
            <w:r>
              <w:rPr>
                <w:rFonts w:ascii="Arial" w:cs="Arial" w:eastAsia="Arial" w:hAnsi="Arial"/>
                <w:sz w:val="18"/>
                <w:szCs w:val="18"/>
                <w:color w:val="auto"/>
              </w:rPr>
              <w:t>$9,500,000</w:t>
            </w:r>
          </w:p>
        </w:tc>
      </w:tr>
      <w:tr>
        <w:trPr>
          <w:trHeight w:val="230"/>
        </w:trPr>
        <w:tc>
          <w:tcPr>
            <w:tcW w:w="5820" w:type="dxa"/>
            <w:vAlign w:val="bottom"/>
          </w:tcPr>
          <w:p>
            <w:pPr>
              <w:spacing w:after="0"/>
              <w:rPr>
                <w:sz w:val="20"/>
                <w:szCs w:val="20"/>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tcPr>
          <w:p>
            <w:pPr>
              <w:ind w:left="30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Deutsche Lufthansa AG (Parent)</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$4,000,000</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Austrian Airlines AG (Subsidiary)</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Lufthansa Cargo AG (Subsidiary)</w:t>
            </w: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Swiss International Airlines AG (Subsidiary)</w:t>
            </w:r>
          </w:p>
        </w:tc>
        <w:tc>
          <w:tcPr>
            <w:tcW w:w="3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98"/>
        </w:trPr>
        <w:tc>
          <w:tcPr>
            <w:tcW w:w="5820" w:type="dxa"/>
            <w:vAlign w:val="bottom"/>
            <w:shd w:val="clear" w:color="auto" w:fill="CCEEFF"/>
          </w:tcPr>
          <w:p>
            <w:pPr>
              <w:ind w:left="180"/>
              <w:spacing w:after="0" w:line="198" w:lineRule="exact"/>
              <w:rPr>
                <w:sz w:val="20"/>
                <w:szCs w:val="20"/>
                <w:color w:val="auto"/>
              </w:rPr>
            </w:pPr>
            <w:r>
              <w:rPr>
                <w:rFonts w:ascii="Arial" w:cs="Arial" w:eastAsia="Arial" w:hAnsi="Arial"/>
                <w:sz w:val="18"/>
                <w:szCs w:val="18"/>
                <w:color w:val="auto"/>
              </w:rPr>
              <w:t>Deutsche Lufthansa Aktiengessellschaft (Subsidiary)</w:t>
            </w:r>
          </w:p>
        </w:tc>
        <w:tc>
          <w:tcPr>
            <w:tcW w:w="3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20"/>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Edelweiss Air AG (Subsidiary)</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$300,000</w:t>
            </w:r>
          </w:p>
        </w:tc>
      </w:tr>
      <w:tr>
        <w:trPr>
          <w:trHeight w:val="230"/>
        </w:trPr>
        <w:tc>
          <w:tcPr>
            <w:tcW w:w="5820" w:type="dxa"/>
            <w:vAlign w:val="bottom"/>
            <w:shd w:val="clear" w:color="auto" w:fill="CCEEFF"/>
          </w:tcPr>
          <w:p>
            <w:pPr>
              <w:spacing w:after="0"/>
              <w:rPr>
                <w:sz w:val="20"/>
                <w:szCs w:val="20"/>
                <w:color w:val="auto"/>
              </w:rPr>
            </w:pP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Kawasaki Kisen Kaisha Ltd. (Parent)</w:t>
            </w:r>
          </w:p>
        </w:tc>
        <w:tc>
          <w:tcPr>
            <w:tcW w:w="3640" w:type="dxa"/>
            <w:vAlign w:val="bottom"/>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1960" w:type="dxa"/>
            <w:vAlign w:val="bottom"/>
          </w:tcPr>
          <w:p>
            <w:pPr>
              <w:ind w:left="300"/>
              <w:spacing w:after="0" w:line="201" w:lineRule="exact"/>
              <w:rPr>
                <w:sz w:val="20"/>
                <w:szCs w:val="20"/>
                <w:color w:val="auto"/>
              </w:rPr>
            </w:pPr>
            <w:r>
              <w:rPr>
                <w:rFonts w:ascii="Arial" w:cs="Arial" w:eastAsia="Arial" w:hAnsi="Arial"/>
                <w:sz w:val="18"/>
                <w:szCs w:val="18"/>
                <w:color w:val="auto"/>
              </w:rPr>
              <w:t>$15,150,000</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K Line Pte. Ltd (Subsidiary)</w:t>
            </w:r>
          </w:p>
        </w:tc>
        <w:tc>
          <w:tcPr>
            <w:tcW w:w="3640" w:type="dxa"/>
            <w:vAlign w:val="bottom"/>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tcPr>
          <w:p>
            <w:pPr>
              <w:ind w:left="300"/>
              <w:spacing w:after="0"/>
              <w:rPr>
                <w:sz w:val="20"/>
                <w:szCs w:val="20"/>
                <w:color w:val="auto"/>
              </w:rPr>
            </w:pPr>
            <w:r>
              <w:rPr>
                <w:rFonts w:ascii="Arial" w:cs="Arial" w:eastAsia="Arial" w:hAnsi="Arial"/>
                <w:sz w:val="18"/>
                <w:szCs w:val="18"/>
                <w:color w:val="auto"/>
              </w:rPr>
              <w:t>40 Days</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K Line Global Bulk (Subsidiary)</w:t>
            </w:r>
          </w:p>
        </w:tc>
        <w:tc>
          <w:tcPr>
            <w:tcW w:w="36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Nippon Yusen Kaisha (NYK) (Parent)</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$11,240,000</w:t>
            </w: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NYK Global Bulk (Subsidiary)</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Noble Group Ltd. (Parent)</w:t>
            </w:r>
          </w:p>
        </w:tc>
        <w:tc>
          <w:tcPr>
            <w:tcW w:w="3640" w:type="dxa"/>
            <w:vAlign w:val="bottom"/>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1960" w:type="dxa"/>
            <w:vAlign w:val="bottom"/>
          </w:tcPr>
          <w:p>
            <w:pPr>
              <w:ind w:left="300"/>
              <w:spacing w:after="0" w:line="201" w:lineRule="exact"/>
              <w:rPr>
                <w:sz w:val="20"/>
                <w:szCs w:val="20"/>
                <w:color w:val="auto"/>
              </w:rPr>
            </w:pPr>
            <w:r>
              <w:rPr>
                <w:rFonts w:ascii="Arial" w:cs="Arial" w:eastAsia="Arial" w:hAnsi="Arial"/>
                <w:sz w:val="18"/>
                <w:szCs w:val="18"/>
                <w:color w:val="auto"/>
              </w:rPr>
              <w:t>$6,100,000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Noble Chartering, Inc. (Subsidiary)</w:t>
            </w:r>
          </w:p>
        </w:tc>
        <w:tc>
          <w:tcPr>
            <w:tcW w:w="3640" w:type="dxa"/>
            <w:vAlign w:val="bottom"/>
          </w:tcPr>
          <w:p>
            <w:pPr>
              <w:ind w:left="320"/>
              <w:spacing w:after="0"/>
              <w:rPr>
                <w:sz w:val="20"/>
                <w:szCs w:val="20"/>
                <w:color w:val="auto"/>
              </w:rPr>
            </w:pPr>
            <w:r>
              <w:rPr>
                <w:rFonts w:ascii="Arial" w:cs="Arial" w:eastAsia="Arial" w:hAnsi="Arial"/>
                <w:sz w:val="18"/>
                <w:szCs w:val="18"/>
                <w:color w:val="auto"/>
              </w:rPr>
              <w:t>Maximum Invoice Terms:</w:t>
            </w:r>
          </w:p>
        </w:tc>
        <w:tc>
          <w:tcPr>
            <w:tcW w:w="1960" w:type="dxa"/>
            <w:vAlign w:val="bottom"/>
          </w:tcPr>
          <w:p>
            <w:pPr>
              <w:ind w:left="30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NYK Trading Corporation</w:t>
            </w:r>
          </w:p>
        </w:tc>
        <w:tc>
          <w:tcPr>
            <w:tcW w:w="3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1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$10,710,000</w:t>
            </w:r>
          </w:p>
        </w:tc>
      </w:tr>
      <w:tr>
        <w:trPr>
          <w:trHeight w:val="30"/>
        </w:trPr>
        <w:tc>
          <w:tcPr>
            <w:tcW w:w="582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ectPr>
          <w:pgSz w:w="11900" w:h="16900" w:orient="portrait"/>
          <w:cols w:equalWidth="0" w:num="1">
            <w:col w:w="11420"/>
          </w:cols>
          <w:pgMar w:left="240" w:top="341"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Singapore Airlines Ltd. (Parent)</w:t>
            </w:r>
          </w:p>
        </w:tc>
        <w:tc>
          <w:tcPr>
            <w:tcW w:w="31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2440" w:type="dxa"/>
            <w:vAlign w:val="bottom"/>
          </w:tcPr>
          <w:p>
            <w:pPr>
              <w:ind w:left="780"/>
              <w:spacing w:after="0" w:line="201" w:lineRule="exact"/>
              <w:rPr>
                <w:sz w:val="20"/>
                <w:szCs w:val="20"/>
                <w:color w:val="auto"/>
              </w:rPr>
            </w:pPr>
            <w:r>
              <w:rPr>
                <w:rFonts w:ascii="Arial" w:cs="Arial" w:eastAsia="Arial" w:hAnsi="Arial"/>
                <w:sz w:val="18"/>
                <w:szCs w:val="18"/>
                <w:color w:val="auto"/>
              </w:rPr>
              <w:t>$6,500,000</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Singapore Airlines Cargo Pte. Ltd. (Subsidiary)</w:t>
            </w: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tcPr>
          <w:p>
            <w:pPr>
              <w:ind w:left="780"/>
              <w:spacing w:after="0"/>
              <w:rPr>
                <w:sz w:val="20"/>
                <w:szCs w:val="20"/>
                <w:color w:val="auto"/>
              </w:rPr>
            </w:pPr>
            <w:r>
              <w:rPr>
                <w:rFonts w:ascii="Arial" w:cs="Arial" w:eastAsia="Arial" w:hAnsi="Arial"/>
                <w:sz w:val="18"/>
                <w:szCs w:val="18"/>
                <w:color w:val="auto"/>
              </w:rPr>
              <w:t>30 Days</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SilkAir (Singapore) Private Limited (Subsidiary)</w:t>
            </w:r>
          </w:p>
        </w:tc>
        <w:tc>
          <w:tcPr>
            <w:tcW w:w="3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Vale International, S.A.</w:t>
            </w: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$9,500,000</w:t>
            </w:r>
          </w:p>
        </w:tc>
      </w:tr>
      <w:tr>
        <w:trPr>
          <w:trHeight w:val="216"/>
        </w:trPr>
        <w:tc>
          <w:tcPr>
            <w:tcW w:w="58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Federal Express Corporation</w:t>
            </w:r>
          </w:p>
        </w:tc>
        <w:tc>
          <w:tcPr>
            <w:tcW w:w="31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2440" w:type="dxa"/>
            <w:vAlign w:val="bottom"/>
          </w:tcPr>
          <w:p>
            <w:pPr>
              <w:ind w:left="780"/>
              <w:spacing w:after="0" w:line="201" w:lineRule="exact"/>
              <w:rPr>
                <w:sz w:val="20"/>
                <w:szCs w:val="20"/>
                <w:color w:val="auto"/>
              </w:rPr>
            </w:pPr>
            <w:r>
              <w:rPr>
                <w:rFonts w:ascii="Arial" w:cs="Arial" w:eastAsia="Arial" w:hAnsi="Arial"/>
                <w:sz w:val="18"/>
                <w:szCs w:val="18"/>
                <w:color w:val="auto"/>
              </w:rPr>
              <w:t>$4,500,000</w:t>
            </w:r>
          </w:p>
        </w:tc>
      </w:tr>
      <w:tr>
        <w:trPr>
          <w:trHeight w:val="230"/>
        </w:trPr>
        <w:tc>
          <w:tcPr>
            <w:tcW w:w="582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tcPr>
          <w:p>
            <w:pPr>
              <w:ind w:left="78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DHL Express (USA) Inc.</w:t>
            </w: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$2,000,000</w:t>
            </w:r>
          </w:p>
        </w:tc>
      </w:tr>
      <w:tr>
        <w:trPr>
          <w:trHeight w:val="216"/>
        </w:trPr>
        <w:tc>
          <w:tcPr>
            <w:tcW w:w="58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DLA Contract #SP0600-10-D-0051</w:t>
            </w:r>
          </w:p>
        </w:tc>
        <w:tc>
          <w:tcPr>
            <w:tcW w:w="31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2440" w:type="dxa"/>
            <w:vAlign w:val="bottom"/>
          </w:tcPr>
          <w:p>
            <w:pPr>
              <w:ind w:left="780"/>
              <w:spacing w:after="0" w:line="201" w:lineRule="exact"/>
              <w:rPr>
                <w:sz w:val="20"/>
                <w:szCs w:val="20"/>
                <w:color w:val="auto"/>
              </w:rPr>
            </w:pPr>
            <w:r>
              <w:rPr>
                <w:rFonts w:ascii="Arial" w:cs="Arial" w:eastAsia="Arial" w:hAnsi="Arial"/>
                <w:sz w:val="18"/>
                <w:szCs w:val="18"/>
                <w:color w:val="auto"/>
              </w:rPr>
              <w:t>$50,000,000</w:t>
            </w:r>
          </w:p>
        </w:tc>
      </w:tr>
      <w:tr>
        <w:trPr>
          <w:trHeight w:val="230"/>
        </w:trPr>
        <w:tc>
          <w:tcPr>
            <w:tcW w:w="582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tcPr>
          <w:p>
            <w:pPr>
              <w:ind w:left="78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DLA Contract #SP0600-11-D-1013(1)</w:t>
            </w: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$50,000,000</w:t>
            </w:r>
          </w:p>
        </w:tc>
      </w:tr>
      <w:tr>
        <w:trPr>
          <w:trHeight w:val="216"/>
        </w:trPr>
        <w:tc>
          <w:tcPr>
            <w:tcW w:w="58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 Days</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b w:val="1"/>
                <w:bCs w:val="1"/>
                <w:color w:val="auto"/>
              </w:rPr>
              <w:t>DLA Contract #SP0600-12-D-1002(2)</w:t>
            </w:r>
          </w:p>
        </w:tc>
        <w:tc>
          <w:tcPr>
            <w:tcW w:w="31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Purchase Limit (Aggregate):</w:t>
            </w:r>
          </w:p>
        </w:tc>
        <w:tc>
          <w:tcPr>
            <w:tcW w:w="2440" w:type="dxa"/>
            <w:vAlign w:val="bottom"/>
          </w:tcPr>
          <w:p>
            <w:pPr>
              <w:ind w:left="780"/>
              <w:spacing w:after="0" w:line="201" w:lineRule="exact"/>
              <w:rPr>
                <w:sz w:val="20"/>
                <w:szCs w:val="20"/>
                <w:color w:val="auto"/>
              </w:rPr>
            </w:pPr>
            <w:r>
              <w:rPr>
                <w:rFonts w:ascii="Arial" w:cs="Arial" w:eastAsia="Arial" w:hAnsi="Arial"/>
                <w:sz w:val="18"/>
                <w:szCs w:val="18"/>
                <w:color w:val="auto"/>
              </w:rPr>
              <w:t>$50,000,000</w:t>
            </w:r>
          </w:p>
        </w:tc>
      </w:tr>
      <w:tr>
        <w:trPr>
          <w:trHeight w:val="230"/>
        </w:trPr>
        <w:tc>
          <w:tcPr>
            <w:tcW w:w="5820" w:type="dxa"/>
            <w:vAlign w:val="bottom"/>
          </w:tcPr>
          <w:p>
            <w:pPr>
              <w:spacing w:after="0"/>
              <w:rPr>
                <w:sz w:val="20"/>
                <w:szCs w:val="20"/>
                <w:color w:val="auto"/>
              </w:rPr>
            </w:pPr>
          </w:p>
        </w:tc>
        <w:tc>
          <w:tcPr>
            <w:tcW w:w="3160" w:type="dxa"/>
            <w:vAlign w:val="bottom"/>
            <w:gridSpan w:val="2"/>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tcPr>
          <w:p>
            <w:pPr>
              <w:ind w:left="78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A.P. Møller — Mærsk A/S (Parent)</w:t>
            </w: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Purchase Limit (Aggregate):</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$5,400,000</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Mærsk Line Ltd. (State of Delaware) (Subsidiary)</w:t>
            </w:r>
          </w:p>
        </w:tc>
        <w:tc>
          <w:tcPr>
            <w:tcW w:w="3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Maximum Invoice Terms:</w:t>
            </w:r>
          </w:p>
        </w:tc>
        <w:tc>
          <w:tcPr>
            <w:tcW w:w="24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30 Days</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Mærsk A/S (Subsidiary)</w:t>
            </w:r>
          </w:p>
        </w:tc>
        <w:tc>
          <w:tcPr>
            <w:tcW w:w="3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23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Mærsk Drilling Australia Pty. Ltd. (Subsidiary)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Mærsk Supply Services A/S (Subsidiary)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Mærsk Tankers A/S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40" w:firstLine="8"/>
        <w:spacing w:after="0" w:line="264"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DLA Contract # SP0600-09-D-1012 (“</w:t>
      </w:r>
      <w:r>
        <w:rPr>
          <w:rFonts w:ascii="Arial" w:cs="Arial" w:eastAsia="Arial" w:hAnsi="Arial"/>
          <w:sz w:val="18"/>
          <w:szCs w:val="18"/>
          <w:u w:val="single" w:color="auto"/>
          <w:color w:val="auto"/>
        </w:rPr>
        <w:t>Contract 1012</w:t>
      </w:r>
      <w:r>
        <w:rPr>
          <w:rFonts w:ascii="Arial" w:cs="Arial" w:eastAsia="Arial" w:hAnsi="Arial"/>
          <w:sz w:val="18"/>
          <w:szCs w:val="18"/>
          <w:color w:val="auto"/>
        </w:rPr>
        <w:t>”) expired in August of 2011 and was renewed under DLA Contract # SP0600-11-D-1013 (“</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1013</w:t>
      </w:r>
      <w:r>
        <w:rPr>
          <w:rFonts w:ascii="Arial" w:cs="Arial" w:eastAsia="Arial" w:hAnsi="Arial"/>
          <w:sz w:val="18"/>
          <w:szCs w:val="18"/>
          <w:color w:val="auto"/>
        </w:rPr>
        <w:t>”) . Purchases of Receivables occurring after the expiration of Contract 1012 that referenced Contract 1012 shall be deemed to have been purchases for Receivables arising under Contract 1013 for all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of Receivables that referenced DLA Contract #SP0600-02-D-1002 shall be deemed to have been purchases for Receivables arising under Contract DLA Contract #SP0600-12-D-1002 for all purposes.</w:t>
      </w:r>
    </w:p>
    <w:p>
      <w:pPr>
        <w:spacing w:after="0" w:line="170" w:lineRule="exact"/>
        <w:rPr>
          <w:sz w:val="20"/>
          <w:szCs w:val="20"/>
          <w:color w:val="auto"/>
        </w:rPr>
      </w:pPr>
    </w:p>
    <w:p>
      <w:pPr>
        <w:ind w:right="120" w:firstLine="8"/>
        <w:spacing w:after="0" w:line="255" w:lineRule="auto"/>
        <w:tabs>
          <w:tab w:leader="none" w:pos="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Each Purchase Limit reflects the </w:t>
      </w:r>
      <w:r>
        <w:rPr>
          <w:rFonts w:ascii="Arial" w:cs="Arial" w:eastAsia="Arial" w:hAnsi="Arial"/>
          <w:sz w:val="18"/>
          <w:szCs w:val="18"/>
          <w:i w:val="1"/>
          <w:iCs w:val="1"/>
          <w:color w:val="auto"/>
        </w:rPr>
        <w:t>aggregate</w:t>
      </w:r>
      <w:r>
        <w:rPr>
          <w:rFonts w:ascii="Arial" w:cs="Arial" w:eastAsia="Arial" w:hAnsi="Arial"/>
          <w:sz w:val="18"/>
          <w:szCs w:val="18"/>
          <w:color w:val="auto"/>
        </w:rPr>
        <w:t xml:space="preserve"> Purchase Limit for the applicable parent and its subsidiaries, if any, that are listed beneath such parent on this Exhibit A. Pursuant to Section 1.18(a) of this Agreement, in order to be an Eligible Receivable, the Receivable must be evidenced by an invoice or other documentation delivered to the Account Debtor (or a subsidiary of an Account Debtor, of which such Account Debtor directly owns more than 50% of the voting share capital and which is listed on this Exhibit A), which by its terms is due and payable by the Due Date, provided that the Due Date with respect to the Receivable is no greater than the number of days after the Purchase Date than the number of days designated as the “Maximum Invoice Term” for each Account Debtor set forth on this Exhibit 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quarterly period ended June 30, 2013;</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quarterly period ended June 30, 2013;</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81" w:lineRule="exact"/>
        <w:rPr>
          <w:rFonts w:ascii="Arial" w:cs="Arial" w:eastAsia="Arial" w:hAnsi="Arial"/>
          <w:sz w:val="18"/>
          <w:szCs w:val="18"/>
          <w:color w:val="auto"/>
        </w:rPr>
      </w:pPr>
    </w:p>
    <w:p>
      <w:pPr>
        <w:ind w:left="1300" w:right="100" w:hanging="320"/>
        <w:spacing w:after="0" w:line="264"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320"/>
        <w:spacing w:after="0" w:line="342"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Michael J. Kasbar, the President and Chief Executive Officer of World Fuel Services Corporation (the “Company”), and Ira M. Birns, the Executive Vice-President and Chief Financial Officer of the Company, certify for the purposes of Section 1350 of Chapter 63 of Title 18 of the United States Code that, to the best of our knowledge,</w:t>
      </w:r>
    </w:p>
    <w:p>
      <w:pPr>
        <w:spacing w:after="0" w:line="181" w:lineRule="exact"/>
        <w:rPr>
          <w:sz w:val="20"/>
          <w:szCs w:val="20"/>
          <w:color w:val="auto"/>
        </w:rPr>
      </w:pPr>
    </w:p>
    <w:p>
      <w:pPr>
        <w:ind w:left="980" w:right="620" w:hanging="486"/>
        <w:spacing w:after="0" w:line="277" w:lineRule="auto"/>
        <w:tabs>
          <w:tab w:leader="none" w:pos="100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2013 (the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hanging="526"/>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Michael J. Kasbar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Vice-President and Chief Financial Officer</w:t>
      </w:r>
    </w:p>
    <w:p>
      <w:pPr>
        <w:spacing w:after="0" w:line="21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01"/>
    </w:lvl>
    <w:lvl w:ilvl="1">
      <w:lvlJc w:val="left"/>
      <w:lvlText w:val="(%2)"/>
      <w:numFmt w:val="lowerRoman"/>
      <w:start w:val="2"/>
    </w:lvl>
  </w:abstractNum>
  <w:abstractNum w:abstractNumId="17">
    <w:nsid w:val="333AB105"/>
    <w:multiLevelType w:val="hybridMultilevel"/>
    <w:lvl w:ilvl="0">
      <w:lvlJc w:val="left"/>
      <w:lvlText w:val="%1"/>
      <w:numFmt w:val="decimal"/>
      <w:start w:val="1"/>
    </w:lvl>
    <w:lvl w:ilvl="1">
      <w:lvlJc w:val="left"/>
      <w:lvlText w:val="(%2)"/>
      <w:numFmt w:val="lowerRoman"/>
      <w:start w:val="4"/>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2"/>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2019-12-05T22:58:56Z</dcterms:created>
  <dcterms:modified xsi:type="dcterms:W3CDTF">2019-12-05T22:58:56Z</dcterms:modified>
</cp:coreProperties>
</file>