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64230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326390</wp:posOffset>
            </wp:positionV>
            <wp:extent cx="6423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9" w:lineRule="exact"/>
        <w:rPr>
          <w:sz w:val="24"/>
          <w:szCs w:val="24"/>
          <w:color w:val="auto"/>
        </w:rPr>
      </w:pPr>
    </w:p>
    <w:p>
      <w:pPr>
        <w:ind w:left="2640" w:right="240" w:hanging="2320"/>
        <w:spacing w:after="0" w:line="494" w:lineRule="auto"/>
        <w:tabs>
          <w:tab w:leader="none" w:pos="73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2015</w:t>
      </w:r>
    </w:p>
    <w:p>
      <w:pPr>
        <w:spacing w:after="0" w:line="26" w:lineRule="exact"/>
        <w:rPr>
          <w:sz w:val="24"/>
          <w:szCs w:val="24"/>
          <w:color w:val="auto"/>
        </w:rPr>
      </w:pPr>
    </w:p>
    <w:p>
      <w:pPr>
        <w:ind w:left="720" w:hanging="400"/>
        <w:spacing w:after="0"/>
        <w:tabs>
          <w:tab w:leader="none" w:pos="7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2280"/>
        <w:spacing w:after="0"/>
        <w:tabs>
          <w:tab w:leader="none" w:pos="6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2501900</wp:posOffset>
            </wp:positionH>
            <wp:positionV relativeFrom="paragraph">
              <wp:posOffset>88265</wp:posOffset>
            </wp:positionV>
            <wp:extent cx="141478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WORLD FUEL SERVICES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216"/>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8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4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9800 N.W. 41</w:t>
            </w:r>
            <w:r>
              <w:rPr>
                <w:rFonts w:ascii="Times New Roman" w:cs="Times New Roman" w:eastAsia="Times New Roman" w:hAnsi="Times New Roman"/>
                <w:sz w:val="11"/>
                <w:szCs w:val="11"/>
                <w:b w:val="1"/>
                <w:bCs w:val="1"/>
                <w:color w:val="auto"/>
                <w:w w:val="99"/>
              </w:rPr>
              <w:t>st</w:t>
            </w:r>
            <w:r>
              <w:rPr>
                <w:rFonts w:ascii="Times New Roman" w:cs="Times New Roman" w:eastAsia="Times New Roman" w:hAnsi="Times New Roman"/>
                <w:sz w:val="18"/>
                <w:szCs w:val="18"/>
                <w:b w:val="1"/>
                <w:bCs w:val="1"/>
                <w:color w:val="auto"/>
                <w:w w:val="99"/>
              </w:rPr>
              <w:t xml:space="preserve"> Street</w:t>
            </w:r>
          </w:p>
        </w:tc>
        <w:tc>
          <w:tcPr>
            <w:tcW w:w="2840" w:type="dxa"/>
            <w:vAlign w:val="bottom"/>
          </w:tcPr>
          <w:p>
            <w:pPr>
              <w:spacing w:after="0"/>
              <w:rPr>
                <w:sz w:val="24"/>
                <w:szCs w:val="24"/>
                <w:color w:val="auto"/>
              </w:rPr>
            </w:pPr>
          </w:p>
        </w:tc>
      </w:tr>
      <w:tr>
        <w:trPr>
          <w:trHeight w:val="22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Miami, Florida</w:t>
            </w:r>
          </w:p>
        </w:tc>
        <w:tc>
          <w:tcPr>
            <w:tcW w:w="2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4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29"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ind w:right="2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registrant had a total of 72,187,000 shares of common stock, par value $0.01 per share, issued and outstanding as of April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260350</wp:posOffset>
            </wp:positionV>
            <wp:extent cx="642302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3429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556260</wp:posOffset>
            </wp:positionV>
            <wp:extent cx="584835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10120"/>
          </w:cols>
          <w:pgMar w:left="900" w:top="229" w:right="8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40" w:type="dxa"/>
            <w:vAlign w:val="bottom"/>
            <w:gridSpan w:val="9"/>
          </w:tcPr>
          <w:p>
            <w:pPr>
              <w:ind w:left="480"/>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53"/>
        </w:trPr>
        <w:tc>
          <w:tcPr>
            <w:tcW w:w="480" w:type="dxa"/>
            <w:vAlign w:val="bottom"/>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0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80" w:type="dxa"/>
            <w:vAlign w:val="bottom"/>
          </w:tcPr>
          <w:p>
            <w:pPr>
              <w:spacing w:after="0"/>
              <w:rPr>
                <w:sz w:val="24"/>
                <w:szCs w:val="24"/>
                <w:color w:val="auto"/>
              </w:rPr>
            </w:pPr>
          </w:p>
        </w:tc>
      </w:tr>
      <w:tr>
        <w:trPr>
          <w:trHeight w:val="405"/>
        </w:trPr>
        <w:tc>
          <w:tcPr>
            <w:tcW w:w="1100" w:type="dxa"/>
            <w:vAlign w:val="bottom"/>
            <w:gridSpan w:val="3"/>
          </w:tcPr>
          <w:p>
            <w:pPr>
              <w:ind w:left="48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806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c>
          <w:tcPr>
            <w:tcW w:w="98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General</w:t>
              </w:r>
            </w:hyperlink>
          </w:p>
        </w:tc>
        <w:tc>
          <w:tcPr>
            <w:tcW w:w="160" w:type="dxa"/>
            <w:vAlign w:val="bottom"/>
            <w:tcBorders>
              <w:top w:val="single" w:sz="8" w:color="0000EE"/>
            </w:tcBorders>
            <w:gridSpan w:val="2"/>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220" w:type="dxa"/>
            <w:vAlign w:val="bottom"/>
            <w:gridSpan w:val="4"/>
          </w:tcPr>
          <w:p>
            <w:pPr>
              <w:spacing w:after="0"/>
              <w:rPr>
                <w:sz w:val="24"/>
                <w:szCs w:val="24"/>
                <w:color w:val="auto"/>
              </w:rPr>
            </w:pPr>
          </w:p>
        </w:tc>
        <w:tc>
          <w:tcPr>
            <w:tcW w:w="732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9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20" w:type="dxa"/>
            <w:vAlign w:val="bottom"/>
            <w:gridSpan w:val="18"/>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as of March 31, 2015 and December 31, 2014</w:t>
              </w:r>
            </w:hyperlink>
          </w:p>
        </w:tc>
        <w:tc>
          <w:tcPr>
            <w:tcW w:w="98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20" w:type="dxa"/>
            <w:vAlign w:val="bottom"/>
            <w:gridSpan w:val="1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Income and Comprehensive Income for the Three Months ended</w:t>
              </w:r>
            </w:hyperlink>
          </w:p>
        </w:tc>
        <w:tc>
          <w:tcPr>
            <w:tcW w:w="98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5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March 31, 2015 and 2014</w:t>
              </w:r>
            </w:hyperlink>
          </w:p>
        </w:tc>
        <w:tc>
          <w:tcPr>
            <w:tcW w:w="640" w:type="dxa"/>
            <w:vAlign w:val="bottom"/>
            <w:gridSpan w:val="3"/>
          </w:tcPr>
          <w:p>
            <w:pPr>
              <w:spacing w:after="0"/>
              <w:rPr>
                <w:sz w:val="17"/>
                <w:szCs w:val="17"/>
                <w:color w:val="auto"/>
              </w:rPr>
            </w:pPr>
          </w:p>
        </w:tc>
        <w:tc>
          <w:tcPr>
            <w:tcW w:w="98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20" w:type="dxa"/>
            <w:vAlign w:val="bottom"/>
            <w:gridSpan w:val="1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Shareholders’ Equity for the Three Months ended March 31, 2015 and</w:t>
              </w:r>
            </w:hyperlink>
          </w:p>
        </w:tc>
        <w:tc>
          <w:tcPr>
            <w:tcW w:w="98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2014</w:t>
              </w:r>
            </w:hyperlink>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Cash Flows for the Three Months ended March 31, 2015 and 2014</w:t>
              </w:r>
            </w:hyperlink>
          </w:p>
        </w:tc>
        <w:tc>
          <w:tcPr>
            <w:tcW w:w="500" w:type="dxa"/>
            <w:vAlign w:val="bottom"/>
            <w:gridSpan w:val="2"/>
          </w:tcPr>
          <w:p>
            <w:pPr>
              <w:spacing w:after="0"/>
              <w:rPr>
                <w:sz w:val="17"/>
                <w:szCs w:val="17"/>
                <w:color w:val="auto"/>
              </w:rPr>
            </w:pPr>
          </w:p>
        </w:tc>
        <w:tc>
          <w:tcPr>
            <w:tcW w:w="98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20" w:type="dxa"/>
            <w:vAlign w:val="bottom"/>
            <w:gridSpan w:val="18"/>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the Consolidated Financial Statements</w:t>
              </w:r>
            </w:hyperlink>
          </w:p>
        </w:tc>
        <w:tc>
          <w:tcPr>
            <w:tcW w:w="98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3.   Quantitative and Qualitative Disclosures About Market Risk</w:t>
              </w:r>
            </w:hyperlink>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980" w:type="dxa"/>
            <w:vAlign w:val="bottom"/>
            <w:tcBorders>
              <w:left w:val="single" w:sz="8" w:color="0000EE"/>
            </w:tcBorders>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4.   Controls and Procedures</w:t>
              </w:r>
            </w:hyperlink>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20" w:type="dxa"/>
            <w:vAlign w:val="bottom"/>
            <w:gridSpan w:val="2"/>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Part II.</w:t>
              </w:r>
            </w:hyperlink>
          </w:p>
        </w:tc>
        <w:tc>
          <w:tcPr>
            <w:tcW w:w="8060" w:type="dxa"/>
            <w:vAlign w:val="bottom"/>
            <w:gridSpan w:val="24"/>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Other Information</w:t>
              </w:r>
            </w:hyperlink>
          </w:p>
        </w:tc>
        <w:tc>
          <w:tcPr>
            <w:tcW w:w="9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w:t>
              </w:r>
            </w:hyperlink>
          </w:p>
        </w:tc>
        <w:tc>
          <w:tcPr>
            <w:tcW w:w="200" w:type="dxa"/>
            <w:vAlign w:val="bottom"/>
            <w:gridSpan w:val="3"/>
          </w:tcPr>
          <w:p>
            <w:pPr>
              <w:spacing w:after="0"/>
              <w:rPr>
                <w:sz w:val="24"/>
                <w:szCs w:val="24"/>
                <w:color w:val="auto"/>
              </w:rPr>
            </w:pPr>
          </w:p>
        </w:tc>
        <w:tc>
          <w:tcPr>
            <w:tcW w:w="7320" w:type="dxa"/>
            <w:vAlign w:val="bottom"/>
            <w:gridSpan w:val="18"/>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Proceedings</w:t>
              </w:r>
            </w:hyperlink>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2.   Unregistered Sales of Equity Securities and Use of Proceeds</w:t>
              </w:r>
            </w:hyperlink>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760" w:type="dxa"/>
            <w:vAlign w:val="bottom"/>
            <w:tcBorders>
              <w:left w:val="single" w:sz="8" w:color="0000EE"/>
            </w:tcBorders>
            <w:gridSpan w:val="7"/>
            <w:shd w:val="clear" w:color="auto" w:fill="0000EE"/>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Item 6.</w:t>
              </w:r>
            </w:hyperlink>
          </w:p>
        </w:tc>
        <w:tc>
          <w:tcPr>
            <w:tcW w:w="20" w:type="dxa"/>
            <w:vAlign w:val="bottom"/>
          </w:tcPr>
          <w:p>
            <w:pPr>
              <w:spacing w:after="0"/>
              <w:rPr>
                <w:sz w:val="24"/>
                <w:szCs w:val="24"/>
                <w:color w:val="auto"/>
              </w:rPr>
            </w:pPr>
          </w:p>
        </w:tc>
        <w:tc>
          <w:tcPr>
            <w:tcW w:w="200" w:type="dxa"/>
            <w:vAlign w:val="bottom"/>
            <w:gridSpan w:val="3"/>
          </w:tcPr>
          <w:p>
            <w:pPr>
              <w:spacing w:after="0"/>
              <w:rPr>
                <w:sz w:val="24"/>
                <w:szCs w:val="24"/>
                <w:color w:val="auto"/>
              </w:rPr>
            </w:pPr>
          </w:p>
        </w:tc>
        <w:tc>
          <w:tcPr>
            <w:tcW w:w="7320" w:type="dxa"/>
            <w:vAlign w:val="bottom"/>
            <w:gridSpan w:val="18"/>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Exhibits</w:t>
              </w:r>
            </w:hyperlink>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0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840" w:type="dxa"/>
            <w:vAlign w:val="bottom"/>
            <w:gridSpan w:val="9"/>
          </w:tcPr>
          <w:p>
            <w:pPr>
              <w:ind w:left="48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Signatures</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30</w:t>
            </w:r>
          </w:p>
        </w:tc>
      </w:tr>
      <w:tr>
        <w:trPr>
          <w:trHeight w:val="1209"/>
        </w:trPr>
        <w:tc>
          <w:tcPr>
            <w:tcW w:w="480" w:type="dxa"/>
            <w:vAlign w:val="bottom"/>
            <w:tcBorders>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r>
        <w:trPr>
          <w:trHeight w:val="20"/>
        </w:trPr>
        <w:tc>
          <w:tcPr>
            <w:tcW w:w="4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unaudited consolidated financial statements and notes thereto of World Fuel Services Corporation and its subsidiaries have been prepared in accordance with the instructions to Quarterly Reports on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which are of a normal and recurring nature, have been made for the interim periods reported. Results of operations for the three months ended March 31, 2015 are not necessarily indicative of the results for the entire fiscal year. The unaudited consolidated financial statements and notes thereto included in this Quarterly Report on Form 10-Q for the quarterly period ended March 31, 2015 (“10-Q Report”) should be read in conjunction with the audited consolidated financial statements and notes thereto included in our Annual Report on Form 10-K for the fiscal year ended December 31, 2014 (“2014 10-K Report”). World Fuel Services Corporation (the “Company”) and its subsidiaries are collectively referred to in this 10-Q Report as “World Fuel,” “we,” “our” and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In millions, except per share data)</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391.0</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2,202.3</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421.9</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52.9</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232.9</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294.6</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3,595.6</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203.9</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645.9</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342.6</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7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4,788.0</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debt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21.4</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1,736.2</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103.4</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251.8</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2,112.8</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679.4</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income tax liabilities, net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90.2</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2,905.8</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World Fuel shareholders' equity:</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Preferred stock, $1.00 par value; 0.1 shares authorized, none issued</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$0.01 par value; 100 shares authorized, 72.1 issued and outstanding as of</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31, 2015 and December 31, 2014, respectively</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497.1</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1,469.9</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(96.2)</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World Fuel shareholders' equity</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1,871.5</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equity</w:t>
            </w:r>
          </w:p>
        </w:tc>
        <w:tc>
          <w:tcPr>
            <w:tcW w:w="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1,882.2</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72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4,788.0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In millions, except per share data)</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7,340.7</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7,125.3</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215.4</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88.6</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bad debt</w:t>
            </w:r>
          </w:p>
        </w:tc>
        <w:tc>
          <w:tcPr>
            <w:tcW w:w="4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54.0</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143.9</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71.5</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expenses, net:</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 and other financing costs, net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64.5</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9.9</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w:t>
            </w:r>
          </w:p>
        </w:tc>
        <w:tc>
          <w:tcPr>
            <w:tcW w:w="4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54.6</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55.6</w:t>
            </w: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0.79</w:t>
            </w: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70.7</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0.78</w:t>
            </w: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71.4</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w:t>
            </w: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54.6</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(33.8)</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including noncontrolling interest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20.8</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World Fuel</w:t>
            </w:r>
          </w:p>
        </w:tc>
        <w:tc>
          <w:tcPr>
            <w:tcW w:w="44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19.6</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(Unaudited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World Fuel</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Shareholders'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ParValue</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Loss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2014</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496.4</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1,418.5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1,855.4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1,864.9</w:t>
            </w: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55.6</w:t>
            </w:r>
          </w:p>
        </w:tc>
        <w:tc>
          <w:tcPr>
            <w:tcW w:w="1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55.6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dividends declared</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share-based payment awards</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26"/>
        </w:trPr>
        <w:tc>
          <w:tcPr>
            <w:tcW w:w="30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 share-</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based payment awards including income tax</w:t>
            </w:r>
          </w:p>
        </w:tc>
        <w:tc>
          <w:tcPr>
            <w:tcW w:w="5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benefit of $0.9</w:t>
            </w:r>
          </w:p>
        </w:tc>
        <w:tc>
          <w:tcPr>
            <w:tcW w:w="5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Purchases of common stock tendered</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by employees to satisfy the required</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withholding taxes related to share-based</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2"/>
                <w:szCs w:val="12"/>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80" w:type="dxa"/>
            <w:vAlign w:val="bottom"/>
          </w:tcPr>
          <w:p>
            <w:pPr>
              <w:spacing w:after="0"/>
              <w:rPr>
                <w:sz w:val="12"/>
                <w:szCs w:val="12"/>
                <w:color w:val="auto"/>
              </w:rPr>
            </w:pP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 awards</w:t>
            </w: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217"/>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Balance as of March 31, 2015</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72.1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497.1</w:t>
            </w: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1,469.9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1,871.5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World Fuel</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Shareholders'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Loss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2013</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495.2</w:t>
            </w: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1,673.9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1,678.9</w:t>
            </w: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50.7</w:t>
            </w:r>
          </w:p>
        </w:tc>
        <w:tc>
          <w:tcPr>
            <w:tcW w:w="1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50.7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dividends declared</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share-based payment awards</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w:t>
            </w:r>
          </w:p>
        </w:tc>
        <w:tc>
          <w:tcPr>
            <w:tcW w:w="2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26"/>
        </w:trPr>
        <w:tc>
          <w:tcPr>
            <w:tcW w:w="30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 to share-</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based payment awards, including income tax</w:t>
            </w:r>
          </w:p>
        </w:tc>
        <w:tc>
          <w:tcPr>
            <w:tcW w:w="5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0.6</w:t>
            </w: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benefit of $0.5</w:t>
            </w:r>
          </w:p>
        </w:tc>
        <w:tc>
          <w:tcPr>
            <w:tcW w:w="5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Purchases of common stock tendered by</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employees to satisfy the required withholding</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80" w:type="dxa"/>
            <w:vAlign w:val="bottom"/>
          </w:tcPr>
          <w:p>
            <w:pPr>
              <w:spacing w:after="0"/>
              <w:rPr>
                <w:sz w:val="12"/>
                <w:szCs w:val="12"/>
                <w:color w:val="auto"/>
              </w:rPr>
            </w:pP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taxes related to share-based payment awards</w:t>
            </w: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7"/>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Balance as of March 31, 2014</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72.0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496.8</w:t>
            </w: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1,255.4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1,727.1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1,731.9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In millions)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9"/>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70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income including noncontrolling interest</w:t>
            </w:r>
          </w:p>
        </w:tc>
        <w:tc>
          <w:tcPr>
            <w:tcW w:w="5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191"/>
        </w:trPr>
        <w:tc>
          <w:tcPr>
            <w:tcW w:w="708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Adjustments to reconcile net income including noncontrolling interest to net cash provided by</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bad debt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payment award compensation costs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Extinguishment of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collateral with financial counterparties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0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 income tax, net and 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0"/>
        </w:trPr>
        <w:tc>
          <w:tcPr>
            <w:tcW w:w="7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0"/>
        </w:trPr>
        <w:tc>
          <w:tcPr>
            <w:tcW w:w="70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of businesses, net of cash acquired and other investments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the sale of fixed assets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Escrow payment related to an assumed obligation of an acquired business</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0"/>
        </w:trPr>
        <w:tc>
          <w:tcPr>
            <w:tcW w:w="7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1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Borrowings of debt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1,249.4</w:t>
            </w: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Repayments of debt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w:t>
            </w: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of senior revolving credit facility and senior term loan facility loan costs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98"/>
        </w:trPr>
        <w:tc>
          <w:tcPr>
            <w:tcW w:w="70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Federal and state tax benefits resulting from tax deductions in excess of the compensation cost</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recognized for share-based payment awards</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198"/>
        </w:trPr>
        <w:tc>
          <w:tcPr>
            <w:tcW w:w="70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Purchases of common stock tendered by employees to satisfy the required withholding taxes</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7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related to share-based payment awards</w:t>
            </w: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7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10"/>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as of beginning of period</w:t>
            </w: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17"/>
        </w:trPr>
        <w:tc>
          <w:tcPr>
            <w:tcW w:w="7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end of period</w:t>
            </w:r>
          </w:p>
        </w:tc>
        <w:tc>
          <w:tcPr>
            <w:tcW w:w="58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dividends declared, but not yet paid, were $4.2 million as of March 31, 2015 and $2.6 million as of March 31, 2014.</w:t>
      </w:r>
    </w:p>
    <w:p>
      <w:pPr>
        <w:spacing w:after="0" w:line="225" w:lineRule="exact"/>
        <w:rPr>
          <w:sz w:val="20"/>
          <w:szCs w:val="20"/>
          <w:color w:val="auto"/>
        </w:rPr>
      </w:pPr>
    </w:p>
    <w:p>
      <w:pPr>
        <w:ind w:right="20" w:firstLine="252"/>
        <w:spacing w:after="0" w:line="282" w:lineRule="auto"/>
        <w:rPr>
          <w:sz w:val="20"/>
          <w:szCs w:val="20"/>
          <w:color w:val="auto"/>
        </w:rPr>
      </w:pPr>
      <w:r>
        <w:rPr>
          <w:rFonts w:ascii="Times New Roman" w:cs="Times New Roman" w:eastAsia="Times New Roman" w:hAnsi="Times New Roman"/>
          <w:sz w:val="18"/>
          <w:szCs w:val="18"/>
          <w:color w:val="auto"/>
        </w:rPr>
        <w:t>The proceeds from the sale of fixed assets for the three months ended March 31, 2015 were in connection with a sale-leaseback arrangement.</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connection with our acquisitions, the following table presents the assets acquired, net of cash and liabilities assumed (in millions):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net of cash</w:t>
            </w:r>
          </w:p>
        </w:tc>
        <w:tc>
          <w:tcPr>
            <w:tcW w:w="3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3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62" w:lineRule="exact"/>
        <w:rPr>
          <w:sz w:val="20"/>
          <w:szCs w:val="20"/>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The significant accounting policies we use for quarterly financial reporting are the same as those disclosed in Note 1 of the “Notes to the Consolidated Financial Statements” included in our 2014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Report.</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During the first three months of 2015, we increased land segment goodwill by $1.0 million as a result of a reduction in identifiable intangible assets and an increase in property and equipment and reduced aviation segment goodwill by $1.9 million as a result of a reduction in purchase price based on our ongoing fair value assessment of certain of our 2014 acquisitions. Additionally, we had goodwill decreases of $5.9 million, $2.6 million and $0.8 million as a result of foreign currency translation adjustments of our non-U.S. dollar functional currency subsidiaries in our land, aviation and marine segments, respectively.</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Interest—Imputation of Interest: Simplifying the Presentation of Debt Issuance Costs. </w:t>
      </w:r>
      <w:r>
        <w:rPr>
          <w:rFonts w:ascii="Times New Roman" w:cs="Times New Roman" w:eastAsia="Times New Roman" w:hAnsi="Times New Roman"/>
          <w:sz w:val="18"/>
          <w:szCs w:val="18"/>
          <w:color w:val="auto"/>
        </w:rPr>
        <w:t>In April 2015, the Financial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Board (“FASB”) issued an Accounting Standards Update (“ASU”) which requires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This update is effective at the beginning of our 2016 fiscal year. We do not believe the adoption of this new guidance will have a significant impact on our consolidated financial statements and disclosures.</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Consolidation: Amendments to the Consolidation Analysis. </w:t>
      </w:r>
      <w:r>
        <w:rPr>
          <w:rFonts w:ascii="Times New Roman" w:cs="Times New Roman" w:eastAsia="Times New Roman" w:hAnsi="Times New Roman"/>
          <w:sz w:val="18"/>
          <w:szCs w:val="18"/>
          <w:color w:val="auto"/>
        </w:rPr>
        <w:t>In February 2015, the FASB issued an ASU which is intended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targeted areas of consolidation guidance for legal entities such as limited partnerships, limited liability corporations, and securitization structures. This update is effective at the beginning of our 2016 fiscal year. We do not believe the adoption of this new guidance will have a significant impact on our consolidated financial statements and disclosures.</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Statement-Extraordinary and Unusual Items: Simplifying Income Statement Presentation by Eliminating the Concept of Extraordinary Items. </w:t>
      </w:r>
      <w:r>
        <w:rPr>
          <w:rFonts w:ascii="Times New Roman" w:cs="Times New Roman" w:eastAsia="Times New Roman" w:hAnsi="Times New Roman"/>
          <w:sz w:val="18"/>
          <w:szCs w:val="18"/>
          <w:color w:val="auto"/>
        </w:rPr>
        <w:t>In January 2015, the FASB issued an ASU which eliminates from generally accepted accounting principles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the concept of extraordinary items. This update is effective at the beginning of our 2016 fiscal year. We do not believe the adoption of this new guidance will have a significant impact on our consolidated financial statements and disclosures.</w:t>
      </w:r>
    </w:p>
    <w:p>
      <w:pPr>
        <w:spacing w:after="0" w:line="18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Derivatives and Hedging: Determining Whether the Host Contract in a Hybrid Financial Instrument Issued in the Form of a Share Is More Akin to Debt or to Equity. </w:t>
      </w:r>
      <w:r>
        <w:rPr>
          <w:rFonts w:ascii="Times New Roman" w:cs="Times New Roman" w:eastAsia="Times New Roman" w:hAnsi="Times New Roman"/>
          <w:sz w:val="18"/>
          <w:szCs w:val="18"/>
          <w:color w:val="auto"/>
        </w:rPr>
        <w:t>In November 2014, the FASB issued an ASU which clarifies how current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in the United States should be interpreted in evaluating the economic characteristics and risks of a host contract in a hybrid financial instrument that is issued in the form of a share. This update is effective at the beginning of our 2016 fiscal year. We do not believe the adoption of this new guidance will have a significant impact on our consolidated financial statements and disclosures.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Presentation of Financial Statements-Going Concern: Disclosure of Uncertainties about an Entity’s Ability to Continue as a Going Concern. </w:t>
      </w:r>
      <w:r>
        <w:rPr>
          <w:rFonts w:ascii="Times New Roman" w:cs="Times New Roman" w:eastAsia="Times New Roman" w:hAnsi="Times New Roman"/>
          <w:sz w:val="18"/>
          <w:szCs w:val="18"/>
          <w:color w:val="auto"/>
        </w:rPr>
        <w:t>In August 2014, the FASB issued an ASU which requires management of the Company to evaluate whether there is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 about the Company’s ability to continue as a going concern. This update is effective at the beginning of our 2017 fiscal year. We do not believe the adoption of this new guidance will have an impact on our financial statement disclosures.</w:t>
      </w:r>
    </w:p>
    <w:p>
      <w:pPr>
        <w:spacing w:after="0" w:line="180"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Compensation-Stock Compensation. Accounting for Share-Based Payments When the Terms of an Award Provide That a Performance Target Could Be Achieved after the Requisite Service Period. </w:t>
      </w:r>
      <w:r>
        <w:rPr>
          <w:rFonts w:ascii="Times New Roman" w:cs="Times New Roman" w:eastAsia="Times New Roman" w:hAnsi="Times New Roman"/>
          <w:sz w:val="18"/>
          <w:szCs w:val="18"/>
          <w:color w:val="auto"/>
        </w:rPr>
        <w:t>In June 2014, the FASB issued an ASU which includes guidance that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performance target that affects vesting and that could be achieved after the requisite service period to be treated as a performance condition. This update is effective at the beginning of our 2016 fiscal year. We do not believe the adoption of this new guidance will have a significant impact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Transfers and Servicing: Repurchase-to-Maturity Transactions, Repurchase Financings, and Disclosures. </w:t>
      </w:r>
      <w:r>
        <w:rPr>
          <w:rFonts w:ascii="Times New Roman" w:cs="Times New Roman" w:eastAsia="Times New Roman" w:hAnsi="Times New Roman"/>
          <w:sz w:val="18"/>
          <w:szCs w:val="18"/>
          <w:color w:val="auto"/>
        </w:rPr>
        <w:t>In June 2014, the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 ASU which changes the accounting for repurchase-to-maturity transactions and repurchase financing arrangements. It also requires additional disclosures about repurchase agreements and other similar transactions. This update became effective at the beginning of our 2015 fiscal year. The adoption of this ASU did not have a significant impact on our consolidated financial statements and disclosures.</w:t>
      </w:r>
    </w:p>
    <w:p>
      <w:pPr>
        <w:spacing w:after="0" w:line="180"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In May 2014, the FASB issued an ASU which provides guidance for revenue recognition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entity that either enters into contracts with customers to transfer goods or services or enters into contracts for the transfer of non-financial assets. The ASU will replace most existing revenue recognition guidance in generally accepted accounting principles in the United States when it becomes effective. This update is effective at the beginning of our 2017 fiscal year. We are currently evaluating whether the adoption of this new guidance will have a significant impact on our consolidated financial statements and disclosures.</w:t>
      </w:r>
    </w:p>
    <w:p>
      <w:pPr>
        <w:spacing w:after="0" w:line="180"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Presentation of Financial Statements and Property, Plant, and Equipment: Reporting Discontinued Operations and Disclosures of Disposals of Components of an Entity. </w:t>
      </w:r>
      <w:r>
        <w:rPr>
          <w:rFonts w:ascii="Times New Roman" w:cs="Times New Roman" w:eastAsia="Times New Roman" w:hAnsi="Times New Roman"/>
          <w:sz w:val="18"/>
          <w:szCs w:val="18"/>
          <w:color w:val="auto"/>
        </w:rPr>
        <w:t>In April 2014, the FASB issued an ASU which changes the criteria for reporting discontinued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enhances disclosures in this area. It also addresses sources of confusion and inconsistent application related to financial reporting of discontinued operations guidance. This update became effective at the beginning of our 2015 fiscal year. The adoption of this ASU did not have a significant impact on our consolidated financial statements and disclosures.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period’s presentation.</w:t>
      </w:r>
    </w:p>
    <w:p>
      <w:pPr>
        <w:spacing w:after="0" w:line="20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accounts payable and accrued expenses and other current liabilities approximate fair value based on the short-term maturities of these instruments. We believe the carrying values of our debt and notes receivable approximate fair value since these instruments bear interest either at variable rates or fixed rates which are not significantly different than market rates. Based on the fair value hierarchy, our debt of $700.8 million and $689.9 million as of March 31, 2015 and December 31, 2014, respectively, and our notes receivable of $8.2 million and $7.0 million as of March 31, 2015 and December 31, 2014, respectively, are categorized in Level 3.</w:t>
      </w:r>
    </w:p>
    <w:p>
      <w:pPr>
        <w:spacing w:after="0" w:line="188" w:lineRule="exact"/>
        <w:rPr>
          <w:sz w:val="20"/>
          <w:szCs w:val="20"/>
          <w:color w:val="auto"/>
        </w:rPr>
      </w:pPr>
    </w:p>
    <w:p>
      <w:pPr>
        <w:jc w:val="both"/>
        <w:ind w:firstLine="28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assets and liabilities that are measured at estimated fair value on a recurring basis (in millions):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6"/>
        </w:trPr>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and</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9"/>
        </w:trPr>
        <w:tc>
          <w:tcPr>
            <w:tcW w:w="1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 of March 31, 2015</w:t>
            </w: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0"/>
        </w:trPr>
        <w:tc>
          <w:tcPr>
            <w:tcW w:w="1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88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207.3</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377.4</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586.0</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(351.0)</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r>
      <w:tr>
        <w:trPr>
          <w:trHeight w:val="216"/>
        </w:trPr>
        <w:tc>
          <w:tcPr>
            <w:tcW w:w="3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16"/>
        </w:trPr>
        <w:tc>
          <w:tcPr>
            <w:tcW w:w="3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Cash surrender value of life insurance</w:t>
            </w: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17"/>
        </w:trPr>
        <w:tc>
          <w:tcPr>
            <w:tcW w:w="3140" w:type="dxa"/>
            <w:vAlign w:val="bottom"/>
            <w:tcBorders>
              <w:bottom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207.3</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397.3</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605.9</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(356.1)</w:t>
            </w:r>
          </w:p>
        </w:tc>
        <w:tc>
          <w:tcPr>
            <w:tcW w:w="3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w:t>
            </w:r>
          </w:p>
        </w:tc>
      </w:tr>
      <w:tr>
        <w:trPr>
          <w:trHeight w:val="216"/>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339.2</w:t>
            </w:r>
          </w:p>
        </w:tc>
        <w:tc>
          <w:tcPr>
            <w:tcW w:w="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228.4</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567.9</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(526.1)</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216"/>
        </w:trPr>
        <w:tc>
          <w:tcPr>
            <w:tcW w:w="3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1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26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14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1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17"/>
        </w:trPr>
        <w:tc>
          <w:tcPr>
            <w:tcW w:w="31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339.2</w:t>
            </w:r>
          </w:p>
        </w:tc>
        <w:tc>
          <w:tcPr>
            <w:tcW w:w="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239.3</w:t>
            </w:r>
          </w:p>
        </w:tc>
        <w:tc>
          <w:tcPr>
            <w:tcW w:w="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578.8</w:t>
            </w: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(531.2)</w:t>
            </w: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r>
      <w:tr>
        <w:trPr>
          <w:trHeight w:val="216"/>
        </w:trPr>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3"/>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As of December 31, 2014</w:t>
            </w:r>
          </w:p>
        </w:tc>
        <w:tc>
          <w:tcPr>
            <w:tcW w:w="1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0"/>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173.7</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495.6</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673.5</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(368.0)</w:t>
            </w:r>
          </w:p>
        </w:tc>
        <w:tc>
          <w:tcPr>
            <w:tcW w:w="3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r>
      <w:tr>
        <w:trPr>
          <w:trHeight w:val="216"/>
        </w:trPr>
        <w:tc>
          <w:tcPr>
            <w:tcW w:w="3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16"/>
        </w:trPr>
        <w:tc>
          <w:tcPr>
            <w:tcW w:w="3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Cash surrender value of life insurance</w:t>
            </w: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17"/>
        </w:trPr>
        <w:tc>
          <w:tcPr>
            <w:tcW w:w="3140" w:type="dxa"/>
            <w:vAlign w:val="bottom"/>
            <w:tcBorders>
              <w:bottom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173.7</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519.6</w:t>
            </w:r>
          </w:p>
        </w:tc>
        <w:tc>
          <w:tcPr>
            <w:tcW w:w="3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697.5</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(380.0)</w:t>
            </w:r>
          </w:p>
        </w:tc>
        <w:tc>
          <w:tcPr>
            <w:tcW w:w="3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w:t>
            </w:r>
          </w:p>
        </w:tc>
      </w:tr>
      <w:tr>
        <w:trPr>
          <w:trHeight w:val="216"/>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Commodity contracts</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306.4</w:t>
            </w:r>
          </w:p>
        </w:tc>
        <w:tc>
          <w:tcPr>
            <w:tcW w:w="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329.9</w:t>
            </w:r>
          </w:p>
        </w:tc>
        <w:tc>
          <w:tcPr>
            <w:tcW w:w="3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637.6</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(595.6)</w:t>
            </w:r>
          </w:p>
        </w:tc>
        <w:tc>
          <w:tcPr>
            <w:tcW w:w="3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r>
      <w:tr>
        <w:trPr>
          <w:trHeight w:val="216"/>
        </w:trPr>
        <w:tc>
          <w:tcPr>
            <w:tcW w:w="31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1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14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1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217"/>
        </w:trPr>
        <w:tc>
          <w:tcPr>
            <w:tcW w:w="31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306.4</w:t>
            </w:r>
          </w:p>
        </w:tc>
        <w:tc>
          <w:tcPr>
            <w:tcW w:w="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364.8</w:t>
            </w:r>
          </w:p>
        </w:tc>
        <w:tc>
          <w:tcPr>
            <w:tcW w:w="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672.5</w:t>
            </w: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(607.6)</w:t>
            </w:r>
          </w:p>
        </w:tc>
        <w:tc>
          <w:tcPr>
            <w:tcW w:w="3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cash surrender value of life insurance is in connection with the non-qualified deferred compensation plan and was included in identifiable intangible and other non-current assets in the accompanying consolidated balance sheets.</w:t>
      </w:r>
    </w:p>
    <w:p>
      <w:pPr>
        <w:spacing w:after="0" w:line="162"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balance sheet location of our commodity and foreign currency contracts net assets and liabilities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8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7"/>
              </w:rPr>
              <w:t>Commodity Contracts</w:t>
            </w:r>
          </w:p>
        </w:tc>
        <w:tc>
          <w:tcPr>
            <w:tcW w:w="3840" w:type="dxa"/>
            <w:vAlign w:val="bottom"/>
            <w:tcBorders>
              <w:bottom w:val="single" w:sz="8" w:color="CCEEFF"/>
            </w:tcBorders>
            <w:gridSpan w:val="2"/>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221.4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Borders>
              <w:bottom w:val="single" w:sz="8" w:color="auto"/>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net assets</w:t>
            </w:r>
          </w:p>
        </w:tc>
        <w:tc>
          <w:tcPr>
            <w:tcW w:w="1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net liabilities</w:t>
            </w:r>
          </w:p>
        </w:tc>
        <w:tc>
          <w:tcPr>
            <w:tcW w:w="1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41.8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Foreign Currency Contracts</w:t>
            </w: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Assets: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1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Total net assets</w:t>
            </w:r>
          </w:p>
        </w:tc>
        <w:tc>
          <w:tcPr>
            <w:tcW w:w="1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80"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March 31, 2015, we had $257.4 million of cash collateral deposits held by financial counterparties, of which $207.1 million have been offset against the total amount of commodity fair value liabilities in the above table and the remaining $50.3 million is included in other current assets in the accompanying consolidated balance sheets. In addition, as of March 31, 2015, we have offset $32.0 million of cash collateral deposits received from customers against the total amount of commodity fair value assets in the above table. As of December 31, 2014, we had $301.0 million of cash collateral deposits held by financial counterparties, of which $274.3 million have been offset against the total amount of commodity fair value liabilities in the above table and the remaining $26.7 million is included in other current assets in the accompanying consolidated balance sheets. In addition, as of December 31, 2014, we have offset $46.7 million of cash collateral deposits received from customers against the total amount of commodity fair value assets in the above table.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about our assets and liabilities that are measured at fair value on a recurring basis that utilized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for the periods presented (in millions):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Realized and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 in Unrealized</w:t>
            </w: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Location of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940" w:type="dxa"/>
            <w:vAlign w:val="bottom"/>
          </w:tcPr>
          <w:p>
            <w:pPr>
              <w:jc w:val="right"/>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End</w:t>
            </w:r>
          </w:p>
        </w:tc>
        <w:tc>
          <w:tcPr>
            <w:tcW w:w="1600" w:type="dxa"/>
            <w:vAlign w:val="bottom"/>
            <w:gridSpan w:val="2"/>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Relating to Assets and</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80" w:type="dxa"/>
            <w:vAlign w:val="bottom"/>
            <w:gridSpan w:val="2"/>
          </w:tcPr>
          <w:p>
            <w:pPr>
              <w:jc w:val="right"/>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Gains Included</w:t>
            </w:r>
          </w:p>
        </w:tc>
        <w:tc>
          <w:tcPr>
            <w:tcW w:w="180" w:type="dxa"/>
            <w:vAlign w:val="bottom"/>
          </w:tcPr>
          <w:p>
            <w:pPr>
              <w:spacing w:after="0"/>
              <w:rPr>
                <w:sz w:val="12"/>
                <w:szCs w:val="12"/>
                <w:color w:val="auto"/>
              </w:rPr>
            </w:pPr>
          </w:p>
        </w:tc>
        <w:tc>
          <w:tcPr>
            <w:tcW w:w="8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3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that are</w:t>
            </w:r>
          </w:p>
        </w:tc>
        <w:tc>
          <w:tcPr>
            <w:tcW w:w="1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and Unrealized Gains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Earnings</w:t>
            </w: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80" w:type="dxa"/>
            <w:vAlign w:val="bottom"/>
          </w:tcPr>
          <w:p>
            <w:pPr>
              <w:spacing w:after="0"/>
              <w:rPr>
                <w:sz w:val="15"/>
                <w:szCs w:val="15"/>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Held at end of Period</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Included in Earnings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March 31,</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4"/>
              </w:rPr>
              <w:t>2015</w:t>
            </w:r>
          </w:p>
        </w:tc>
        <w:tc>
          <w:tcPr>
            <w:tcW w:w="178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(0.4)</w:t>
            </w:r>
          </w:p>
        </w:tc>
        <w:tc>
          <w:tcPr>
            <w:tcW w:w="1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auto"/>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0.8</w:t>
            </w:r>
          </w:p>
        </w:tc>
        <w:tc>
          <w:tcPr>
            <w:tcW w:w="1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11" w:name="page12"/>
    <w:bookmarkEnd w:id="11"/>
    <w:p>
      <w:pPr>
        <w:ind w:left="4"/>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left="4" w:right="20" w:firstLine="324"/>
        <w:spacing w:after="0" w:line="258" w:lineRule="auto"/>
        <w:rPr>
          <w:sz w:val="20"/>
          <w:szCs w:val="20"/>
          <w:color w:val="auto"/>
        </w:rPr>
      </w:pPr>
      <w:r>
        <w:rPr>
          <w:rFonts w:ascii="Times New Roman" w:cs="Times New Roman" w:eastAsia="Times New Roman" w:hAnsi="Times New Roman"/>
          <w:sz w:val="18"/>
          <w:szCs w:val="18"/>
          <w:color w:val="auto"/>
        </w:rPr>
        <w:t>The nature of inputs that are considered Level 3 are modeled inputs. Commodity contracts categorized in Level 3 are 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 related to non-performance. The effect on our income before income taxes of a 10% change in the model input for non-performance risk would not be significant. There were no transfers between Level 1, 2 or 3 during the periods presented.</w:t>
      </w:r>
    </w:p>
    <w:p>
      <w:pPr>
        <w:spacing w:after="0" w:line="180" w:lineRule="exact"/>
        <w:rPr>
          <w:sz w:val="20"/>
          <w:szCs w:val="20"/>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jc w:val="both"/>
        <w:ind w:left="4" w:firstLine="324"/>
        <w:spacing w:after="0" w:line="254" w:lineRule="auto"/>
        <w:rPr>
          <w:sz w:val="20"/>
          <w:szCs w:val="20"/>
          <w:color w:val="auto"/>
        </w:rPr>
      </w:pPr>
      <w:r>
        <w:rPr>
          <w:rFonts w:ascii="Times New Roman" w:cs="Times New Roman" w:eastAsia="Times New Roman" w:hAnsi="Times New Roman"/>
          <w:sz w:val="18"/>
          <w:szCs w:val="18"/>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86"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The following describes our derivative classifications:</w:t>
      </w:r>
    </w:p>
    <w:p>
      <w:pPr>
        <w:spacing w:after="0" w:line="223" w:lineRule="exact"/>
        <w:rPr>
          <w:sz w:val="20"/>
          <w:szCs w:val="20"/>
          <w:color w:val="auto"/>
        </w:rPr>
      </w:pPr>
    </w:p>
    <w:p>
      <w:pPr>
        <w:jc w:val="both"/>
        <w:ind w:left="4"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Includes certain of our foreign currency forward contracts we enter into in order to mitigate the risk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 fluctuations.</w:t>
      </w:r>
    </w:p>
    <w:p>
      <w:pPr>
        <w:spacing w:after="0" w:line="158" w:lineRule="exact"/>
        <w:rPr>
          <w:sz w:val="20"/>
          <w:szCs w:val="20"/>
          <w:color w:val="auto"/>
        </w:rPr>
      </w:pPr>
    </w:p>
    <w:p>
      <w:pPr>
        <w:jc w:val="both"/>
        <w:ind w:left="4"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Hedges. </w:t>
      </w:r>
      <w:r>
        <w:rPr>
          <w:rFonts w:ascii="Times New Roman" w:cs="Times New Roman" w:eastAsia="Times New Roman" w:hAnsi="Times New Roman"/>
          <w:sz w:val="18"/>
          <w:szCs w:val="18"/>
          <w:color w:val="auto"/>
        </w:rPr>
        <w:t>Includes derivatives we enter into in order to hedge price risk associated with our inventory and certain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relating to fixed price purchase and sale contracts.</w:t>
      </w:r>
    </w:p>
    <w:p>
      <w:pPr>
        <w:spacing w:after="0" w:line="158" w:lineRule="exact"/>
        <w:rPr>
          <w:sz w:val="20"/>
          <w:szCs w:val="20"/>
          <w:color w:val="auto"/>
        </w:rPr>
      </w:pPr>
    </w:p>
    <w:p>
      <w:pPr>
        <w:jc w:val="both"/>
        <w:ind w:left="4"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Non-designated Derivatives. </w:t>
      </w:r>
      <w:r>
        <w:rPr>
          <w:rFonts w:ascii="Times New Roman" w:cs="Times New Roman" w:eastAsia="Times New Roman" w:hAnsi="Times New Roman"/>
          <w:sz w:val="18"/>
          <w:szCs w:val="18"/>
          <w:color w:val="auto"/>
        </w:rPr>
        <w:t>Includes derivatives we primarily enter into in order to mitigate the risk of market price fluctuations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aviation, marine and land fuel in the form of swaps or futures as well as certain fixed price purchase and sale contracts and proprietary trading. In addition, non-designated derivatives are also entered into to hedge the risk of currency rate fluctuations.</w:t>
      </w:r>
    </w:p>
    <w:p>
      <w:pPr>
        <w:spacing w:after="0" w:line="176" w:lineRule="exact"/>
        <w:rPr>
          <w:sz w:val="20"/>
          <w:szCs w:val="20"/>
          <w:color w:val="auto"/>
        </w:rPr>
      </w:pPr>
    </w:p>
    <w:p>
      <w:pPr>
        <w:jc w:val="both"/>
        <w:ind w:left="4"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2015, our derivative instruments, at their respective fair value positions were as follows (in millions, except weighted average fixed price and weighted average mark-to-market amount):</w:t>
      </w:r>
    </w:p>
    <w:p>
      <w:pPr>
        <w:spacing w:after="0" w:line="200" w:lineRule="exact"/>
        <w:rPr>
          <w:sz w:val="20"/>
          <w:szCs w:val="20"/>
          <w:color w:val="auto"/>
        </w:rPr>
      </w:pP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Mark-to-</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Hedge Strategy</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3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6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11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38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Fixed Price</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Hedge</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for inventory hedging</w:t>
            </w: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56.203</w:t>
            </w:r>
          </w:p>
        </w:tc>
        <w:tc>
          <w:tcPr>
            <w:tcW w:w="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Non-Designated</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44.1</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54.721</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34.9</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70.043</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13.169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49.795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69.663</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5.512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39.786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42.019</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6.000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83.997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0.5</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AUD</w:t>
            </w:r>
          </w:p>
        </w:tc>
        <w:tc>
          <w:tcPr>
            <w:tcW w:w="16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0.784</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0.200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CAD</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0.061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DKK</w:t>
            </w:r>
          </w:p>
        </w:tc>
        <w:tc>
          <w:tcPr>
            <w:tcW w:w="16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6.664</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0.006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EUR</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0.124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59.7</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1.545</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0.090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123.8</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MXN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15.004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35.3</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RON</w:t>
            </w:r>
          </w:p>
        </w:tc>
        <w:tc>
          <w:tcPr>
            <w:tcW w:w="16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3.943</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53.8</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ZAR</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11.935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0.002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1.554</w:t>
            </w:r>
          </w:p>
        </w:tc>
        <w:tc>
          <w:tcPr>
            <w:tcW w:w="22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0.065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6"/>
        </w:trPr>
        <w:tc>
          <w:tcPr>
            <w:tcW w:w="1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3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5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1.610</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0.143</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17"/>
        </w:trPr>
        <w:tc>
          <w:tcPr>
            <w:tcW w:w="1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derivative instruments measured at fair value and their locations on the consolidated balance sheets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7"/>
              </w:rPr>
              <w:t>Derivative assets:</w:t>
            </w:r>
          </w:p>
        </w:tc>
        <w:tc>
          <w:tcPr>
            <w:tcW w:w="1220" w:type="dxa"/>
            <w:vAlign w:val="bottom"/>
            <w:tcBorders>
              <w:bottom w:val="single" w:sz="8" w:color="CCEEFF"/>
            </w:tcBorders>
            <w:gridSpan w:val="2"/>
            <w:shd w:val="clear" w:color="auto" w:fill="CCEEFF"/>
          </w:tcPr>
          <w:p>
            <w:pPr>
              <w:spacing w:after="0"/>
              <w:rPr>
                <w:sz w:val="16"/>
                <w:szCs w:val="16"/>
                <w:color w:val="auto"/>
              </w:rPr>
            </w:pPr>
          </w:p>
        </w:tc>
        <w:tc>
          <w:tcPr>
            <w:tcW w:w="48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355.3</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3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198.8</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16.6</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591.8</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603.6</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Derivative liabilities:</w:t>
            </w:r>
          </w:p>
        </w:tc>
        <w:tc>
          <w:tcPr>
            <w:tcW w:w="4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3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106.1</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Identifiable intangible and other non-current assets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439.0</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Commodity contracts</w:t>
            </w:r>
          </w:p>
        </w:tc>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17.1</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Short-term derivative assets, net</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567.8</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573.0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Realized and Unrealized</w:t>
            </w:r>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and Unrealized</w:t>
            </w:r>
          </w:p>
        </w:tc>
      </w:tr>
      <w:tr>
        <w:trPr>
          <w:trHeight w:val="199"/>
        </w:trPr>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6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1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224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8"/>
              </w:rPr>
              <w:t>Three months ended March 31,</w:t>
            </w:r>
          </w:p>
        </w:tc>
        <w:tc>
          <w:tcPr>
            <w:tcW w:w="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1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1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gains or losses for the three months ended March 31, 2015 and 2014 that were excluded from the assessment of the effectiveness of our fair value hedges.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cash flow hedging activities during the three months ended March 31, 2015 and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3" w:name="page14"/>
    <w:bookmarkEnd w:id="13"/>
    <w:p>
      <w:pPr>
        <w:ind w:left="4"/>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left="4"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200" w:lineRule="exact"/>
        <w:rPr>
          <w:sz w:val="20"/>
          <w:szCs w:val="20"/>
          <w:color w:val="auto"/>
        </w:rPr>
      </w:pP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Realized and Unrealized</w:t>
            </w:r>
          </w:p>
        </w:tc>
        <w:tc>
          <w:tcPr>
            <w:tcW w:w="0" w:type="dxa"/>
            <w:vAlign w:val="bottom"/>
          </w:tcPr>
          <w:p>
            <w:pPr>
              <w:spacing w:after="0"/>
              <w:rPr>
                <w:sz w:val="1"/>
                <w:szCs w:val="1"/>
                <w:color w:val="auto"/>
              </w:rPr>
            </w:pPr>
          </w:p>
        </w:tc>
      </w:tr>
      <w:tr>
        <w:trPr>
          <w:trHeight w:val="199"/>
        </w:trPr>
        <w:tc>
          <w:tcPr>
            <w:tcW w:w="3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320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Three months ended March 31,</w:t>
            </w:r>
          </w:p>
        </w:tc>
        <w:tc>
          <w:tcPr>
            <w:tcW w:w="840" w:type="dxa"/>
            <w:vAlign w:val="bottom"/>
            <w:tcBorders>
              <w:bottom w:val="single" w:sz="8" w:color="CCEEFF"/>
            </w:tcBorders>
            <w:shd w:val="clear" w:color="auto" w:fill="CCEEFF"/>
          </w:tcPr>
          <w:p>
            <w:pPr>
              <w:spacing w:after="0"/>
              <w:rPr>
                <w:sz w:val="17"/>
                <w:szCs w:val="17"/>
                <w:color w:val="auto"/>
              </w:rPr>
            </w:pPr>
          </w:p>
        </w:tc>
        <w:tc>
          <w:tcPr>
            <w:tcW w:w="3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5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(11.7)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2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5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 w:right="20" w:firstLine="324"/>
        <w:spacing w:after="0" w:line="254" w:lineRule="auto"/>
        <w:rPr>
          <w:sz w:val="20"/>
          <w:szCs w:val="20"/>
          <w:color w:val="auto"/>
        </w:rPr>
      </w:pPr>
      <w:r>
        <w:rPr>
          <w:rFonts w:ascii="Times New Roman" w:cs="Times New Roman" w:eastAsia="Times New Roman" w:hAnsi="Times New Roman"/>
          <w:sz w:val="18"/>
          <w:szCs w:val="18"/>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 As of March 31, 2015, the net liability position for such contracts is $73.3 million, the collateral posted is $57.5 million and the amount of assets required to be posted and/or to settle the positions should a credit-risk contingent feature be triggered is $15.8 million. As of December 31, 2014, the net liability position for such contracts is $111.7 million, the collateral posted is $89.4 million and the amount of assets required to be posted and/or to settle the positions should a credit-risk contingent feature be triggered is $22.3 million.</w:t>
      </w:r>
    </w:p>
    <w:p>
      <w:pPr>
        <w:spacing w:after="0" w:line="185" w:lineRule="exact"/>
        <w:rPr>
          <w:sz w:val="20"/>
          <w:szCs w:val="20"/>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Income, Expense and Other Financing Costs</w:t>
      </w:r>
    </w:p>
    <w:p>
      <w:pPr>
        <w:spacing w:after="0" w:line="229" w:lineRule="exact"/>
        <w:rPr>
          <w:sz w:val="20"/>
          <w:szCs w:val="20"/>
          <w:color w:val="auto"/>
        </w:rPr>
      </w:pPr>
    </w:p>
    <w:p>
      <w:pPr>
        <w:ind w:left="4"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our interest (expense) income, and other financing costs, net, for the periods presented (in millions):</w:t>
      </w:r>
    </w:p>
    <w:p>
      <w:pPr>
        <w:spacing w:after="0" w:line="200" w:lineRule="exact"/>
        <w:rPr>
          <w:sz w:val="20"/>
          <w:szCs w:val="20"/>
          <w:color w:val="auto"/>
        </w:rPr>
      </w:pP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9"/>
        </w:trPr>
        <w:tc>
          <w:tcPr>
            <w:tcW w:w="72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7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 and other financing costs</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(8.5)</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7"/>
        </w:trPr>
        <w:tc>
          <w:tcPr>
            <w:tcW w:w="7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7" w:lineRule="exact"/>
        <w:rPr>
          <w:sz w:val="20"/>
          <w:szCs w:val="20"/>
          <w:color w:val="auto"/>
        </w:rPr>
      </w:pPr>
    </w:p>
    <w:p>
      <w:pPr>
        <w:ind w:left="324" w:right="7260" w:hanging="324"/>
        <w:spacing w:after="0" w:line="502" w:lineRule="auto"/>
        <w:tabs>
          <w:tab w:leader="none" w:pos="31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left="3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Lac-Megantic, Quebec</w:t>
      </w:r>
    </w:p>
    <w:p>
      <w:pPr>
        <w:spacing w:after="0" w:line="227" w:lineRule="exact"/>
        <w:rPr>
          <w:sz w:val="20"/>
          <w:szCs w:val="20"/>
          <w:color w:val="auto"/>
        </w:rPr>
      </w:pPr>
    </w:p>
    <w:p>
      <w:pPr>
        <w:jc w:val="both"/>
        <w:ind w:left="4" w:right="20" w:firstLine="324"/>
        <w:spacing w:after="0" w:line="254" w:lineRule="auto"/>
        <w:rPr>
          <w:sz w:val="20"/>
          <w:szCs w:val="20"/>
          <w:color w:val="auto"/>
        </w:rPr>
      </w:pPr>
      <w:r>
        <w:rPr>
          <w:rFonts w:ascii="Times New Roman" w:cs="Times New Roman" w:eastAsia="Times New Roman" w:hAnsi="Times New Roman"/>
          <w:sz w:val="18"/>
          <w:szCs w:val="18"/>
          <w:color w:val="auto"/>
        </w:rPr>
        <w:t>As previously disclosed in “Note 7 — Commitments and Contingencies” in the Notes to the Consolidated Financial Statements included in our 2014 10-K Report, various lawsuits have been filed against us and other third parties related to the July 2013 train derailment in Lac-Mégantic, Quebec. The Trustee for Montreal, Maine and Atlantic Railway’s (“MMA”) U.S. bankruptcy estate (the “Trustee”) and the monitor in MMA’s Canadian bankruptcy continue to discuss a global settlement with various parties, including us, and such discussions are ongoing. Although amounts to settle have been proffered to us in the course of discussions, to date such offers have been informal, not fully defined, or varied significantly in terms of scope and substance. In addition, the settlement discussions have involved multiple parties whose support for the various offers has been uncertain. Accordingly, we are unable to provide information at this time that we believe would enable investors to reasonably assess the significance of these offers or their bearing on the probability, timing or range of any potential settlement. While we continue to actively discuss a potential settlement to resolve the outstanding claims against us, the settlement discussions may not ultimately result in 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Trustee and the Canadian debtor have each filed proposed bankruptcy plans (in the U.S. and Canada, respectively) that seek to implement settlements reached to date with other parties. Prior to becoming effective, the proposed bankruptcy plans will need to be approved by the requisite creditors in both the U.S. and Canadian bankruptcies, such as plaintiffs in the class action and the Quebec provincial government. Thereafter, if so approved, the plans will be submitted to the respective bankruptcy courts for approval. The bankruptcy plans may also be challenged by third parties objecting to the plans and, therefore, approval of the plans and the related timing is uncertain. The bankruptcy plans may be amended at any time prior to their effective date to include additional settlements. For additional information regarding legal proceedings related to the train derailment, see our 2014 10-K Report and Part II — Item 1 of this 10-Q Report.</w:t>
      </w: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20"/>
          <w:szCs w:val="20"/>
          <w:color w:val="auto"/>
        </w:rPr>
        <w:t>In light of the facts, circumstances and other information available to us at this time, we are currently unable to determine the probability of loss, or reasonably estimate a range of potential losses related to the proceedings arising from the train derailment. Accordingly, we have not made any provision for these potential losses in our consolidated financial statements. However, based on estimated losses related to the value of the tank cars involved in the incident, as well as legal and other costs incurred in connection with the incident, which we believe are probable and for which a reasonable estimate can be made, we have recorded total liabilities of $42.2 million. We believe that a substantial portion of these liabilities are covered by insurance and have recorded total receivables of $39.1 million. As of March 31, 2015, the remaining unpaid liabilities of $16.3 million are included primarily in accrued expenses and other current liabilities and the remaining uncollected receivable of $29.4 million is included in other current assets in the accompanying consolidated balance sheets.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a theft of fuel product valued at approximately $18.0 million, we recorded an insurance receivable for the full amount of the loss, which is included in other current assets in the accompanying consolidated balance sheets. On July 31, 2014, our insurer, AGCS Marine Insurance Company (“AGCS”), filed a declaratory judgment action against us in the United States District Court for the Southern District of New York seeking a court ruling that the loss is not covered under our policy. During the quarter ended December 31, 2014, we filed an answer to the AGCS complaint and counterclaims against AGCS for declaratory judgment and breach of contract seeking a court ruling that the loss is covered under the policy, an award of damages equal to the full amount of our loss plus interest, as well as fees and costs. We believe AGCS’ position is without merit and we intend to vigorously pursue our rights. However, due to the complexities and uncertainties inherent in litigation, we can provide no assurance that we will recover the full amount of the loss.</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party to various claims, complaints and proceedings arising in the ordinary course of our business including, but not limited to, environmental claims, commercial and governmental contract claims, such as property damage, demurrage, billing and fuel quality claims, as well as bankruptcy preference claims and tax and administrative claims. We have established loss provisions for these ordinary course claims as well as other matters in which losses are probable and can be reasonably estimated. As of March 31, 2015,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Termination of Employment Agreement</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March 13, 2015, we agreed with Mr. Michael S. Clementi that he would retire from his position as Aviation Segment President, effective March 16, 2015. In connection with the termination of his employment agreement, we recorded a charge totaling $3.8 million in March 2015, which included non-cash expenses of $0.8 million related to previously awarded stock compensation. As of March 31, 2015, $1.0 million of the cash portion of the termination of the employment agreement charge was included in accrued expenses and other current liabilities and $2.0 million was included in other long-term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5" w:name="page16"/>
    <w:bookmarkEnd w:id="15"/>
    <w:p>
      <w:pPr>
        <w:ind w:left="4"/>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(Loss) Income and Accumulated Other Comprehensive Loss</w:t>
      </w:r>
    </w:p>
    <w:p>
      <w:pPr>
        <w:spacing w:after="0" w:line="229" w:lineRule="exact"/>
        <w:rPr>
          <w:sz w:val="20"/>
          <w:szCs w:val="20"/>
          <w:color w:val="auto"/>
        </w:rPr>
      </w:pPr>
    </w:p>
    <w:p>
      <w:pPr>
        <w:jc w:val="both"/>
        <w:ind w:left="4" w:right="20" w:firstLine="324"/>
        <w:spacing w:after="0" w:line="282" w:lineRule="auto"/>
        <w:rPr>
          <w:sz w:val="20"/>
          <w:szCs w:val="20"/>
          <w:color w:val="auto"/>
        </w:rPr>
      </w:pPr>
      <w:r>
        <w:rPr>
          <w:rFonts w:ascii="Times New Roman" w:cs="Times New Roman" w:eastAsia="Times New Roman" w:hAnsi="Times New Roman"/>
          <w:sz w:val="18"/>
          <w:szCs w:val="18"/>
          <w:color w:val="auto"/>
        </w:rPr>
        <w:t>Our other comprehensive (loss) income, consisting of foreign currency translation adjustments related to our subsidiaries that have a functional currency other than the U.S. dollar was as follows (in millions):</w:t>
      </w:r>
    </w:p>
    <w:p>
      <w:pPr>
        <w:spacing w:after="0" w:line="200" w:lineRule="exact"/>
        <w:rPr>
          <w:sz w:val="20"/>
          <w:szCs w:val="20"/>
          <w:color w:val="auto"/>
        </w:rPr>
      </w:pP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other comprehensive income attributable to noncontrolling interest</w:t>
            </w:r>
          </w:p>
        </w:tc>
        <w:tc>
          <w:tcPr>
            <w:tcW w:w="1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March 31, 2015</w:t>
            </w:r>
          </w:p>
        </w:tc>
        <w:tc>
          <w:tcPr>
            <w:tcW w:w="18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March 31, 2014</w:t>
            </w:r>
          </w:p>
        </w:tc>
        <w:tc>
          <w:tcPr>
            <w:tcW w:w="18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 w:right="20" w:firstLine="324"/>
        <w:spacing w:after="0" w:line="266" w:lineRule="auto"/>
        <w:rPr>
          <w:sz w:val="20"/>
          <w:szCs w:val="20"/>
          <w:color w:val="auto"/>
        </w:rPr>
      </w:pPr>
      <w:r>
        <w:rPr>
          <w:rFonts w:ascii="Times New Roman" w:cs="Times New Roman" w:eastAsia="Times New Roman" w:hAnsi="Times New Roman"/>
          <w:sz w:val="18"/>
          <w:szCs w:val="18"/>
          <w:color w:val="auto"/>
        </w:rPr>
        <w:t>The foreign currency translation adjustment losses for the three months ended March 31, 2015 were primarily due to the strengthening of the U.S. dollar as compared to the Brazilian Real and the British Pound. The foreign currency translation adjustment gains for the three months ended March 31, 2014 were primary due to the strengthening of the Brazilian Real as compared to the U.S dollar.</w:t>
      </w:r>
    </w:p>
    <w:p>
      <w:pPr>
        <w:spacing w:after="0" w:line="172" w:lineRule="exact"/>
        <w:rPr>
          <w:sz w:val="20"/>
          <w:szCs w:val="20"/>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4" w:right="20" w:firstLine="324"/>
        <w:spacing w:after="0" w:line="282" w:lineRule="auto"/>
        <w:rPr>
          <w:sz w:val="20"/>
          <w:szCs w:val="20"/>
          <w:color w:val="auto"/>
        </w:rPr>
      </w:pPr>
      <w:r>
        <w:rPr>
          <w:rFonts w:ascii="Times New Roman" w:cs="Times New Roman" w:eastAsia="Times New Roman" w:hAnsi="Times New Roman"/>
          <w:sz w:val="18"/>
          <w:szCs w:val="18"/>
          <w:color w:val="auto"/>
        </w:rPr>
        <w:t>Our income tax provision for the periods presented and the respective effective income tax rates for such periods are as follows (in millions, except for income tax rates):</w:t>
      </w:r>
    </w:p>
    <w:p>
      <w:pPr>
        <w:spacing w:after="0" w:line="200" w:lineRule="exact"/>
        <w:rPr>
          <w:sz w:val="20"/>
          <w:szCs w:val="20"/>
          <w:color w:val="auto"/>
        </w:rPr>
      </w:pP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 w:right="20" w:firstLine="324"/>
        <w:spacing w:after="0" w:line="261" w:lineRule="auto"/>
        <w:rPr>
          <w:sz w:val="20"/>
          <w:szCs w:val="20"/>
          <w:color w:val="auto"/>
        </w:rPr>
      </w:pPr>
      <w:r>
        <w:rPr>
          <w:rFonts w:ascii="Times New Roman" w:cs="Times New Roman" w:eastAsia="Times New Roman" w:hAnsi="Times New Roman"/>
          <w:sz w:val="18"/>
          <w:szCs w:val="18"/>
          <w:color w:val="auto"/>
        </w:rPr>
        <w:t>Our provision for income taxes for each of the three-month periods ended March 31, 2015 and 2014 was calculated based on the estimated annual effective income tax rate for the full 2015 and 2014 fiscal years. The actual effective income tax rate for the full 2015 fiscal year may be materially different as a result of differences between estimated versus actual results and the geographic tax jurisdictions in which the results are earned.</w:t>
      </w:r>
    </w:p>
    <w:p>
      <w:pPr>
        <w:spacing w:after="0" w:line="180" w:lineRule="exact"/>
        <w:rPr>
          <w:sz w:val="20"/>
          <w:szCs w:val="20"/>
          <w:color w:val="auto"/>
        </w:rPr>
      </w:pPr>
    </w:p>
    <w:p>
      <w:pPr>
        <w:jc w:val="both"/>
        <w:ind w:left="4" w:firstLine="324"/>
        <w:spacing w:after="0" w:line="255" w:lineRule="auto"/>
        <w:rPr>
          <w:sz w:val="20"/>
          <w:szCs w:val="20"/>
          <w:color w:val="auto"/>
        </w:rPr>
      </w:pPr>
      <w:r>
        <w:rPr>
          <w:rFonts w:ascii="Times New Roman" w:cs="Times New Roman" w:eastAsia="Times New Roman" w:hAnsi="Times New Roman"/>
          <w:sz w:val="18"/>
          <w:szCs w:val="18"/>
          <w:color w:val="auto"/>
        </w:rPr>
        <w:t>We operated under a special income tax concession in Singapore which began January 1, 2008. Our current five year special income tax concession was effective January 1, 2013. The special income tax concession is conditional upon our meeting of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$2.3 million and $ 1.9 million for the three months ended March 31, 2015 and 2014, respectively. The impact of the income tax concession on basic earnings per common share was $0.03 for the three months ended March 31, 2015 and 2014, respectively. On a diluted earnings per common share basis, the impact was $0.03 for the three months ended March 31,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6" w:name="page17"/>
    <w:bookmarkEnd w:id="16"/>
    <w:p>
      <w:pPr>
        <w:ind w:left="4"/>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ind w:left="324" w:hanging="324"/>
        <w:spacing w:after="0"/>
        <w:tabs>
          <w:tab w:leader="none" w:pos="3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Common Share</w:t>
      </w:r>
    </w:p>
    <w:p>
      <w:pPr>
        <w:spacing w:after="0" w:line="229" w:lineRule="exact"/>
        <w:rPr>
          <w:sz w:val="20"/>
          <w:szCs w:val="20"/>
          <w:color w:val="auto"/>
        </w:rPr>
      </w:pPr>
    </w:p>
    <w:p>
      <w:pPr>
        <w:jc w:val="both"/>
        <w:ind w:left="4"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periods presented (in millions, except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55.6</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common shares for basic earnings per common share</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70.7</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common share</w:t>
            </w: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71.4</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securities which are not included in the calculation of diluted earnings per</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share because their impact is anti-dilutive or their performance conditions have not</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been met</w:t>
            </w:r>
          </w:p>
        </w:tc>
        <w:tc>
          <w:tcPr>
            <w:tcW w:w="5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0.9</w:t>
            </w: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0.79</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0.78</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4"/>
        <w:spacing w:after="0"/>
        <w:tabs>
          <w:tab w:leader="none" w:pos="283" w:val="left"/>
        </w:tabs>
        <w:rPr>
          <w:sz w:val="20"/>
          <w:szCs w:val="20"/>
          <w:color w:val="auto"/>
        </w:rPr>
      </w:pPr>
      <w:r>
        <w:rPr>
          <w:rFonts w:ascii="Times New Roman" w:cs="Times New Roman" w:eastAsia="Times New Roman" w:hAnsi="Times New Roman"/>
          <w:sz w:val="18"/>
          <w:szCs w:val="18"/>
          <w:b w:val="1"/>
          <w:bCs w:val="1"/>
          <w:color w:val="auto"/>
        </w:rPr>
        <w:t>9.</w:t>
        <w:tab/>
        <w:t>Business Segments</w:t>
      </w:r>
    </w:p>
    <w:p>
      <w:pPr>
        <w:spacing w:after="0" w:line="229" w:lineRule="exact"/>
        <w:rPr>
          <w:sz w:val="20"/>
          <w:szCs w:val="20"/>
          <w:color w:val="auto"/>
        </w:rPr>
      </w:pPr>
    </w:p>
    <w:p>
      <w:pPr>
        <w:jc w:val="both"/>
        <w:ind w:left="4" w:right="20" w:firstLine="324"/>
        <w:spacing w:after="0" w:line="255" w:lineRule="auto"/>
        <w:rPr>
          <w:sz w:val="20"/>
          <w:szCs w:val="20"/>
          <w:color w:val="auto"/>
        </w:rPr>
      </w:pPr>
      <w:r>
        <w:rPr>
          <w:rFonts w:ascii="Times New Roman" w:cs="Times New Roman" w:eastAsia="Times New Roman" w:hAnsi="Times New Roman"/>
          <w:sz w:val="18"/>
          <w:szCs w:val="18"/>
          <w:color w:val="auto"/>
        </w:rPr>
        <w:t>Based on the nature of operations and quantitative thresholds pursuant to accounting guidance for segment reporting, we have three reportable operating business segments: aviation, marine and land. Corporate expenses are allocated to the segments based on usage, where possible, or on other factors according to the nature of the activity. Our results of operations include (i) the results of the acquisition of all of the outstanding stock of Watson Petroleum Limited (now known as WFL (UK) Limited) (“Watson Petroleum”) in our land segment commencing on March 7, 2014, its acquisition date, and (ii) the results of the acquisition of all of the outstanding stock of Colt International, L.L.C (“Colt”) in our aviation segment commencing on July 29, 2014, its acquisition date. The accounting policies of the reportable operating segments are the same as those described in the Summary of Significant Accounting Policies (see Note 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concerning our revenue, gross profit and income from operations by segment is as follows (in millions):</w:t>
      </w:r>
    </w:p>
    <w:p>
      <w:pPr>
        <w:spacing w:after="0" w:line="200" w:lineRule="exact"/>
        <w:rPr>
          <w:sz w:val="20"/>
          <w:szCs w:val="20"/>
          <w:color w:val="auto"/>
        </w:rPr>
      </w:pPr>
    </w:p>
    <w:p>
      <w:pPr>
        <w:spacing w:after="0" w:line="30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28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Aviation segment</w:t>
            </w:r>
          </w:p>
        </w:tc>
        <w:tc>
          <w:tcPr>
            <w:tcW w:w="28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2,897.0</w:t>
            </w:r>
          </w:p>
        </w:tc>
        <w:tc>
          <w:tcPr>
            <w:tcW w:w="5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Marine segment</w:t>
            </w:r>
          </w:p>
        </w:tc>
        <w:tc>
          <w:tcPr>
            <w:tcW w:w="280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2,320.7</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 segment</w:t>
            </w:r>
          </w:p>
        </w:tc>
        <w:tc>
          <w:tcPr>
            <w:tcW w:w="28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2,123.0</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7,340.7</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Aviation segment</w:t>
            </w:r>
          </w:p>
        </w:tc>
        <w:tc>
          <w:tcPr>
            <w:tcW w:w="2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82.9</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Marine segment</w:t>
            </w:r>
          </w:p>
        </w:tc>
        <w:tc>
          <w:tcPr>
            <w:tcW w:w="280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53.9</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 segment</w:t>
            </w:r>
          </w:p>
        </w:tc>
        <w:tc>
          <w:tcPr>
            <w:tcW w:w="28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78.6</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215.4</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Aviation segment</w:t>
            </w:r>
          </w:p>
        </w:tc>
        <w:tc>
          <w:tcPr>
            <w:tcW w:w="2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Marine segment</w:t>
            </w:r>
          </w:p>
        </w:tc>
        <w:tc>
          <w:tcPr>
            <w:tcW w:w="280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 segment</w:t>
            </w:r>
          </w:p>
        </w:tc>
        <w:tc>
          <w:tcPr>
            <w:tcW w:w="28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85.7</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overhead - unallocated</w:t>
            </w:r>
          </w:p>
        </w:tc>
        <w:tc>
          <w:tcPr>
            <w:tcW w:w="28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71.5</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Information concerning our accounts receivable, net and total assets by segment is as follows (in millions):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Aviation segment, net of allowance for bad debt of $7.2 and $7.9 as of March 31, 2015 and</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2014, respectively</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653.2</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Marine segment, net of allowance for bad debt of $8.4 as of March 31, 2015 and December 31,</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2014, respectively</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870.6</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Land segment, net of allowance for bad debt of $9.7 and $9.4 as of March 31, 2015 and</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December 31, 2014, respectively</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678.5</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2,202.3</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Aviation segment</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1,656.3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Marine segment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1,349.1</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 segment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1,570.7</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211.9</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4,788.0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7120" w:type="dxa"/>
            <w:vAlign w:val="bottom"/>
            <w:gridSpan w:val="2"/>
          </w:tcPr>
          <w:p>
            <w:pPr>
              <w:jc w:val="right"/>
              <w:ind w:right="189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2014 10-K Report and the consolidated financial statements and related notes in “Item 1 —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materially from the results and events anticipated or implied by such forward-looking statements are described in “Item 1A — Risk Factors” of our 2014 10-K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84"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Examples of forward-looking statements in this 10-Q Report include, but are not limited to, our expectations regarding our business strategy, business prospects, operating results, effectiveness of internal controls to manage risk, working capital, liquidity, capital expenditure requirements and future acquisitions. Important assumptions relating to the forward-looking statements include, among others, assumptions regarding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the results and events anticipated or implied by such forward-looking statements include, but are not limited to:</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·customer and counterparty creditworthiness and our ability to collect accounts receivable and settle derivative contracts;</w:t>
      </w:r>
    </w:p>
    <w:p>
      <w:pPr>
        <w:spacing w:after="0" w:line="225" w:lineRule="exact"/>
        <w:rPr>
          <w:sz w:val="20"/>
          <w:szCs w:val="20"/>
          <w:color w:val="auto"/>
        </w:rPr>
      </w:pPr>
    </w:p>
    <w:p>
      <w:pPr>
        <w:ind w:left="320"/>
        <w:spacing w:after="0"/>
        <w:tabs>
          <w:tab w:leader="none" w:pos="500" w:val="left"/>
        </w:tabs>
        <w:rPr>
          <w:sz w:val="20"/>
          <w:szCs w:val="20"/>
          <w:color w:val="auto"/>
        </w:rPr>
      </w:pPr>
      <w:r>
        <w:rPr>
          <w:rFonts w:ascii="Times New Roman" w:cs="Times New Roman" w:eastAsia="Times New Roman" w:hAnsi="Times New Roman"/>
          <w:sz w:val="18"/>
          <w:szCs w:val="18"/>
          <w:color w:val="auto"/>
        </w:rPr>
        <w:t>·</w:t>
        <w:tab/>
        <w:t>changes in the market price of fuel;</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political, economic or regulatory conditions generally and in the markets in which we operate;</w:t>
      </w:r>
    </w:p>
    <w:p>
      <w:pPr>
        <w:spacing w:after="0" w:line="225" w:lineRule="exact"/>
        <w:rPr>
          <w:sz w:val="20"/>
          <w:szCs w:val="20"/>
          <w:color w:val="auto"/>
        </w:rPr>
      </w:pPr>
    </w:p>
    <w:p>
      <w:pPr>
        <w:ind w:left="400" w:hanging="80"/>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effectively hedge certain financial risks and the use of derivatives;</w:t>
      </w:r>
    </w:p>
    <w:p>
      <w:pPr>
        <w:spacing w:after="0" w:line="225" w:lineRule="exact"/>
        <w:rPr>
          <w:rFonts w:ascii="Times New Roman" w:cs="Times New Roman" w:eastAsia="Times New Roman" w:hAnsi="Times New Roman"/>
          <w:sz w:val="18"/>
          <w:szCs w:val="18"/>
          <w:color w:val="auto"/>
        </w:rPr>
      </w:pPr>
    </w:p>
    <w:p>
      <w:pPr>
        <w:ind w:left="420" w:hanging="100"/>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by counterparties or customers to derivative contracts;</w:t>
      </w:r>
    </w:p>
    <w:p>
      <w:pPr>
        <w:spacing w:after="0" w:line="225" w:lineRule="exact"/>
        <w:rPr>
          <w:rFonts w:ascii="Times New Roman" w:cs="Times New Roman" w:eastAsia="Times New Roman" w:hAnsi="Times New Roman"/>
          <w:sz w:val="18"/>
          <w:szCs w:val="18"/>
          <w:color w:val="auto"/>
        </w:rPr>
      </w:pPr>
    </w:p>
    <w:p>
      <w:pPr>
        <w:ind w:left="440" w:hanging="120"/>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credit terms extended to us from our suppliers;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·non-performance of suppliers on their sale commitments and customers on their purchase commitments;</w:t>
      </w:r>
    </w:p>
    <w:p>
      <w:pPr>
        <w:spacing w:after="0" w:line="225" w:lineRule="exact"/>
        <w:rPr>
          <w:sz w:val="20"/>
          <w:szCs w:val="20"/>
          <w:color w:val="auto"/>
        </w:rPr>
      </w:pPr>
    </w:p>
    <w:p>
      <w:pPr>
        <w:ind w:left="420" w:hanging="10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reduced sales to a significant government customer;</w:t>
      </w:r>
    </w:p>
    <w:p>
      <w:pPr>
        <w:spacing w:after="0" w:line="225" w:lineRule="exact"/>
        <w:rPr>
          <w:rFonts w:ascii="Times New Roman" w:cs="Times New Roman" w:eastAsia="Times New Roman" w:hAnsi="Times New Roman"/>
          <w:sz w:val="18"/>
          <w:szCs w:val="18"/>
          <w:color w:val="auto"/>
        </w:rPr>
      </w:pPr>
    </w:p>
    <w:p>
      <w:pPr>
        <w:ind w:left="460" w:hanging="140"/>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of third-party service providers;</w:t>
      </w:r>
    </w:p>
    <w:p>
      <w:pPr>
        <w:spacing w:after="0" w:line="225" w:lineRule="exact"/>
        <w:rPr>
          <w:sz w:val="20"/>
          <w:szCs w:val="20"/>
          <w:color w:val="auto"/>
        </w:rPr>
      </w:pPr>
    </w:p>
    <w:p>
      <w:pPr>
        <w:ind w:left="380" w:right="20" w:hanging="53"/>
        <w:spacing w:after="0" w:line="282" w:lineRule="auto"/>
        <w:rPr>
          <w:sz w:val="20"/>
          <w:szCs w:val="20"/>
          <w:color w:val="auto"/>
        </w:rPr>
      </w:pPr>
      <w:r>
        <w:rPr>
          <w:rFonts w:ascii="Times New Roman" w:cs="Times New Roman" w:eastAsia="Times New Roman" w:hAnsi="Times New Roman"/>
          <w:sz w:val="18"/>
          <w:szCs w:val="18"/>
          <w:color w:val="auto"/>
        </w:rPr>
        <w:t>·adverse conditions in the industries in which our customers operate, including a continuation of the global economic instability and its impact on the airline and shipping industries;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ind w:left="420" w:hanging="100"/>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cyber and other information security-related incidents;</w:t>
      </w:r>
    </w:p>
    <w:p>
      <w:pPr>
        <w:spacing w:after="0" w:line="225" w:lineRule="exact"/>
        <w:rPr>
          <w:rFonts w:ascii="Times New Roman" w:cs="Times New Roman" w:eastAsia="Times New Roman" w:hAnsi="Times New Roman"/>
          <w:sz w:val="18"/>
          <w:szCs w:val="18"/>
          <w:color w:val="auto"/>
        </w:rPr>
      </w:pPr>
    </w:p>
    <w:p>
      <w:pPr>
        <w:ind w:left="540" w:hanging="220"/>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w:t>
      </w:r>
    </w:p>
    <w:p>
      <w:pPr>
        <w:spacing w:after="0" w:line="225" w:lineRule="exact"/>
        <w:rPr>
          <w:rFonts w:ascii="Times New Roman" w:cs="Times New Roman" w:eastAsia="Times New Roman" w:hAnsi="Times New Roman"/>
          <w:sz w:val="18"/>
          <w:szCs w:val="18"/>
          <w:color w:val="auto"/>
        </w:rPr>
      </w:pPr>
    </w:p>
    <w:p>
      <w:pPr>
        <w:ind w:left="420" w:hanging="100"/>
        <w:spacing w:after="0"/>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fuel and other products we sell to meet specifications;</w:t>
      </w:r>
    </w:p>
    <w:p>
      <w:pPr>
        <w:spacing w:after="0" w:line="225"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w:t>
      </w:r>
    </w:p>
    <w:p>
      <w:pPr>
        <w:spacing w:after="0" w:line="225" w:lineRule="exact"/>
        <w:rPr>
          <w:rFonts w:ascii="Times New Roman" w:cs="Times New Roman" w:eastAsia="Times New Roman" w:hAnsi="Times New Roman"/>
          <w:sz w:val="18"/>
          <w:szCs w:val="18"/>
          <w:color w:val="auto"/>
        </w:rPr>
      </w:pPr>
    </w:p>
    <w:p>
      <w:pPr>
        <w:ind w:left="400" w:hanging="80"/>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integrate and derive benefits from acquired businesses;</w:t>
      </w:r>
    </w:p>
    <w:p>
      <w:pPr>
        <w:spacing w:after="0" w:line="225" w:lineRule="exact"/>
        <w:rPr>
          <w:rFonts w:ascii="Times New Roman" w:cs="Times New Roman" w:eastAsia="Times New Roman" w:hAnsi="Times New Roman"/>
          <w:sz w:val="18"/>
          <w:szCs w:val="18"/>
          <w:color w:val="auto"/>
        </w:rPr>
      </w:pPr>
    </w:p>
    <w:p>
      <w:pPr>
        <w:ind w:left="440" w:hanging="12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disruptions in the availability or supply of fuel;</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·environmental and other risks associated with the storage, transportation and delivery of petroleum products;</w:t>
      </w:r>
    </w:p>
    <w:p>
      <w:pPr>
        <w:spacing w:after="0" w:line="225" w:lineRule="exact"/>
        <w:rPr>
          <w:sz w:val="20"/>
          <w:szCs w:val="20"/>
          <w:color w:val="auto"/>
        </w:rPr>
      </w:pPr>
    </w:p>
    <w:p>
      <w:pPr>
        <w:ind w:left="420" w:hanging="100"/>
        <w:spacing w:after="0"/>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Lac-Mégantic derailment and related matters;</w:t>
      </w:r>
    </w:p>
    <w:p>
      <w:pPr>
        <w:spacing w:after="0" w:line="225" w:lineRule="exact"/>
        <w:rPr>
          <w:rFonts w:ascii="Times New Roman" w:cs="Times New Roman" w:eastAsia="Times New Roman" w:hAnsi="Times New Roman"/>
          <w:sz w:val="18"/>
          <w:szCs w:val="18"/>
          <w:color w:val="auto"/>
        </w:rPr>
      </w:pPr>
    </w:p>
    <w:p>
      <w:pPr>
        <w:ind w:left="460" w:hanging="140"/>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high risk locations;</w:t>
      </w:r>
    </w:p>
    <w:p>
      <w:pPr>
        <w:spacing w:after="0" w:line="225" w:lineRule="exact"/>
        <w:rPr>
          <w:rFonts w:ascii="Times New Roman" w:cs="Times New Roman" w:eastAsia="Times New Roman" w:hAnsi="Times New Roman"/>
          <w:sz w:val="18"/>
          <w:szCs w:val="18"/>
          <w:color w:val="auto"/>
        </w:rPr>
      </w:pPr>
    </w:p>
    <w:p>
      <w:pPr>
        <w:ind w:left="720" w:hanging="400"/>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losses;</w:t>
      </w:r>
    </w:p>
    <w:p>
      <w:pPr>
        <w:spacing w:after="0" w:line="225" w:lineRule="exact"/>
        <w:rPr>
          <w:rFonts w:ascii="Times New Roman" w:cs="Times New Roman" w:eastAsia="Times New Roman" w:hAnsi="Times New Roman"/>
          <w:sz w:val="18"/>
          <w:szCs w:val="18"/>
          <w:color w:val="auto"/>
        </w:rPr>
      </w:pPr>
    </w:p>
    <w:p>
      <w:pPr>
        <w:ind w:left="460" w:hanging="140"/>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such as hurricanes;</w:t>
      </w:r>
    </w:p>
    <w:p>
      <w:pPr>
        <w:spacing w:after="0" w:line="225" w:lineRule="exact"/>
        <w:rPr>
          <w:sz w:val="20"/>
          <w:szCs w:val="20"/>
          <w:color w:val="auto"/>
        </w:rPr>
      </w:pPr>
    </w:p>
    <w:p>
      <w:pPr>
        <w:ind w:left="380" w:right="20" w:hanging="53"/>
        <w:spacing w:after="0" w:line="282" w:lineRule="auto"/>
        <w:rPr>
          <w:sz w:val="20"/>
          <w:szCs w:val="20"/>
          <w:color w:val="auto"/>
        </w:rPr>
      </w:pPr>
      <w:r>
        <w:rPr>
          <w:rFonts w:ascii="Times New Roman" w:cs="Times New Roman" w:eastAsia="Times New Roman" w:hAnsi="Times New Roman"/>
          <w:sz w:val="18"/>
          <w:szCs w:val="18"/>
          <w:color w:val="auto"/>
        </w:rPr>
        <w:t>·our failure to comply with restrictions and covenants in our senior revolving credit facility (“Credit Facility”) and our senior term loans (“Term Loans”);</w:t>
      </w:r>
    </w:p>
    <w:p>
      <w:pPr>
        <w:spacing w:after="0" w:line="162" w:lineRule="exact"/>
        <w:rPr>
          <w:sz w:val="20"/>
          <w:szCs w:val="20"/>
          <w:color w:val="auto"/>
        </w:rPr>
      </w:pPr>
    </w:p>
    <w:p>
      <w:pPr>
        <w:ind w:left="420" w:hanging="100"/>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and liquidity of cash equivalents and investments;</w:t>
      </w:r>
    </w:p>
    <w:p>
      <w:pPr>
        <w:spacing w:after="0" w:line="225" w:lineRule="exact"/>
        <w:rPr>
          <w:rFonts w:ascii="Times New Roman" w:cs="Times New Roman" w:eastAsia="Times New Roman" w:hAnsi="Times New Roman"/>
          <w:sz w:val="18"/>
          <w:szCs w:val="18"/>
          <w:color w:val="auto"/>
        </w:rPr>
      </w:pPr>
    </w:p>
    <w:p>
      <w:pPr>
        <w:ind w:left="420" w:hanging="100"/>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senior management and other key employees;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U.S. or foreign tax laws or changes in the mix of taxable income among different tax jurisdictions;</w:t>
      </w:r>
    </w:p>
    <w:p>
      <w:pPr>
        <w:spacing w:after="0" w:line="225" w:lineRule="exact"/>
        <w:rPr>
          <w:sz w:val="20"/>
          <w:szCs w:val="20"/>
          <w:color w:val="auto"/>
        </w:rPr>
      </w:pPr>
    </w:p>
    <w:p>
      <w:pPr>
        <w:ind w:left="380" w:right="20" w:hanging="53"/>
        <w:spacing w:after="0" w:line="282" w:lineRule="auto"/>
        <w:rPr>
          <w:sz w:val="20"/>
          <w:szCs w:val="20"/>
          <w:color w:val="auto"/>
        </w:rPr>
      </w:pPr>
      <w:r>
        <w:rPr>
          <w:rFonts w:ascii="Times New Roman" w:cs="Times New Roman" w:eastAsia="Times New Roman" w:hAnsi="Times New Roman"/>
          <w:sz w:val="18"/>
          <w:szCs w:val="18"/>
          <w:color w:val="auto"/>
        </w:rPr>
        <w:t>·our ability to comply with U.S. and international laws and regulations including those related to anti-corruption, economic sanction programs and environmental matters;</w:t>
      </w:r>
    </w:p>
    <w:p>
      <w:pPr>
        <w:spacing w:after="0" w:line="162" w:lineRule="exact"/>
        <w:rPr>
          <w:sz w:val="20"/>
          <w:szCs w:val="20"/>
          <w:color w:val="auto"/>
        </w:rPr>
      </w:pPr>
    </w:p>
    <w:p>
      <w:pPr>
        <w:ind w:left="540" w:hanging="220"/>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levels of competition;</w:t>
      </w:r>
    </w:p>
    <w:p>
      <w:pPr>
        <w:spacing w:after="0" w:line="225" w:lineRule="exact"/>
        <w:rPr>
          <w:rFonts w:ascii="Times New Roman" w:cs="Times New Roman" w:eastAsia="Times New Roman" w:hAnsi="Times New Roman"/>
          <w:sz w:val="18"/>
          <w:szCs w:val="18"/>
          <w:color w:val="auto"/>
        </w:rPr>
      </w:pPr>
    </w:p>
    <w:p>
      <w:pPr>
        <w:ind w:left="420" w:hanging="100"/>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and the costs associated in defending any actions;</w:t>
      </w:r>
    </w:p>
    <w:p>
      <w:pPr>
        <w:spacing w:after="0" w:line="225" w:lineRule="exact"/>
        <w:rPr>
          <w:rFonts w:ascii="Times New Roman" w:cs="Times New Roman" w:eastAsia="Times New Roman" w:hAnsi="Times New Roman"/>
          <w:sz w:val="18"/>
          <w:szCs w:val="18"/>
          <w:color w:val="auto"/>
        </w:rPr>
      </w:pPr>
    </w:p>
    <w:p>
      <w:pPr>
        <w:ind w:left="400" w:hanging="80"/>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solvency of banks within our Credit Facility and Term Loans;</w:t>
      </w:r>
    </w:p>
    <w:p>
      <w:pPr>
        <w:spacing w:after="0" w:line="225"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and</w:t>
      </w:r>
    </w:p>
    <w:p>
      <w:pPr>
        <w:spacing w:after="0" w:line="225" w:lineRule="exact"/>
        <w:rPr>
          <w:sz w:val="20"/>
          <w:szCs w:val="20"/>
          <w:color w:val="auto"/>
        </w:rPr>
      </w:pPr>
    </w:p>
    <w:p>
      <w:pPr>
        <w:ind w:left="380" w:hanging="53"/>
        <w:spacing w:after="0" w:line="282" w:lineRule="auto"/>
        <w:rPr>
          <w:sz w:val="20"/>
          <w:szCs w:val="20"/>
          <w:color w:val="auto"/>
        </w:rPr>
      </w:pPr>
      <w:r>
        <w:rPr>
          <w:rFonts w:ascii="Times New Roman" w:cs="Times New Roman" w:eastAsia="Times New Roman" w:hAnsi="Times New Roman"/>
          <w:sz w:val="18"/>
          <w:szCs w:val="18"/>
          <w:color w:val="auto"/>
        </w:rPr>
        <w:t>·other risks, including those described in “Item 1A - Risk Factors” in our 2014 10-K Report and those described from time to time in our other filings with the SEC.</w:t>
      </w:r>
    </w:p>
    <w:p>
      <w:pPr>
        <w:spacing w:after="0" w:line="162"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We are a global fuel logistics, transaction management and payment processing company, principally engaged in the distribution of fuel and related products and services in the aviation, marine and land transportation industries. We compete by providing our customers with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added benefits, including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In our aviation segment, we offer fuel and related products and services to major commercial airlines, second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airlines, cargo carriers, regional and low cost carriers, airports, fixed based operators, corporate fleets, fractional operators, private aircraft, military fleets and to the U.S. and foreign governments. In our marine segment, we offer fuel, lubricants and related products and services to a broad base of marine customers, including international container and tanker fleets, commercial cruise lines, yachts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charter operators, the U.S. and foreign governments as well as other fuel suppliers. In our land segment, we offer fuel, lubricants, natural gas, electricity and related products and services to customers including petroleum distributors operating in the land transportation market, retail petroleum operators, and industrial, commercial, residential and government customers as well as engage in crude oil marketing activities. In addition, we offer transaction management services which consist of card payment solutions and merchant processing services to customers in the aviation, marine and land transportation industries.</w:t>
      </w:r>
    </w:p>
    <w:p>
      <w:pPr>
        <w:spacing w:after="0" w:line="19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our aviation and land segments, we primarily purchase and resell fuel and other products, and we do not act as brokers. Profit from our aviation and land segments is primarily determined by the volume and the gross profit achieved on fuel resales and a percentage of card payment and processing revenue. In our marine segment, we primarily purchase and resell fuel and other products, and also act as brokers for others. Profit from our marine segment is determined primarily by the volume and gross profit achieved on fuel resales and by the volume and commission rate of the brokering business. Our profitability in our segments also depends on our operating expenses, which may be significantly affected to the extent that we are required to provide for potential bad debt.</w:t>
      </w:r>
    </w:p>
    <w:p>
      <w:pPr>
        <w:spacing w:after="0" w:line="18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revenue and cost of revenue are significantly impacted by world oil prices, as evidenced in part by our revenue and cost of revenue fluctuations in previous fiscal years, while our gross profit is not necessarily impacted by changes in world oil prices. However, significant movements in fuel prices during any given financial period can have a significant impact on our gross profit, either positively or negatively depending on the direction, volatility and timing of such price movements.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experience decreases in future sales volumes and margins as a result of the ongoing deterioration in the world economy, the decline of the transportation industry, natural disasters and continued conflicts and instability in the Middle East, Eastern Europe,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Our hedging activities may not be effective to mitigate volatile fuel prices and may expose us to counterparty risk. See “Item 1A — Risk Factors” of our 2014 10-K Report.</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three reportable operating segments: aviation, marine and land. Corporate expenses are allocated to each segment based on usage, where possible, or on other factors according to the nature of the activity. We evaluate and manage our business segments using the performance measurement of income from operations. Financial Information with respect to our business segments is provided in Note 9 to the accompanying consolidated financial statements included in this 10-Q Report.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include (i) the results of the acquisition of all of the outstanding stock of Watson Petroleum Limited (now known as WFL (UK) Limited) (“Watson Petroleum”) in our land segment commencing on March 7, 2014, its acquisition date, and (ii) the results of the acquisition of all of the outstanding stock of Colt International, L.L.C (“Colt”) in our aviation segment commencing on July 29, 2014, its acquisition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March 31, 2015 Compared to Three Months Ended March 31, 2014</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revenue for the first quarter of 2015 was $7.3 billion, a decrease of $3.2 billion, or 30.4%, as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2014. Our revenue during these periods was attributable to the following segments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2,897.0</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2,320.7</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2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2,123.0</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7,340.7</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10,550.9</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aviation segment revenue for the first quarter of 2015 was $2.9 billion, a decrease of $1.4 billion, or 31.8%, as compared to the first quarter of 2014. Of the decrease in aviation segment revenue, $1.8 billion was due to a decrease in the average price per gallon sold as a result of lower average jet fuel prices in the first quarter of 2015 as compared to the first quarter of 2014, which was partially offset by $0.4 billion principally due to increased volume attributable to new and existing customers.</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marine segment revenue for the first quarter of 2015 was $2.3 billion, a decrease of $1.2 billion, or 33.3%, as compared to the first quarter of 2014. Of the decrease in marine segment revenue, $2.1 billion was due to a decrease in the average price per metric ton sold as a result of lower average marine fuel prices in the first quarter of 2015 as compared to the first quarter of 2014, which was partially offset by $0.9 billion due to increased volume attributable to new and existing customers.</w:t>
      </w:r>
    </w:p>
    <w:p>
      <w:pPr>
        <w:spacing w:after="0" w:line="1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land segment revenue for the first quarter of 2015 was $2.1 billion, a decrease of $0.7 billion, or 24.7%, as compared to the first quarter of 2014. Of the decrease in land segment revenue, $1.2 billion was due to a decrease in the average price per gallon sold as a result of lower average land fuel prices in the first quarter of 2015 as compared to the first quarter of 2014, which was partially offset by $0.5 billion principally due to revenue from acquired businesses.</w:t>
      </w:r>
    </w:p>
    <w:p>
      <w:pPr>
        <w:spacing w:after="0" w:line="17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Our gross profit for the first quarter of 2015 was $215.4 million, an increase of $27.4 million, or 14.6%,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2014. Our gross profit during these periods was attributable to the following segments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82.9</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53.9</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23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78.6</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215.4</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aviation segment gross profit for the first quarter of 2015 was $82.9 million, an increase of $14.0 million, or 20.3%, as compared to the first quarter of 2014. Of the increase in aviation segment gross profit, $9.2 million was due to gross profit from acquired businesses and $5.4 million was due to increased volume attributable to new and existing customers. This increase was partially offset by $0.6 million in lower gross profit per gallon sold due to fluctuations in customer mix.</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marine segment gross profit for the first quarter of 2015 was $53.9 million, an increase of $6.1 million, or 12.8%, as compared to the first quarter of 2014. Of the increase in marine segment gross profit, $13.1 million was due to increased volume attributable to new and existing customers, which was partially offset by $7.0 million in lower gross profit per metric ton sold due to fluctuations in customer mix.</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land segment gross profit for the first quarter of 2015 was $78.6 million, an increase of $7.3 million, or 10.2%, as compared to the first quarter of 2014. Of the increase in land segment gross profit, $16.2 million was due to gross profit from acquired businesses and $5.5 million was due to increased volume attributable to new and existing customers. This increase was partially offset by $14.4 million in lower gross profit per gallon sold due to fluctuations in customer mix.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first quarter of 2015 were $143.9 million, an increase of $20.2 million, or 16.3%,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first quarter of 2014. The following table sets forth our expense categories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88.6</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w:t>
            </w: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54.0</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143.9</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Of the $17.5 million increase in compensation and employee benefits, $10.0 million was due to the inclusion of expenses from acquired businesses, $4.2 million due to increased compensation expenses to support our growing global business and $3.3 million related to the termination of the employment agreement of our former Aviation Segment President. The $2.5 million increase in general and administrative expenses was principally due to expenses related to acquired businesses.</w:t>
      </w:r>
    </w:p>
    <w:p>
      <w:pPr>
        <w:spacing w:after="0" w:line="178"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Our income from operations for the first quarter of 2015 was $71.5 million, an increase of $7.2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11.2%, as compared to the first quarter of 2014. Income from operations during these periods was attributable to the following segments (in millions):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Aviation segment</w:t>
            </w:r>
          </w:p>
        </w:tc>
        <w:tc>
          <w:tcPr>
            <w:tcW w:w="2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Marine segment</w:t>
            </w: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7"/>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segment</w:t>
            </w:r>
          </w:p>
        </w:tc>
        <w:tc>
          <w:tcPr>
            <w:tcW w:w="17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7"/>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7"/>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overhead - unallocated</w:t>
            </w:r>
          </w:p>
        </w:tc>
        <w:tc>
          <w:tcPr>
            <w:tcW w:w="17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7"/>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7"/>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aviation segment income from operations for the first quarter of 2015 was $27.8 million, a decrease of $2.3 million, or 7.6%, as compared to the first quarter of 2014. This decrease resulted from a $16.3 million increase in operating expenses, which was partially offset by $14.0 million in higher gross profit. Of the increase in operating expenses, $9.0 million was related to the inclusion of acquired businesses and $3.8 million was related to the termination of the employment agreement of our former Aviation Segment President.</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marine segment income from operations for the first quarter of 2015 was $26.1 million, an increase of $5.1 million, or 24.3%, as compared to the first quarter of 2014. This increase resulted from $6.1 million in higher gross profit, which was partially offset by a $1.0 million increase in operating expenses.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land segment income from operations for the first quarter of 2015 was $31.8 million, an increase of $5.3 million, or 20.0%, as compared to the first quarter of 2014. This increase resulted from $7.3 million in higher gross profit, which was partially offset by a $2.0 million increase in operating expenses.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Corporate overhead costs not charged to the business segments for the first quarter of 2015 were $14.2 million, an increase of $0.9 million, or 6.8%, as compared to the first quarter of 2014.</w:t>
      </w:r>
    </w:p>
    <w:p>
      <w:pPr>
        <w:spacing w:after="0" w:line="160"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net. </w:t>
      </w:r>
      <w:r>
        <w:rPr>
          <w:rFonts w:ascii="Times New Roman" w:cs="Times New Roman" w:eastAsia="Times New Roman" w:hAnsi="Times New Roman"/>
          <w:sz w:val="18"/>
          <w:szCs w:val="18"/>
          <w:color w:val="auto"/>
        </w:rPr>
        <w:t>For the first quarter of 2015, we had non-operating expenses, net of $7.0 million, an increase of $4.5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as compared to the first quarter of 2014. This increase was principally due to a $2.9 million increase in interest expense and other financing costs, net, as a result of higher average borrowings in the first quarter of 2015 as compared to the first quarter of 2014 and a $0.7 million change resulting from foreign currency exchange losses of $0.3 million for the first quarter of 2015 as compared to foreign currency exchange gains of $0.4 million for the first quarter of 2014. The remaining increase of $0.9 million was principally due to a reduction of equity earnings in the first quarter of 2015 as compared to the first quarter of 2014.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the first quarter of 2015, our effective income tax rate was 15.3% and our income tax provision was $9.9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an effective income tax rate of 18.3% and an income tax provision of $11.3 million for the first quarter of 2014. The lower effective income tax rate for the first quarter of 2015 resulted principally from differences in the results of our subsidiaries in tax jurisdictions with different income tax rates as compared to the first quarter of 2014.</w:t>
      </w:r>
    </w:p>
    <w:p>
      <w:pPr>
        <w:spacing w:after="0" w:line="18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Loss Attributable to Noncontrolling Interest</w:t>
      </w:r>
      <w:r>
        <w:rPr>
          <w:rFonts w:ascii="Times New Roman" w:cs="Times New Roman" w:eastAsia="Times New Roman" w:hAnsi="Times New Roman"/>
          <w:sz w:val="18"/>
          <w:szCs w:val="18"/>
          <w:color w:val="auto"/>
        </w:rPr>
        <w:t>. For the first quarter of 2015, net loss attributable to noncontrolling interest was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 decrease of $0.8 million as compared to the first quarter of 2014.</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Net Income and Diluted Earnings per Common Share</w:t>
      </w:r>
      <w:r>
        <w:rPr>
          <w:rFonts w:ascii="Times New Roman" w:cs="Times New Roman" w:eastAsia="Times New Roman" w:hAnsi="Times New Roman"/>
          <w:sz w:val="18"/>
          <w:szCs w:val="18"/>
          <w:color w:val="auto"/>
        </w:rPr>
        <w:t>. Our net income for the first quarter of 2015 was $55.6 million,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 million, or 9.7%, as compared to the first quarter of 2014. Diluted earnings per common share for the first quarter of 2015 was $0.78 per common share, an increase of $0.07 per common share, or 9.9%, as compared to the first quarter of 2014.</w:t>
      </w:r>
    </w:p>
    <w:p>
      <w:pPr>
        <w:spacing w:after="0" w:line="174"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Non-GAAP Net Income and Non-GAAP Diluted Earnings per Common Share</w:t>
      </w:r>
      <w:r>
        <w:rPr>
          <w:rFonts w:ascii="Times New Roman" w:cs="Times New Roman" w:eastAsia="Times New Roman" w:hAnsi="Times New Roman"/>
          <w:sz w:val="18"/>
          <w:szCs w:val="18"/>
          <w:color w:val="auto"/>
        </w:rPr>
        <w:t>. Our non-GAAP net income for the first quarter of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$65.0 million, an increase of $6.5 million, or 11.1%, as compared to the first quarter of 2014. Non-GAAP diluted earnings per common share for the first quarter of 2015 was $0.91 per common share, an increase of $0.08 per common share, or 9.6%, as compared to the first quarter of 2014. The following table sets forth the reconciliation between our net income and non-GAAP net income for the first quarter of 2015 and 2014 (in millions):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9"/>
        </w:trPr>
        <w:tc>
          <w:tcPr>
            <w:tcW w:w="74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7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World Fuel</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55.6</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198"/>
        </w:trPr>
        <w:tc>
          <w:tcPr>
            <w:tcW w:w="7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expense, net of income taxes of $1.1 and $1.3 for 2015 and 2014,</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50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98"/>
        </w:trPr>
        <w:tc>
          <w:tcPr>
            <w:tcW w:w="7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Intangible asset amortization expense, net of income taxes of $1.7 and $2.0 for 2015 and 2014,</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purchase accounting adjustment, net of income taxes of $0.4</w:t>
            </w:r>
          </w:p>
        </w:tc>
        <w:tc>
          <w:tcPr>
            <w:tcW w:w="5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the acquisition of Watson Petroleum</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Termination of employment agreement, net of income taxes of $1.5</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World Fuel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65.0</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between our diluted earnings per common share and non-GAAP diluted earnings per common share for the first quarter of 2015 and 2014:</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9"/>
        </w:trPr>
        <w:tc>
          <w:tcPr>
            <w:tcW w:w="74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7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0.78</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net of income taxes</w:t>
            </w:r>
          </w:p>
        </w:tc>
        <w:tc>
          <w:tcPr>
            <w:tcW w:w="5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0.03</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 net of income taxes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purchase accounting adjustment, net of income taxes</w:t>
            </w:r>
          </w:p>
        </w:tc>
        <w:tc>
          <w:tcPr>
            <w:tcW w:w="5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the acquisition of Watson Petroleum</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Termination of employment agreement, net of income taxes</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0.03</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common share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0.91</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non-GAAP financial measures exclude costs associated with share-based compensation, amortization of acquired intangible assets, deferred revenue purchase accounting adjustments, expenses related to the acquisition of Watson Petroleum and the termination of an employment agreement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the acquisition of Watson Petroleum and the termination of an employment agreement are useful for purposes of evaluating operating performance of our core operating results and comparing them period over period. In accordance with the fair value provisions applicable to the accounting for business combinations, acquired deferred revenue is often recorded on the opening balance sheet at an amount that is lower than the historical carrying value. Although this acquisition accounting requirement has no impact on our business or cash flows, it adversely impacts our reported GAAP revenue in the reporting periods following an acquisition. We believe that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exclusion of the deferred revenue purchase accounting adjustment is useful to investors as an additional means to reflect trends of our business and provides investors with financial information that facilitates comparison of both historical and future results.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major categories of cash flows for the three months ended March 31, 2015 and 2014 (in millions). For additional details, please see the consolidated statements of cash flows.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9"/>
        </w:trPr>
        <w:tc>
          <w:tcPr>
            <w:tcW w:w="7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7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106.9</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r>
    </w:tbl>
    <w:p>
      <w:pPr>
        <w:spacing w:after="0" w:line="196"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For the three months ended March 31, 2015, net cash provided by operating activities was $106.9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$91.6 million for the first three months of 2014. The $15.3 million increase in operating cash flows was primarily due to year-over-year changes in assets and liabilities, net of acquisitions.</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For the three months ended March 31, 2015, net cash used in investing activities was $11.5 million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$184.6 million for the first three months of 2014. The $173.1 million decrease in cash used in investing activities was principally due to the acquisition of Watson Petroleum in 2014.</w:t>
      </w:r>
    </w:p>
    <w:p>
      <w:pPr>
        <w:spacing w:after="0" w:line="17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For the three months ended March 31, 2015, net cash used in financing activities was $2.4 million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net cash provided by financing activities of $247.3 million for the first three months of 2014. The $249.7 million change in cash provided by financing activities was principally due to decreased net borrowings under our Credit Facility in the first three months of 2015 as compared to the first three months of 2014.</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Liquidity Measures</w:t>
      </w:r>
    </w:p>
    <w:p>
      <w:pPr>
        <w:spacing w:after="0" w:line="225"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As of March 31, 2015 and December 31, 2014, we had cash and cash equivalents of $391.0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$302.3 million, respectively. Our primary uses of cash and cash equivalents are to fund accounts receivable, purchase inventory and make strategic investments, primarily acquisitions.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Facility and Term Loans. </w:t>
      </w:r>
      <w:r>
        <w:rPr>
          <w:rFonts w:ascii="Times New Roman" w:cs="Times New Roman" w:eastAsia="Times New Roman" w:hAnsi="Times New Roman"/>
          <w:sz w:val="18"/>
          <w:szCs w:val="18"/>
          <w:color w:val="auto"/>
        </w:rPr>
        <w:t>On January 30, 2015, we amended our Credit Facility to, among other things, increase the maximum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under the Credit Facility from $1.10 billion to $1.26 billion and added a new $100.0 million term loan facility. Under the Credit Facility, we have the right to request increases in available borrowings up to an additional $150.0 million, subject to the satisfaction of certain conditions. Additionally, the Credit Facility has a sublimit of $400.0 million for the issuance of letters of credit and bankers’ acceptances and matures in October 2018. We had outstanding borrowings under our Credit Facility totaling $330.0 million and $420.0 million as of March 31, 2015 and December 31, 2014, respectively. Our issued letters of credit under the Credit Facility totaled $9.8 million and $14.8 million as of March 31, 2015 and December 31, 2014, respectively. We also had $339.6 million and $241.3 million in Term Loans outstanding as of March 31, 2015 and December 31, 2014, respectively. As of March 31, 2015 and December 31, 2014, the unused portion of our Credit Facility was $920.2 million and $665.2 million, respectively.</w:t>
      </w:r>
    </w:p>
    <w:p>
      <w:pPr>
        <w:spacing w:after="0" w:line="191"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March 31, 2015, we were in compliance with all financial covenants contained in our Credit Facility and our Term Loans.</w:t>
      </w:r>
    </w:p>
    <w:p>
      <w:pPr>
        <w:spacing w:after="0" w:line="197"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Other Credit Lines and Receivables Purchase Agreements</w:t>
      </w:r>
      <w:r>
        <w:rPr>
          <w:rFonts w:ascii="Times New Roman" w:cs="Times New Roman" w:eastAsia="Times New Roman" w:hAnsi="Times New Roman"/>
          <w:sz w:val="18"/>
          <w:szCs w:val="18"/>
          <w:color w:val="auto"/>
        </w:rPr>
        <w:t>. Additionally, we have other uncommitted credit lines primarily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letters of credit, bank guarantees and bankers’ acceptances. These credit lines are renewable on an annual basis and are subject to fees at market rates. As of March 31, 2015 and December 31, 2014, our outstanding letters of credit and bank guarantees under these credit lines totaled $194.0 million and $211.4 million, respectively. We also have Receivables Purchase Agreements (“RPAs”) that allow for the sale of up to an aggregate of $375.0 million of our accounts receivable. As of March 31, 2015, we had sold accounts receivable of $136.7 million under the RPAs.</w:t>
      </w:r>
    </w:p>
    <w:p>
      <w:pPr>
        <w:spacing w:after="0" w:line="18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Short-Term Debt</w:t>
      </w:r>
      <w:r>
        <w:rPr>
          <w:rFonts w:ascii="Times New Roman" w:cs="Times New Roman" w:eastAsia="Times New Roman" w:hAnsi="Times New Roman"/>
          <w:sz w:val="18"/>
          <w:szCs w:val="18"/>
          <w:color w:val="auto"/>
        </w:rPr>
        <w:t>. As of March 31, 2015, our short-term debt of $21.4 million primarily represents the current maturities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 twelve months) of Term Loan borrowings, certain promissory notes related to acquisitions and capital lease obligations.</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as of March 31, 2015 (of which $65.9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Except for changes in the contractual obligations and off-balance sheet arrangements described below, there were no other material changes from December 31, 2014 to March 31, 2015. For a discussion of these matters, refer to “Contractual Obligations and Off-Balance Sheet Arrangements” in Item 7 of our 2014 10-K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Derivative Obligations. </w:t>
      </w:r>
      <w:r>
        <w:rPr>
          <w:rFonts w:ascii="Times New Roman" w:cs="Times New Roman" w:eastAsia="Times New Roman" w:hAnsi="Times New Roman"/>
          <w:sz w:val="18"/>
          <w:szCs w:val="18"/>
          <w:color w:val="auto"/>
        </w:rPr>
        <w:t>As of March 31, 2015, our net derivative obligations were $41.8 million, principally due within one year.</w:t>
      </w:r>
    </w:p>
    <w:p>
      <w:pPr>
        <w:spacing w:after="0" w:line="225" w:lineRule="exact"/>
        <w:rPr>
          <w:sz w:val="20"/>
          <w:szCs w:val="20"/>
          <w:color w:val="auto"/>
        </w:rPr>
      </w:pPr>
    </w:p>
    <w:p>
      <w:pPr>
        <w:ind w:left="40" w:right="20" w:firstLine="2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Commitment Obligations. </w:t>
      </w:r>
      <w:r>
        <w:rPr>
          <w:rFonts w:ascii="Times New Roman" w:cs="Times New Roman" w:eastAsia="Times New Roman" w:hAnsi="Times New Roman"/>
          <w:sz w:val="18"/>
          <w:szCs w:val="18"/>
          <w:color w:val="auto"/>
        </w:rPr>
        <w:t>As of March 31, 2015, fixed purchase commitments under our derivative programs amounted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$72.5 million, principally due within one year.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Letters of Credit and Bank Guarantees. </w:t>
      </w:r>
      <w:r>
        <w:rPr>
          <w:rFonts w:ascii="Times New Roman" w:cs="Times New Roman" w:eastAsia="Times New Roman" w:hAnsi="Times New Roman"/>
          <w:sz w:val="18"/>
          <w:szCs w:val="18"/>
          <w:color w:val="auto"/>
        </w:rPr>
        <w:t>In the normal course of business, we are required to provide letters of credit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 A majority of these letters of credit expire within one year from their issuance, and expired letters of credit are renewed as needed. As of March 31, 2015, we had issued letters of credit and bank guarantees totaling $203.8 million under our Credit Facility and other uncommitted credit lines. For additional information on our Credit Facility and other credit lines, see the discussion in “Liquidity and Capital Resources”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recent accounting pronouncements is included in Note 1 - Significant Accounting Policies in the “Notes to the Consolidated Financial Statements” in this 10-Q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describes our derivative classifications:</w:t>
      </w:r>
    </w:p>
    <w:p>
      <w:pPr>
        <w:spacing w:after="0" w:line="142" w:lineRule="exact"/>
        <w:rPr>
          <w:sz w:val="20"/>
          <w:szCs w:val="20"/>
          <w:color w:val="auto"/>
        </w:rPr>
      </w:pPr>
    </w:p>
    <w:p>
      <w:pPr>
        <w:jc w:val="both"/>
        <w:ind w:right="20"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Cash Flow Hedges. </w:t>
      </w:r>
      <w:r>
        <w:rPr>
          <w:rFonts w:ascii="Times New Roman" w:cs="Times New Roman" w:eastAsia="Times New Roman" w:hAnsi="Times New Roman"/>
          <w:sz w:val="18"/>
          <w:szCs w:val="18"/>
          <w:color w:val="auto"/>
        </w:rPr>
        <w:t>Includes certain of our foreign currency forward contracts we enter into in order to mitigate the risk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 fluctuations.</w:t>
      </w:r>
    </w:p>
    <w:p>
      <w:pPr>
        <w:spacing w:after="0" w:line="116" w:lineRule="exact"/>
        <w:rPr>
          <w:sz w:val="20"/>
          <w:szCs w:val="20"/>
          <w:color w:val="auto"/>
        </w:rPr>
      </w:pPr>
    </w:p>
    <w:p>
      <w:pPr>
        <w:jc w:val="both"/>
        <w:ind w:right="20"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Fair Value Hedges</w:t>
      </w:r>
      <w:r>
        <w:rPr>
          <w:rFonts w:ascii="Times New Roman" w:cs="Times New Roman" w:eastAsia="Times New Roman" w:hAnsi="Times New Roman"/>
          <w:sz w:val="18"/>
          <w:szCs w:val="18"/>
          <w:color w:val="auto"/>
        </w:rPr>
        <w:t>. Includes derivatives we enter into in order to hedge price risk associated with our inventory and certain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relating to fixed price purchase and sale contracts.</w:t>
      </w:r>
    </w:p>
    <w:p>
      <w:pPr>
        <w:spacing w:after="0" w:line="116" w:lineRule="exact"/>
        <w:rPr>
          <w:sz w:val="20"/>
          <w:szCs w:val="20"/>
          <w:color w:val="auto"/>
        </w:rPr>
      </w:pPr>
    </w:p>
    <w:p>
      <w:pPr>
        <w:jc w:val="both"/>
        <w:ind w:right="20" w:firstLine="324"/>
        <w:spacing w:after="0" w:line="227" w:lineRule="auto"/>
        <w:rPr>
          <w:sz w:val="20"/>
          <w:szCs w:val="20"/>
          <w:color w:val="auto"/>
        </w:rPr>
      </w:pPr>
      <w:r>
        <w:rPr>
          <w:rFonts w:ascii="Times New Roman" w:cs="Times New Roman" w:eastAsia="Times New Roman" w:hAnsi="Times New Roman"/>
          <w:sz w:val="18"/>
          <w:szCs w:val="18"/>
          <w:i w:val="1"/>
          <w:iCs w:val="1"/>
          <w:color w:val="auto"/>
        </w:rPr>
        <w:t>Non-designated Derivatives</w:t>
      </w:r>
      <w:r>
        <w:rPr>
          <w:rFonts w:ascii="Times New Roman" w:cs="Times New Roman" w:eastAsia="Times New Roman" w:hAnsi="Times New Roman"/>
          <w:sz w:val="18"/>
          <w:szCs w:val="18"/>
          <w:color w:val="auto"/>
        </w:rPr>
        <w:t>. Includes derivatives we primarily enter into in order to mitigate the risk of market price fluctuations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aviation, marine and land fuel in the form of swaps or futures as well as certain fixed price purchase and sale contracts and proprietary trading. In addition, non-designated derivatives are also entered into to hedge the risk of currency rate fluctuations.</w:t>
      </w:r>
    </w:p>
    <w:p>
      <w:pPr>
        <w:spacing w:after="0" w:line="117"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As of March 31, 2015, our derivative instruments, at their respective fair value positions were as follows (in millions, except weighted average fixed price and weighted average mark-to-market amount):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Mark-to-</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Hedge Strategy</w:t>
            </w:r>
          </w:p>
        </w:tc>
        <w:tc>
          <w:tcPr>
            <w:tcW w:w="8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Instrument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5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Fixed Price</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3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1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Fair Value Hedge</w:t>
            </w:r>
          </w:p>
        </w:tc>
        <w:tc>
          <w:tcPr>
            <w:tcW w:w="86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Commodity contracts for inventory hedging</w:t>
            </w:r>
          </w:p>
        </w:tc>
        <w:tc>
          <w:tcPr>
            <w:tcW w:w="1360" w:type="dxa"/>
            <w:vAlign w:val="bottom"/>
            <w:tcBorders>
              <w:bottom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580" w:type="dxa"/>
            <w:vAlign w:val="bottom"/>
            <w:tcBorders>
              <w:bottom w:val="single" w:sz="8" w:color="CCEEFF"/>
            </w:tcBorders>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BBL</w:t>
            </w:r>
          </w:p>
        </w:tc>
        <w:tc>
          <w:tcPr>
            <w:tcW w:w="16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56.203</w:t>
            </w:r>
          </w:p>
        </w:tc>
        <w:tc>
          <w:tcPr>
            <w:tcW w:w="220" w:type="dxa"/>
            <w:vAlign w:val="bottom"/>
            <w:tcBorders>
              <w:bottom w:val="single" w:sz="8" w:color="CCEEFF"/>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Non-Designated</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44.1</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54.721</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34.9</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70.043</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13.169</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49.795</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(5.382)</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69.663</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5.512</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(long)</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39.786</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42.019</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6.000</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Commodity contracts (short)</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BBL</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83.997</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0.5</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AUD</w:t>
            </w:r>
          </w:p>
        </w:tc>
        <w:tc>
          <w:tcPr>
            <w:tcW w:w="1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0.784</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0.200</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CAD</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1.239</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0.061</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DKK</w:t>
            </w:r>
          </w:p>
        </w:tc>
        <w:tc>
          <w:tcPr>
            <w:tcW w:w="1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6.664</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0.006</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EUR</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1.136</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0.124</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59.7</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1.545</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0.090</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123.8</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MXN</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15.004</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(0.002)</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35.3</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RON</w:t>
            </w:r>
          </w:p>
        </w:tc>
        <w:tc>
          <w:tcPr>
            <w:tcW w:w="1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3.943</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0.017</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53.8</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ZAR</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11.935</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0.002</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3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1.554</w:t>
            </w:r>
          </w:p>
        </w:tc>
        <w:tc>
          <w:tcPr>
            <w:tcW w:w="22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0.065</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3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5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GBP</w:t>
            </w: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1.610</w:t>
            </w: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0.143</w:t>
            </w: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exposures to interest rate or foreign currency risk since December 31, 2014. Please refer to our 2014 10-K Report for a complete discussion of our exposure to these risks.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March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March 31, 2015.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Lac-Mégantic, Quebec</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on behalf of DPTS Marketing, LLC (“DPM”), a crude oil marketing joint venture in which we owned a 50% membership interest, purchased crude oil from various producers in the Bakken region of North Dakota. Dakota Petroleum Transport Solutions, LLC (“DPTS”), a crude oil transloading joint venture in which we also owned a 50% membership interest, arranged for the transloading of the crude oil for DPM into tank cars at the joint venture’s facility in New Town, North Dakota. We leased the tank cars used in the transloading from a number of third party lessors and subleased these tank cars to DPM. We, on behalf of DPM, contracted with Canadian Pacific Railway (“CPR”) for the transportation of the tank cars and the crude oil from New Town, North Dakota to a customer in New Brunswick, Canada. CPR subcontracted a portion of that route to Montreal, Maine and Atlantic Railway (“MMA”). On July 6, 2013, the freight train operated by MMA with tank cars carrying approximately 50,000 barrels of crude oil derailed in Lac-Mégantic, Quebec. The derailment resulted in significant loss of life, damage to the environment from spilled crude oil and extensive property damage.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2013, we, certain of our subsidiaries, DPM and DPTS, along with a number of third parties, including MMA and certain of its affiliates, as well as several manufacturers and lessors of tank cars, were named as defendants in twenty complaints filed in the Circuit Court of Cook County, Illinois. The complaints generally allege wrongful death and negligence in the failure to provide for the proper and safe transportation of crude oil and seek economic and compensatory damages, as well as costs. The actions were removed to the United States District Court for the Northern District of Illinois (the “IL District Court”) and subsequently reassigned to a single judge in the IL District Court (other than one action that was remanded to state court prior to reassignment and another that was voluntarily dismissed by the plaintiffs).</w:t>
      </w:r>
    </w:p>
    <w:p>
      <w:pPr>
        <w:spacing w:after="0" w:line="189"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plaintiffs subsequently filed a motion to have these actions remanded to state court. We filed a motion in the United States District Court for the District of Maine (the “ME District Court”), where MMA’s bankruptcy is pending, to transfer all of these actions to that court. On March 21, 2014, the ME District Court granted the transfer motion. On April 4, 2014, the plaintiffs filed a motion for reconsideration of the order granting the transfer motion and a motion requesting the ME District Court abstain from exercising jurisdiction over the cases. The motion for reconsideration was denied and the motion for abstention remains pending. On May 1, 2014, the plaintiffs filed a notice stating their intention to appeal the order granting the transfer motion to the First Circuit Court of Appeals. On June 17, 2014, the ME District Court entered a consent order staying proceedings in the transferred cases pending the appeal. On November 11, 2014, the Trustee for MMA’s U.S. bankruptcy estate (the “Trustee”) and plaintiffs moved to amend the consent order staying proceedings in the transferred cases to allow plaintiffs to file additional cases in other jurisdictions. On March 23, 2015, the ME District Court entered an amended consent order staying proceedings in the transferred cases pending the appeal and allowing plaintiffs to file additional cases. We believe the plaintiffs’ claims against us, certain of our subsidiaries, DPM and DPTS are without merit and intend to vigorously defend against such claims and pursue any and all defenses available.</w:t>
      </w:r>
    </w:p>
    <w:p>
      <w:pPr>
        <w:spacing w:after="0" w:line="19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2013, we, certain of our subsidiaries, DPM and DPTS, along with a number of other third parties, including CPR, MMA and certain of its affiliates, several manufacturers and lessors of tank cars, as well as the intended purchaser and certain suppliers of the crude oil, were named as defendants in a motion filed in Quebec Superior Court to authorize the bringing of a class-action lawsuit seeking economic, compensatory and punitive damages, as well as costs. The motion generally alleges wrongful death and negligence in the failure to provide for the proper and safe transportation of crude oil. On February 24, 2015, the Superior Court of Quebec issued an order staying the class action proceedings in light of settlement agreements reached by several defendants with the Trustee and the monitor in MMA’s Canadian bankruptcy (the “Monitor”) . On March 20, 2015, by terms of the order dated February 24, 2015, the stay was lifted in respect of all non-settling defendants, including us. We believe these claims against us, certain of our subsidiaries, DPM and DPTS are without merit and intend to vigorously defend against such claims and pursue any and all defenses available.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2013, the Quebec Minister for Sustainable Development, Environment, Wildlife and Parks (the “Minister”) issued an order requiring MMA and us to recover the spilled crude oil caused by the incident and to otherwise fully remediate the impact of the incident on the environment. The Minister subsequently issued a modified order, to which CPR was added as a party. The requirements of the modified order with respect to us are not materially different from the initial order (the initial order and modified order are hereinafter collectively referred to as the “Order”). We have filed a contestation of the Order before the Tribunal administratif du Québec, an administrative body responsible for hearing such contestations, that challenges the legality and validity of the Order on various grounds. In July and September of 2014, we voluntarily entered into agreements with the government of Quebec to perform sediment characterization work in Lake Mégantic and the Chaudière River and certain remediation work in the Chaudière River. The associated cost of these activities is not significant and will be covered by insurance. These agreements were made without admission of liability and under full reservation of rights. We continue to challenge both the legality and validity of the Order.</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30, 2014, the Trustee filed an adversary proceeding against us, and certain of our subsidiaries, in the United States Bankruptcy Court for the District of Maine alleging negligence in the failure to provide the proper and safe transportation of crude oil, and seeking economic damages, as well as costs and expenses associated with MMA’s lawsuits arising from the incident. On May 29, 2014, we and our named subsidiaries filed an answer to the Trustee’s complaint. On January 9, 2015, the Trustee filed an amended complaint in the adversary proceeding naming CPR and Irving Oil Limited as defendants. Discovery in the case has commenced. We believe these claims against us and certain of our subsidiaries are without merit and intend to vigorously defend against such claims and pursue any and all defenses available.</w:t>
      </w:r>
    </w:p>
    <w:p>
      <w:pPr>
        <w:spacing w:after="0" w:line="189"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The Trustee and the Monitor continue to discuss a global settlement with various parties, including us, and such discussions are ongoing. Although amounts to settle have been proffered to us in the course of discussions, to date such offers have been informal, not fully defined, or varied significantly in terms of scope and substance. In addition, the settlement discussions have involved multiple parties whose support for the various offers has been uncertain. Accordingly, we are unable to provide information at this time that we believe would enable investors to reasonably assess the significance of these offers or their bearing on the probability, timing or range of any potential settlement. While we continue to actively discuss a potential settlement to resolve the outstanding claims against us, the settlement discussions may not ultimately result in an agreement.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Trustee and the Canadian debtor have each filed proposed bankruptcy plans (in the U.S. and Canada, respectively) that seek to implement settlements reached to date with other parties. Prior to becoming effective, the proposed bankruptcy plans will need to be approved by the requisite creditors in both the U.S. and Canadian bankruptcies, such as plaintiffs in the class action and the Quebec provincial government. Thereafter, if so approved, the plans will be submitted to the respective bankruptcy courts for approval. The bankruptcy plans may also be challenged by third parties objecting to the plans and, therefore, approval of the plans and the related timing is uncertain. The bankruptcy plans may be amended at any time prior to their effective date to include additional settlements.</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to these proceedings, we have received demands for defense and/or indemnification from certain tank car lessors pursuant to our lease agreements with such parties. In connection with these demands, three of our tank car lessors have filed actions against us seeking a declaratory judgment on their indemnification claims and reimbursement for the value of certain leased tank cars that were lost or destroyed in the derailment. Specifically, on July 28, 2014, The CIT Group/Equipment Financing, Inc. and CIT Group Inc. filed a complaint against us in the United States District Court for the District of Minnesota alleging breach of contract and seeking declaratory relief and economic damages, as well as costs. On September 19, 2014, we filed a motion to dismiss certain counts of the complaint, which has not yet been ruled on by the court. On October 10, 2014, CIT filed a motion for partial summary judgment, which motion is currently pending before the court. Furthermore, on September 5, 2014, General Electric Railcar Services Corporation (“GE”) filed a complaint against us in the United States District Court for the Southern District of Florida alleging breach of contract and seeking declaratory relief and economic damages, as well as costs. On December 5, 2014, GE amended its complaint and on December 22, 2014, we filed a motion to dismiss certain counts of the amended complaint, which the court has not yet decided. Finally, on November 11, 2014, SMBC Rail Services (“SMBC”) filed a complaint against us in the Northern District of Texas alleging breach of contract and seeking declaratory relief and economic damages, costs, and injunctive relief prohibiting us from entering into any settlement agreement that would impair the obligations owed to SMBC under the lease agreement. On November 18, 2014, SMBC filed a motion for a preliminary injunction that sought to prohibit us from continuing settlement negotiations with the Trustee, the Monitor or other parties. We filed an opposition to the preliminary injunction on December 2, 2014, and a motion to dismiss certain counts of the complaint the following day. On December 29, 2014, the court denied SMBC’s motion for a preliminary injunction. The court has not yet ruled on our motion to dismiss. We believe these claims against us are without merit and intend to vigorously defend against such claims and pursue any and all defenses available.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2014, we sold our 50% interest in DPM and DPTS to certain subsidiaries of Dakota Plains Holdings, Inc. (“DAKP”), our partner in the joint ventures. In connection with the sale transaction, we agreed to indemnify DAKP and certain of its affiliates, including DPM and DPTS, for third party claims for bodily injury or property damage arising from the derailment. Pursuant to the agreement, we will control the defense of DAKP and the joint ventures for claims associated with the derailment. In addition, DAKP assigned to us all recoveries from third parties and under applicable insurance policies held by DAKP and the joint ventures for claims arising out of the derailment. Finally, DAKP also agreed to indemnify us for certain costs and expenses arising out of the derailment up to $10.0 million.</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 claims, lawsuits, proceedings, investigations and orders may be filed, commenced or issued with respect to the incident, which may involve civil claims for damages or governmental investigative, regulatory or enforcement actions against us.</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repurchases of common stock made by us during the quarterly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2015 (in thousands, except average price per share):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74"/>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3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2920" w:type="dxa"/>
            <w:vAlign w:val="bottom"/>
            <w:gridSpan w:val="2"/>
            <w:vMerge w:val="continue"/>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1/1/15 - 1/31/15</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2/1/15 - 2/28/15</w:t>
            </w:r>
          </w:p>
        </w:tc>
        <w:tc>
          <w:tcPr>
            <w:tcW w:w="220" w:type="dxa"/>
            <w:vAlign w:val="bottom"/>
          </w:tcPr>
          <w:p>
            <w:pPr>
              <w:spacing w:after="0"/>
              <w:rPr>
                <w:sz w:val="18"/>
                <w:szCs w:val="18"/>
                <w:color w:val="auto"/>
              </w:rPr>
            </w:pPr>
          </w:p>
        </w:tc>
        <w:tc>
          <w:tcPr>
            <w:tcW w:w="12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60" w:type="dxa"/>
            <w:vAlign w:val="bottom"/>
          </w:tcPr>
          <w:p>
            <w:pPr>
              <w:spacing w:after="0"/>
              <w:rPr>
                <w:sz w:val="18"/>
                <w:szCs w:val="18"/>
                <w:color w:val="auto"/>
              </w:rPr>
            </w:pPr>
          </w:p>
        </w:tc>
        <w:tc>
          <w:tcPr>
            <w:tcW w:w="18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3/1/15 - 3/31/15</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60" w:type="dxa"/>
            <w:vAlign w:val="bottom"/>
            <w:tcBorders>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193040</wp:posOffset>
            </wp:positionV>
            <wp:extent cx="164592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45920" cy="5143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180" w:right="20" w:hanging="188"/>
        <w:spacing w:after="0" w:line="281" w:lineRule="auto"/>
        <w:rPr>
          <w:sz w:val="20"/>
          <w:szCs w:val="20"/>
          <w:color w:val="auto"/>
        </w:rPr>
      </w:pPr>
      <w:r>
        <w:rPr>
          <w:rFonts w:ascii="Times New Roman" w:cs="Times New Roman" w:eastAsia="Times New Roman" w:hAnsi="Times New Roman"/>
          <w:sz w:val="16"/>
          <w:szCs w:val="16"/>
          <w:color w:val="auto"/>
        </w:rPr>
        <w:t>(1)These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78" w:lineRule="exact"/>
        <w:rPr>
          <w:sz w:val="20"/>
          <w:szCs w:val="20"/>
          <w:color w:val="auto"/>
        </w:rPr>
      </w:pPr>
    </w:p>
    <w:p>
      <w:pPr>
        <w:jc w:val="both"/>
        <w:ind w:left="180" w:hanging="188"/>
        <w:spacing w:after="0" w:line="272" w:lineRule="auto"/>
        <w:rPr>
          <w:sz w:val="20"/>
          <w:szCs w:val="20"/>
          <w:color w:val="auto"/>
        </w:rPr>
      </w:pPr>
      <w:r>
        <w:rPr>
          <w:rFonts w:ascii="Times New Roman" w:cs="Times New Roman" w:eastAsia="Times New Roman" w:hAnsi="Times New Roman"/>
          <w:sz w:val="16"/>
          <w:szCs w:val="16"/>
          <w:color w:val="auto"/>
        </w:rPr>
        <w:t>(2)In May 2014, our Board of Directors renewed its existing common stock repurchase program by replacing the remainder of the existing program and authorizing the purchase of up to $65.0 million in common stock (the “Repurchase Program”). The Repurchase Program does not require a minimum number of shares of common stock to be purchased, has no expiration date and may be suspended or discontinued at any time. As of March 31, 2015, $55.0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17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exhibits set forth in the following index of exhibits are filed as part of this 10-Q Report:</w:t>
      </w:r>
    </w:p>
    <w:p>
      <w:pPr>
        <w:spacing w:after="0" w:line="235" w:lineRule="exact"/>
        <w:rPr>
          <w:sz w:val="20"/>
          <w:szCs w:val="20"/>
          <w:color w:val="auto"/>
        </w:rPr>
      </w:pPr>
    </w:p>
    <w:p>
      <w:pPr>
        <w:spacing w:after="0"/>
        <w:tabs>
          <w:tab w:leader="none" w:pos="52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the Chief Executive Officer pursuant to Rule 13a-14(a) or Rule 15d —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4230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the Chief Financial Officer pursuant to Rule 13a-14(a) or Rule 15d — 14(a).</w:t>
      </w:r>
    </w:p>
    <w:p>
      <w:pPr>
        <w:spacing w:after="0" w:line="225" w:lineRule="exact"/>
        <w:rPr>
          <w:sz w:val="20"/>
          <w:szCs w:val="20"/>
          <w:color w:val="auto"/>
        </w:rPr>
      </w:pPr>
    </w:p>
    <w:p>
      <w:pPr>
        <w:ind w:left="380"/>
        <w:spacing w:after="0"/>
        <w:tabs>
          <w:tab w:leader="none" w:pos="12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Chief Executive Officer and Chief Financial Officer under Section 906 of the Sarbanes-Oxley Act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2002.</w:t>
      </w:r>
    </w:p>
    <w:p>
      <w:pPr>
        <w:spacing w:after="0" w:line="207" w:lineRule="exact"/>
        <w:rPr>
          <w:sz w:val="20"/>
          <w:szCs w:val="20"/>
          <w:color w:val="auto"/>
        </w:rPr>
      </w:pPr>
    </w:p>
    <w:p>
      <w:pPr>
        <w:ind w:left="1260" w:right="300" w:hanging="865"/>
        <w:spacing w:after="0" w:line="281" w:lineRule="auto"/>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World Fuel Services Corporation’s Quarterly Report on Form 10-Q for the quarter ended March 31, 2015,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1"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Date: April 30, 2015</w:t>
      </w:r>
      <w:r>
        <w:rPr>
          <w:sz w:val="20"/>
          <w:szCs w:val="20"/>
          <w:color w:val="auto"/>
        </w:rPr>
        <w:tab/>
      </w:r>
      <w:r>
        <w:rPr>
          <w:rFonts w:ascii="Times New Roman" w:cs="Times New Roman" w:eastAsia="Times New Roman" w:hAnsi="Times New Roman"/>
          <w:sz w:val="17"/>
          <w:szCs w:val="17"/>
          <w:color w:val="auto"/>
        </w:rPr>
        <w:t>World Fuel Services Corporation</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07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Ira M. Birns</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073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 — 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Kasbar, certify that:</w:t>
      </w:r>
    </w:p>
    <w:p>
      <w:pPr>
        <w:spacing w:after="0" w:line="252" w:lineRule="exact"/>
        <w:rPr>
          <w:sz w:val="20"/>
          <w:szCs w:val="20"/>
          <w:color w:val="auto"/>
        </w:rPr>
      </w:pPr>
    </w:p>
    <w:p>
      <w:pPr>
        <w:ind w:left="460" w:right="260" w:hanging="134"/>
        <w:spacing w:after="0" w:line="282" w:lineRule="auto"/>
        <w:rPr>
          <w:sz w:val="20"/>
          <w:szCs w:val="20"/>
          <w:color w:val="auto"/>
        </w:rPr>
      </w:pPr>
      <w:r>
        <w:rPr>
          <w:rFonts w:ascii="Times New Roman" w:cs="Times New Roman" w:eastAsia="Times New Roman" w:hAnsi="Times New Roman"/>
          <w:sz w:val="18"/>
          <w:szCs w:val="18"/>
          <w:color w:val="auto"/>
        </w:rPr>
        <w:t>1.I have reviewed this Quarterly Report on Form 10-Q of World Fuel Services Corporation for the quarterly period ended March 31, 2015;</w:t>
      </w:r>
    </w:p>
    <w:p>
      <w:pPr>
        <w:spacing w:after="0" w:line="189" w:lineRule="exact"/>
        <w:rPr>
          <w:sz w:val="20"/>
          <w:szCs w:val="20"/>
          <w:color w:val="auto"/>
        </w:rPr>
      </w:pPr>
    </w:p>
    <w:p>
      <w:pPr>
        <w:ind w:left="460" w:right="8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sz w:val="20"/>
          <w:szCs w:val="20"/>
          <w:color w:val="auto"/>
        </w:rPr>
      </w:pPr>
    </w:p>
    <w:p>
      <w:pPr>
        <w:ind w:left="460" w:right="40" w:hanging="134"/>
        <w:spacing w:after="0" w:line="26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sz w:val="20"/>
          <w:szCs w:val="20"/>
          <w:color w:val="auto"/>
        </w:rPr>
      </w:pPr>
    </w:p>
    <w:p>
      <w:pPr>
        <w:ind w:left="460" w:righ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203" w:lineRule="exact"/>
        <w:rPr>
          <w:sz w:val="20"/>
          <w:szCs w:val="20"/>
          <w:color w:val="auto"/>
        </w:rPr>
      </w:pPr>
    </w:p>
    <w:p>
      <w:pPr>
        <w:ind w:left="1100" w:right="6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sz w:val="20"/>
          <w:szCs w:val="20"/>
          <w:color w:val="auto"/>
        </w:rPr>
      </w:pPr>
    </w:p>
    <w:p>
      <w:pPr>
        <w:ind w:left="1100" w:right="48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jc w:val="both"/>
        <w:ind w:left="1100" w:right="20" w:hanging="134"/>
        <w:spacing w:after="0" w:line="26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sz w:val="20"/>
          <w:szCs w:val="20"/>
          <w:color w:val="auto"/>
        </w:rPr>
      </w:pPr>
    </w:p>
    <w:p>
      <w:pPr>
        <w:ind w:left="1100" w:right="4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left="460" w:right="280" w:hanging="134"/>
        <w:spacing w:after="0" w:line="26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sz w:val="20"/>
          <w:szCs w:val="20"/>
          <w:color w:val="auto"/>
        </w:rPr>
      </w:pPr>
    </w:p>
    <w:p>
      <w:pPr>
        <w:ind w:left="1100" w:right="280" w:hanging="134"/>
        <w:spacing w:after="0" w:line="26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sz w:val="20"/>
          <w:szCs w:val="20"/>
          <w:color w:val="auto"/>
        </w:rPr>
      </w:pPr>
    </w:p>
    <w:p>
      <w:pPr>
        <w:ind w:left="1100" w:right="66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2015</w:t>
      </w:r>
    </w:p>
    <w:p>
      <w:pPr>
        <w:spacing w:after="0" w:line="27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5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-127635</wp:posOffset>
            </wp:positionV>
            <wp:extent cx="32073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310515</wp:posOffset>
            </wp:positionV>
            <wp:extent cx="646557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 — 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Ira M. Birns, certify that:</w:t>
      </w:r>
    </w:p>
    <w:p>
      <w:pPr>
        <w:spacing w:after="0" w:line="252" w:lineRule="exact"/>
        <w:rPr>
          <w:sz w:val="20"/>
          <w:szCs w:val="20"/>
          <w:color w:val="auto"/>
        </w:rPr>
      </w:pPr>
    </w:p>
    <w:p>
      <w:pPr>
        <w:ind w:left="460" w:right="260" w:hanging="134"/>
        <w:spacing w:after="0" w:line="282" w:lineRule="auto"/>
        <w:rPr>
          <w:sz w:val="20"/>
          <w:szCs w:val="20"/>
          <w:color w:val="auto"/>
        </w:rPr>
      </w:pPr>
      <w:r>
        <w:rPr>
          <w:rFonts w:ascii="Times New Roman" w:cs="Times New Roman" w:eastAsia="Times New Roman" w:hAnsi="Times New Roman"/>
          <w:sz w:val="18"/>
          <w:szCs w:val="18"/>
          <w:color w:val="auto"/>
        </w:rPr>
        <w:t>1.I have reviewed this Quarterly Report on Form 10-Q of World Fuel Services Corporation for the quarterly period ended March 31, 2015;</w:t>
      </w:r>
    </w:p>
    <w:p>
      <w:pPr>
        <w:spacing w:after="0" w:line="189" w:lineRule="exact"/>
        <w:rPr>
          <w:sz w:val="20"/>
          <w:szCs w:val="20"/>
          <w:color w:val="auto"/>
        </w:rPr>
      </w:pPr>
    </w:p>
    <w:p>
      <w:pPr>
        <w:ind w:left="460" w:right="8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sz w:val="20"/>
          <w:szCs w:val="20"/>
          <w:color w:val="auto"/>
        </w:rPr>
      </w:pPr>
    </w:p>
    <w:p>
      <w:pPr>
        <w:ind w:left="460" w:right="40" w:hanging="134"/>
        <w:spacing w:after="0" w:line="26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sz w:val="20"/>
          <w:szCs w:val="20"/>
          <w:color w:val="auto"/>
        </w:rPr>
      </w:pPr>
    </w:p>
    <w:p>
      <w:pPr>
        <w:ind w:left="460" w:righ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203" w:lineRule="exact"/>
        <w:rPr>
          <w:sz w:val="20"/>
          <w:szCs w:val="20"/>
          <w:color w:val="auto"/>
        </w:rPr>
      </w:pPr>
    </w:p>
    <w:p>
      <w:pPr>
        <w:ind w:left="1100" w:right="6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sz w:val="20"/>
          <w:szCs w:val="20"/>
          <w:color w:val="auto"/>
        </w:rPr>
      </w:pPr>
    </w:p>
    <w:p>
      <w:pPr>
        <w:ind w:left="1100" w:right="480" w:hanging="134"/>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jc w:val="both"/>
        <w:ind w:left="1100" w:right="20" w:hanging="134"/>
        <w:spacing w:after="0" w:line="26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sz w:val="20"/>
          <w:szCs w:val="20"/>
          <w:color w:val="auto"/>
        </w:rPr>
      </w:pPr>
    </w:p>
    <w:p>
      <w:pPr>
        <w:ind w:left="1100" w:right="4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left="460" w:right="280" w:hanging="134"/>
        <w:spacing w:after="0" w:line="26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sz w:val="20"/>
          <w:szCs w:val="20"/>
          <w:color w:val="auto"/>
        </w:rPr>
      </w:pPr>
    </w:p>
    <w:p>
      <w:pPr>
        <w:ind w:left="1100" w:right="280" w:hanging="134"/>
        <w:spacing w:after="0" w:line="26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sz w:val="20"/>
          <w:szCs w:val="20"/>
          <w:color w:val="auto"/>
        </w:rPr>
      </w:pPr>
    </w:p>
    <w:p>
      <w:pPr>
        <w:ind w:left="1100" w:right="66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2015</w:t>
      </w:r>
    </w:p>
    <w:p>
      <w:pPr>
        <w:spacing w:after="0" w:line="27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Ira M. Birns</w:t>
      </w:r>
    </w:p>
    <w:p>
      <w:pPr>
        <w:spacing w:after="0" w:line="5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-127635</wp:posOffset>
            </wp:positionV>
            <wp:extent cx="32073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310515</wp:posOffset>
            </wp:positionV>
            <wp:extent cx="646557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under Section 906 of the Sarbanes-Oxley Act of 2002 (18 U.S.C. § 1350)</w:t>
      </w:r>
    </w:p>
    <w:p>
      <w:pPr>
        <w:spacing w:after="0" w:line="202"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We, Michael J. Kasbar, the Chairman and Chief Executive Officer of World Fuel Services Corporation (the “Company”), and Ira M. Birns, the Executive Vice-President and Chief Financial Officer of the Company, certify for the purposes of Section 1350 of Chapter 63 of Title 18 of the United States Code that, to the best of our knowledge,</w:t>
      </w:r>
    </w:p>
    <w:p>
      <w:pPr>
        <w:spacing w:after="0" w:line="203" w:lineRule="exact"/>
        <w:rPr>
          <w:sz w:val="20"/>
          <w:szCs w:val="20"/>
          <w:color w:val="auto"/>
        </w:rPr>
      </w:pPr>
    </w:p>
    <w:p>
      <w:pPr>
        <w:ind w:left="760" w:right="140" w:hanging="271"/>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2015 (the “Report”) fully complies with the requirements of Section 13(a) or 15(d), as applicable, of the Securities Exchange Act of 1934; and</w:t>
      </w:r>
    </w:p>
    <w:p>
      <w:pPr>
        <w:spacing w:after="0" w:line="203" w:lineRule="exact"/>
        <w:rPr>
          <w:rFonts w:ascii="Times New Roman" w:cs="Times New Roman" w:eastAsia="Times New Roman" w:hAnsi="Times New Roman"/>
          <w:sz w:val="18"/>
          <w:szCs w:val="18"/>
          <w:color w:val="auto"/>
        </w:rPr>
      </w:pPr>
    </w:p>
    <w:p>
      <w:pPr>
        <w:ind w:left="820" w:right="160" w:hanging="331"/>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2015</w:t>
      </w:r>
    </w:p>
    <w:p>
      <w:pPr>
        <w:spacing w:after="0" w:line="2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5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-127635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Ira M. Birns</w:t>
      </w:r>
    </w:p>
    <w:p>
      <w:pPr>
        <w:spacing w:after="0" w:line="5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-127635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3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269875</wp:posOffset>
            </wp:positionV>
            <wp:extent cx="584835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sectPr>
      <w:pgSz w:w="11900" w:h="16838" w:orient="portrait"/>
      <w:cols w:equalWidth="0" w:num="1">
        <w:col w:w="9140"/>
      </w:cols>
      <w:pgMar w:left="1380" w:top="11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0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2019-12-29T16:55:06Z</dcterms:created>
  <dcterms:modified xsi:type="dcterms:W3CDTF">2019-12-29T16:55:06Z</dcterms:modified>
</cp:coreProperties>
</file>