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023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0231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STEBBINS PAUL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11/30/2017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jc w:val="center"/>
              <w:ind w:left="428"/>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600" w:type="dxa"/>
            <w:vAlign w:val="bottom"/>
            <w:gridSpan w:val="2"/>
          </w:tcPr>
          <w:p>
            <w:pPr>
              <w:jc w:val="center"/>
              <w:ind w:left="448"/>
              <w:spacing w:after="0"/>
              <w:rPr>
                <w:sz w:val="20"/>
                <w:szCs w:val="20"/>
                <w:color w:val="auto"/>
              </w:rPr>
            </w:pPr>
            <w:r>
              <w:rPr>
                <w:rFonts w:ascii="Arial" w:cs="Arial" w:eastAsia="Arial" w:hAnsi="Arial"/>
                <w:sz w:val="18"/>
                <w:szCs w:val="18"/>
                <w:color w:val="0000FF"/>
                <w:w w:val="88"/>
              </w:rPr>
              <w:t>11/28/2017</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0000FF"/>
                <w:w w:val="91"/>
              </w:rPr>
              <w:t>G</w:t>
            </w:r>
          </w:p>
        </w:tc>
        <w:tc>
          <w:tcPr>
            <w:tcW w:w="380" w:type="dxa"/>
            <w:vAlign w:val="bottom"/>
          </w:tcPr>
          <w:p>
            <w:pPr>
              <w:ind w:left="140"/>
              <w:spacing w:after="0"/>
              <w:rPr>
                <w:sz w:val="20"/>
                <w:szCs w:val="20"/>
                <w:color w:val="auto"/>
              </w:rPr>
            </w:pPr>
            <w:r>
              <w:rPr>
                <w:rFonts w:ascii="Arial" w:cs="Arial" w:eastAsia="Arial" w:hAnsi="Arial"/>
                <w:sz w:val="14"/>
                <w:szCs w:val="14"/>
                <w:color w:val="0000FF"/>
              </w:rPr>
              <w:t>V</w:t>
            </w:r>
          </w:p>
        </w:tc>
        <w:tc>
          <w:tcPr>
            <w:tcW w:w="760" w:type="dxa"/>
            <w:vAlign w:val="bottom"/>
          </w:tcPr>
          <w:p>
            <w:pPr>
              <w:jc w:val="right"/>
              <w:spacing w:after="0"/>
              <w:rPr>
                <w:sz w:val="20"/>
                <w:szCs w:val="20"/>
                <w:color w:val="auto"/>
              </w:rPr>
            </w:pPr>
            <w:r>
              <w:rPr>
                <w:rFonts w:ascii="Arial" w:cs="Arial" w:eastAsia="Arial" w:hAnsi="Arial"/>
                <w:sz w:val="18"/>
                <w:szCs w:val="18"/>
                <w:color w:val="0000FF"/>
              </w:rPr>
              <w:t>233,664</w:t>
            </w:r>
          </w:p>
        </w:tc>
        <w:tc>
          <w:tcPr>
            <w:tcW w:w="500" w:type="dxa"/>
            <w:vAlign w:val="bottom"/>
          </w:tcPr>
          <w:p>
            <w:pPr>
              <w:ind w:left="280"/>
              <w:spacing w:after="0"/>
              <w:rPr>
                <w:sz w:val="20"/>
                <w:szCs w:val="20"/>
                <w:color w:val="auto"/>
              </w:rPr>
            </w:pPr>
            <w:r>
              <w:rPr>
                <w:rFonts w:ascii="Arial" w:cs="Arial" w:eastAsia="Arial" w:hAnsi="Arial"/>
                <w:sz w:val="18"/>
                <w:szCs w:val="18"/>
                <w:color w:val="0000FF"/>
              </w:rPr>
              <w:t>D</w:t>
            </w:r>
          </w:p>
        </w:tc>
        <w:tc>
          <w:tcPr>
            <w:tcW w:w="640" w:type="dxa"/>
            <w:vAlign w:val="bottom"/>
            <w:gridSpan w:val="2"/>
          </w:tcPr>
          <w:p>
            <w:pPr>
              <w:jc w:val="center"/>
              <w:ind w:left="148"/>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120" w:type="dxa"/>
            <w:vAlign w:val="bottom"/>
          </w:tcPr>
          <w:p>
            <w:pPr>
              <w:spacing w:after="0"/>
              <w:rPr>
                <w:sz w:val="18"/>
                <w:szCs w:val="18"/>
                <w:color w:val="auto"/>
              </w:rPr>
            </w:pPr>
          </w:p>
        </w:tc>
        <w:tc>
          <w:tcPr>
            <w:tcW w:w="122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139,037</w:t>
            </w:r>
            <w:r>
              <w:rPr>
                <w:rFonts w:ascii="Arial" w:cs="Arial" w:eastAsia="Arial" w:hAnsi="Arial"/>
                <w:sz w:val="22"/>
                <w:szCs w:val="22"/>
                <w:color w:val="008000"/>
                <w:w w:val="84"/>
                <w:vertAlign w:val="superscript"/>
              </w:rPr>
              <w:t>(1)</w:t>
            </w:r>
          </w:p>
        </w:tc>
        <w:tc>
          <w:tcPr>
            <w:tcW w:w="30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Revocable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600" w:type="dxa"/>
            <w:vAlign w:val="bottom"/>
            <w:gridSpan w:val="2"/>
          </w:tcPr>
          <w:p>
            <w:pPr>
              <w:jc w:val="center"/>
              <w:ind w:left="448"/>
              <w:spacing w:after="0"/>
              <w:rPr>
                <w:sz w:val="20"/>
                <w:szCs w:val="20"/>
                <w:color w:val="auto"/>
              </w:rPr>
            </w:pPr>
            <w:r>
              <w:rPr>
                <w:rFonts w:ascii="Arial" w:cs="Arial" w:eastAsia="Arial" w:hAnsi="Arial"/>
                <w:sz w:val="18"/>
                <w:szCs w:val="18"/>
                <w:color w:val="0000FF"/>
                <w:w w:val="88"/>
              </w:rPr>
              <w:t>11/28/2017</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0000FF"/>
                <w:w w:val="91"/>
              </w:rPr>
              <w:t>G</w:t>
            </w:r>
          </w:p>
        </w:tc>
        <w:tc>
          <w:tcPr>
            <w:tcW w:w="380" w:type="dxa"/>
            <w:vAlign w:val="bottom"/>
          </w:tcPr>
          <w:p>
            <w:pPr>
              <w:ind w:left="140"/>
              <w:spacing w:after="0"/>
              <w:rPr>
                <w:sz w:val="20"/>
                <w:szCs w:val="20"/>
                <w:color w:val="auto"/>
              </w:rPr>
            </w:pPr>
            <w:r>
              <w:rPr>
                <w:rFonts w:ascii="Arial" w:cs="Arial" w:eastAsia="Arial" w:hAnsi="Arial"/>
                <w:sz w:val="14"/>
                <w:szCs w:val="14"/>
                <w:color w:val="0000FF"/>
              </w:rPr>
              <w:t>V</w:t>
            </w:r>
          </w:p>
        </w:tc>
        <w:tc>
          <w:tcPr>
            <w:tcW w:w="760" w:type="dxa"/>
            <w:vAlign w:val="bottom"/>
          </w:tcPr>
          <w:p>
            <w:pPr>
              <w:jc w:val="right"/>
              <w:spacing w:after="0"/>
              <w:rPr>
                <w:sz w:val="20"/>
                <w:szCs w:val="20"/>
                <w:color w:val="auto"/>
              </w:rPr>
            </w:pPr>
            <w:r>
              <w:rPr>
                <w:rFonts w:ascii="Arial" w:cs="Arial" w:eastAsia="Arial" w:hAnsi="Arial"/>
                <w:sz w:val="18"/>
                <w:szCs w:val="18"/>
                <w:color w:val="0000FF"/>
              </w:rPr>
              <w:t>233,664</w:t>
            </w:r>
          </w:p>
        </w:tc>
        <w:tc>
          <w:tcPr>
            <w:tcW w:w="500" w:type="dxa"/>
            <w:vAlign w:val="bottom"/>
          </w:tcPr>
          <w:p>
            <w:pPr>
              <w:ind w:left="280"/>
              <w:spacing w:after="0"/>
              <w:rPr>
                <w:sz w:val="20"/>
                <w:szCs w:val="20"/>
                <w:color w:val="auto"/>
              </w:rPr>
            </w:pPr>
            <w:r>
              <w:rPr>
                <w:rFonts w:ascii="Arial" w:cs="Arial" w:eastAsia="Arial" w:hAnsi="Arial"/>
                <w:sz w:val="18"/>
                <w:szCs w:val="18"/>
                <w:color w:val="0000FF"/>
              </w:rPr>
              <w:t>A</w:t>
            </w:r>
          </w:p>
        </w:tc>
        <w:tc>
          <w:tcPr>
            <w:tcW w:w="640" w:type="dxa"/>
            <w:vAlign w:val="bottom"/>
            <w:gridSpan w:val="2"/>
          </w:tcPr>
          <w:p>
            <w:pPr>
              <w:jc w:val="center"/>
              <w:ind w:left="148"/>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9"/>
              </w:rPr>
              <w:t>233,664</w:t>
            </w:r>
          </w:p>
        </w:tc>
        <w:tc>
          <w:tcPr>
            <w:tcW w:w="30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Revocable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600" w:type="dxa"/>
            <w:vAlign w:val="bottom"/>
            <w:gridSpan w:val="2"/>
          </w:tcPr>
          <w:p>
            <w:pPr>
              <w:jc w:val="center"/>
              <w:ind w:left="448"/>
              <w:spacing w:after="0"/>
              <w:rPr>
                <w:sz w:val="20"/>
                <w:szCs w:val="20"/>
                <w:color w:val="auto"/>
              </w:rPr>
            </w:pPr>
            <w:r>
              <w:rPr>
                <w:rFonts w:ascii="Arial" w:cs="Arial" w:eastAsia="Arial" w:hAnsi="Arial"/>
                <w:sz w:val="18"/>
                <w:szCs w:val="18"/>
                <w:color w:val="0000FF"/>
                <w:w w:val="88"/>
              </w:rPr>
              <w:t>11/30/2017</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jc w:val="center"/>
              <w:spacing w:after="0" w:line="216" w:lineRule="exact"/>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(4)</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0000FF"/>
              </w:rPr>
              <w:t>233,664</w:t>
            </w:r>
          </w:p>
        </w:tc>
        <w:tc>
          <w:tcPr>
            <w:tcW w:w="500" w:type="dxa"/>
            <w:vAlign w:val="bottom"/>
          </w:tcPr>
          <w:p>
            <w:pPr>
              <w:ind w:left="280"/>
              <w:spacing w:after="0"/>
              <w:rPr>
                <w:sz w:val="20"/>
                <w:szCs w:val="20"/>
                <w:color w:val="auto"/>
              </w:rPr>
            </w:pPr>
            <w:r>
              <w:rPr>
                <w:rFonts w:ascii="Arial" w:cs="Arial" w:eastAsia="Arial" w:hAnsi="Arial"/>
                <w:sz w:val="18"/>
                <w:szCs w:val="18"/>
                <w:color w:val="0000FF"/>
              </w:rPr>
              <w:t>D</w:t>
            </w:r>
          </w:p>
        </w:tc>
        <w:tc>
          <w:tcPr>
            <w:tcW w:w="760" w:type="dxa"/>
            <w:vAlign w:val="bottom"/>
            <w:gridSpan w:val="3"/>
          </w:tcPr>
          <w:p>
            <w:pPr>
              <w:jc w:val="center"/>
              <w:ind w:left="28"/>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28.21</w:t>
            </w:r>
          </w:p>
        </w:tc>
        <w:tc>
          <w:tcPr>
            <w:tcW w:w="480" w:type="dxa"/>
            <w:vAlign w:val="bottom"/>
          </w:tcPr>
          <w:p>
            <w:pPr>
              <w:spacing w:after="0"/>
              <w:rPr>
                <w:sz w:val="18"/>
                <w:szCs w:val="18"/>
                <w:color w:val="auto"/>
              </w:rPr>
            </w:pPr>
          </w:p>
        </w:tc>
        <w:tc>
          <w:tcPr>
            <w:tcW w:w="740" w:type="dxa"/>
            <w:vAlign w:val="bottom"/>
          </w:tcPr>
          <w:p>
            <w:pPr>
              <w:jc w:val="center"/>
              <w:ind w:right="437"/>
              <w:spacing w:after="0"/>
              <w:rPr>
                <w:sz w:val="20"/>
                <w:szCs w:val="20"/>
                <w:color w:val="auto"/>
              </w:rPr>
            </w:pPr>
            <w:r>
              <w:rPr>
                <w:rFonts w:ascii="Arial" w:cs="Arial" w:eastAsia="Arial" w:hAnsi="Arial"/>
                <w:sz w:val="18"/>
                <w:szCs w:val="18"/>
                <w:color w:val="0000FF"/>
                <w:w w:val="79"/>
              </w:rPr>
              <w:t>0</w:t>
            </w:r>
          </w:p>
        </w:tc>
        <w:tc>
          <w:tcPr>
            <w:tcW w:w="30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Revocable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600" w:type="dxa"/>
            <w:vAlign w:val="bottom"/>
            <w:gridSpan w:val="2"/>
          </w:tcPr>
          <w:p>
            <w:pPr>
              <w:jc w:val="center"/>
              <w:ind w:left="448"/>
              <w:spacing w:after="0"/>
              <w:rPr>
                <w:sz w:val="20"/>
                <w:szCs w:val="20"/>
                <w:color w:val="auto"/>
              </w:rPr>
            </w:pPr>
            <w:r>
              <w:rPr>
                <w:rFonts w:ascii="Arial" w:cs="Arial" w:eastAsia="Arial" w:hAnsi="Arial"/>
                <w:sz w:val="18"/>
                <w:szCs w:val="18"/>
                <w:color w:val="0000FF"/>
                <w:w w:val="88"/>
              </w:rPr>
              <w:t>11/30/2017</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jc w:val="center"/>
              <w:spacing w:after="0" w:line="216" w:lineRule="exact"/>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(4)</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0000FF"/>
              </w:rPr>
              <w:t>233,664</w:t>
            </w:r>
          </w:p>
        </w:tc>
        <w:tc>
          <w:tcPr>
            <w:tcW w:w="500" w:type="dxa"/>
            <w:vAlign w:val="bottom"/>
          </w:tcPr>
          <w:p>
            <w:pPr>
              <w:ind w:left="280"/>
              <w:spacing w:after="0"/>
              <w:rPr>
                <w:sz w:val="20"/>
                <w:szCs w:val="20"/>
                <w:color w:val="auto"/>
              </w:rPr>
            </w:pPr>
            <w:r>
              <w:rPr>
                <w:rFonts w:ascii="Arial" w:cs="Arial" w:eastAsia="Arial" w:hAnsi="Arial"/>
                <w:sz w:val="18"/>
                <w:szCs w:val="18"/>
                <w:color w:val="0000FF"/>
              </w:rPr>
              <w:t>A</w:t>
            </w:r>
          </w:p>
        </w:tc>
        <w:tc>
          <w:tcPr>
            <w:tcW w:w="760" w:type="dxa"/>
            <w:vAlign w:val="bottom"/>
            <w:gridSpan w:val="3"/>
          </w:tcPr>
          <w:p>
            <w:pPr>
              <w:jc w:val="center"/>
              <w:ind w:left="28"/>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28.21</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9"/>
              </w:rPr>
              <w:t>233,664</w:t>
            </w:r>
          </w:p>
        </w:tc>
        <w:tc>
          <w:tcPr>
            <w:tcW w:w="30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w w:val="98"/>
              </w:rPr>
              <w:t>Irrevocable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1220" w:type="dxa"/>
            <w:vAlign w:val="bottom"/>
            <w:tcBorders>
              <w:top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11,749</w:t>
            </w:r>
          </w:p>
        </w:tc>
        <w:tc>
          <w:tcPr>
            <w:tcW w:w="30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8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457"/>
              <w:spacing w:after="0" w:line="324" w:lineRule="exact"/>
              <w:rPr>
                <w:sz w:val="20"/>
                <w:szCs w:val="20"/>
                <w:color w:val="auto"/>
              </w:rPr>
            </w:pPr>
            <w:r>
              <w:rPr>
                <w:rFonts w:ascii="Arial" w:cs="Arial" w:eastAsia="Arial" w:hAnsi="Arial"/>
                <w:sz w:val="35"/>
                <w:szCs w:val="35"/>
                <w:color w:val="0000FF"/>
                <w:w w:val="83"/>
                <w:vertAlign w:val="subscript"/>
              </w:rPr>
              <w:t>0</w:t>
            </w:r>
            <w:r>
              <w:rPr>
                <w:rFonts w:ascii="Arial" w:cs="Arial" w:eastAsia="Arial" w:hAnsi="Arial"/>
                <w:sz w:val="11"/>
                <w:szCs w:val="11"/>
                <w:color w:val="008000"/>
                <w:w w:val="83"/>
              </w:rPr>
              <w:t>(1)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I</w:t>
            </w:r>
          </w:p>
        </w:tc>
        <w:tc>
          <w:tcPr>
            <w:tcW w:w="9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By GRAT</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14"/>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jc w:val="center"/>
              <w:ind w:left="4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transfers of shares between the Paul Stebbins Revocable Trust and the reporting person's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are held by the Paul Stebbins Revocable Trust, of which the reporting person is the trustee.</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are held by the Dianne Stebbins Revocable Trust, of which Dianne Stebbins, spouse of the reporting person, is the trustee. The reporting person is an indirect beneficial owner of shares held in the Dianne Stebbins Revocable Trust. The reporting person disclaims beneficial ownership of any shares in which he does not have a pecuniary interest.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were transferred from the Dianne Stebbins Revocable Trust to the Stebbins Children's Trust in exchange for a promissory note to the Dianne Stebbins Revocable Trust.</w:t>
      </w:r>
    </w:p>
    <w:p>
      <w:pPr>
        <w:spacing w:after="0" w:line="4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are held by the Stebbins Children's Trust, of which the reporting person is the trustee, for the benefit of the reporting person's children. The reporting person is an indirect beneficial owner of shares held in the Stebbins Children's Trust. The reporting person disclaims beneficial ownership of any shares in which he does not have a pecuniary interest.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12/04/2017</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6725"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2019-12-24T03:40:39Z</dcterms:created>
  <dcterms:modified xsi:type="dcterms:W3CDTF">2019-12-24T03:40:39Z</dcterms:modified>
</cp:coreProperties>
</file>