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610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610225"/>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Smith Jeffrey Paul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260"/>
        <w:spacing w:after="0" w:line="360" w:lineRule="auto"/>
        <w:rPr>
          <w:sz w:val="20"/>
          <w:szCs w:val="20"/>
          <w:color w:val="auto"/>
        </w:rPr>
      </w:pPr>
      <w:r>
        <w:rPr>
          <w:rFonts w:ascii="Arial" w:cs="Arial" w:eastAsia="Arial" w:hAnsi="Arial"/>
          <w:sz w:val="16"/>
          <w:szCs w:val="16"/>
          <w:color w:val="0000FF"/>
        </w:rPr>
        <w:t>C/O WORLD FUEL SERVICES CORPORATION 9800 N.W. 41ST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00" w:type="dxa"/>
            <w:vAlign w:val="bottom"/>
          </w:tcPr>
          <w:p>
            <w:pPr>
              <w:ind w:left="420"/>
              <w:spacing w:after="0"/>
              <w:rPr>
                <w:sz w:val="20"/>
                <w:szCs w:val="20"/>
                <w:color w:val="auto"/>
              </w:rPr>
            </w:pPr>
            <w:r>
              <w:rPr>
                <w:rFonts w:ascii="Arial" w:cs="Arial" w:eastAsia="Arial" w:hAnsi="Arial"/>
                <w:sz w:val="16"/>
                <w:szCs w:val="16"/>
                <w:color w:val="0000FF"/>
              </w:rPr>
              <w:t>33178</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WORLD FUEL SERVICES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INT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6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6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80" w:type="dxa"/>
            <w:vAlign w:val="bottom"/>
            <w:vMerge w:val="restart"/>
          </w:tcPr>
          <w:p>
            <w:pPr>
              <w:ind w:left="120"/>
              <w:spacing w:after="0" w:line="126"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ind w:left="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vMerge w:val="restart"/>
          </w:tcPr>
          <w:p>
            <w:pPr>
              <w:ind w:left="680"/>
              <w:spacing w:after="0"/>
              <w:rPr>
                <w:sz w:val="20"/>
                <w:szCs w:val="20"/>
                <w:color w:val="auto"/>
              </w:rPr>
            </w:pPr>
            <w:r>
              <w:rPr>
                <w:rFonts w:ascii="Arial" w:cs="Arial" w:eastAsia="Arial" w:hAnsi="Arial"/>
                <w:sz w:val="16"/>
                <w:szCs w:val="16"/>
                <w:color w:val="0000FF"/>
                <w:w w:val="94"/>
              </w:rPr>
              <w:t>EVP and COO</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03/15/2021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gridSpan w:val="2"/>
          </w:tcPr>
          <w:p>
            <w:pPr>
              <w:jc w:val="center"/>
              <w:ind w:left="531"/>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91"/>
              </w:rPr>
              <w:t>A</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0000FF"/>
                <w:w w:val="84"/>
              </w:rPr>
              <w:t>27,975</w:t>
            </w:r>
            <w:r>
              <w:rPr>
                <w:rFonts w:ascii="Arial" w:cs="Arial" w:eastAsia="Arial" w:hAnsi="Arial"/>
                <w:sz w:val="21"/>
                <w:szCs w:val="21"/>
                <w:color w:val="008000"/>
                <w:w w:val="84"/>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129,870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0000FF"/>
                <w:w w:val="84"/>
              </w:rPr>
              <w:t>11,009</w:t>
            </w:r>
            <w:r>
              <w:rPr>
                <w:rFonts w:ascii="Arial" w:cs="Arial" w:eastAsia="Arial" w:hAnsi="Arial"/>
                <w:sz w:val="21"/>
                <w:szCs w:val="21"/>
                <w:color w:val="008000"/>
                <w:w w:val="84"/>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118,861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0000FF"/>
                <w:w w:val="83"/>
              </w:rPr>
              <w:t>4,167</w:t>
            </w:r>
            <w:r>
              <w:rPr>
                <w:rFonts w:ascii="Arial" w:cs="Arial" w:eastAsia="Arial" w:hAnsi="Arial"/>
                <w:sz w:val="21"/>
                <w:szCs w:val="21"/>
                <w:color w:val="008000"/>
                <w:w w:val="83"/>
                <w:vertAlign w:val="superscript"/>
              </w:rPr>
              <w:t>(4)</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114,694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0000FF"/>
                <w:w w:val="83"/>
              </w:rPr>
              <w:t>3,073</w:t>
            </w:r>
            <w:r>
              <w:rPr>
                <w:rFonts w:ascii="Arial" w:cs="Arial" w:eastAsia="Arial" w:hAnsi="Arial"/>
                <w:sz w:val="21"/>
                <w:szCs w:val="21"/>
                <w:color w:val="008000"/>
                <w:w w:val="83"/>
                <w:vertAlign w:val="superscript"/>
              </w:rPr>
              <w:t>(5)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111,621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91"/>
              </w:rPr>
              <w:t>A</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0000FF"/>
                <w:w w:val="83"/>
              </w:rPr>
              <w:t>3,358</w:t>
            </w:r>
            <w:r>
              <w:rPr>
                <w:rFonts w:ascii="Arial" w:cs="Arial" w:eastAsia="Arial" w:hAnsi="Arial"/>
                <w:sz w:val="21"/>
                <w:szCs w:val="21"/>
                <w:color w:val="008000"/>
                <w:w w:val="83"/>
                <w:vertAlign w:val="superscript"/>
              </w:rPr>
              <w:t>(6)</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114,979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gridSpan w:val="11"/>
          </w:tcPr>
          <w:p>
            <w:pPr>
              <w:jc w:val="center"/>
              <w:ind w:left="35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Settled</w:t>
            </w:r>
          </w:p>
        </w:tc>
        <w:tc>
          <w:tcPr>
            <w:tcW w:w="76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27.52</w:t>
            </w:r>
            <w:r>
              <w:rPr>
                <w:rFonts w:ascii="Arial" w:cs="Arial" w:eastAsia="Arial" w:hAnsi="Arial"/>
                <w:sz w:val="21"/>
                <w:szCs w:val="21"/>
                <w:color w:val="008000"/>
                <w:vertAlign w:val="superscript"/>
              </w:rPr>
              <w:t>(7)</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w w:val="93"/>
              </w:rPr>
              <w:t>46,642</w:t>
            </w:r>
            <w:r>
              <w:rPr>
                <w:rFonts w:ascii="Arial" w:cs="Arial" w:eastAsia="Arial" w:hAnsi="Arial"/>
                <w:sz w:val="21"/>
                <w:szCs w:val="21"/>
                <w:color w:val="008000"/>
                <w:w w:val="93"/>
                <w:vertAlign w:val="superscript"/>
              </w:rPr>
              <w:t>(8)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20" w:type="dxa"/>
            <w:vAlign w:val="bottom"/>
          </w:tcPr>
          <w:p>
            <w:pPr>
              <w:jc w:val="right"/>
              <w:ind w:right="142"/>
              <w:spacing w:after="0" w:line="123"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3"/>
                <w:szCs w:val="13"/>
                <w:color w:val="0000FF"/>
              </w:rPr>
              <w:t>46,642</w:t>
            </w:r>
          </w:p>
        </w:tc>
        <w:tc>
          <w:tcPr>
            <w:tcW w:w="28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03/15/2021</w:t>
            </w:r>
          </w:p>
        </w:tc>
        <w:tc>
          <w:tcPr>
            <w:tcW w:w="720" w:type="dxa"/>
            <w:vAlign w:val="bottom"/>
          </w:tcPr>
          <w:p>
            <w:pPr>
              <w:ind w:left="20"/>
              <w:spacing w:after="0" w:line="123" w:lineRule="exact"/>
              <w:rPr>
                <w:sz w:val="20"/>
                <w:szCs w:val="20"/>
                <w:color w:val="auto"/>
              </w:rPr>
            </w:pPr>
            <w:r>
              <w:rPr>
                <w:rFonts w:ascii="Arial" w:cs="Arial" w:eastAsia="Arial" w:hAnsi="Arial"/>
                <w:sz w:val="13"/>
                <w:szCs w:val="13"/>
                <w:color w:val="0000FF"/>
              </w:rPr>
              <w:t>03/15/2023</w:t>
            </w: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40"/>
              <w:spacing w:after="0" w:line="123" w:lineRule="exact"/>
              <w:rPr>
                <w:sz w:val="20"/>
                <w:szCs w:val="20"/>
                <w:color w:val="auto"/>
              </w:rPr>
            </w:pPr>
            <w:r>
              <w:rPr>
                <w:rFonts w:ascii="Arial" w:cs="Arial" w:eastAsia="Arial" w:hAnsi="Arial"/>
                <w:sz w:val="13"/>
                <w:szCs w:val="13"/>
                <w:color w:val="0000FF"/>
              </w:rPr>
              <w:t>46,642</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6"/>
              </w:rPr>
              <w:t>Appreciation</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ind w:left="100"/>
              <w:spacing w:after="0" w:line="139"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an award of shares of common stock earned by the reporting person based on the level of performance criteria satisfied under certain performance-based restricted stock units ("PRSUs").</w:t>
      </w:r>
    </w:p>
    <w:p>
      <w:pPr>
        <w:spacing w:after="0" w:line="51" w:lineRule="exact"/>
        <w:rPr>
          <w:rFonts w:ascii="Arial" w:cs="Arial" w:eastAsia="Arial" w:hAnsi="Arial"/>
          <w:sz w:val="12"/>
          <w:szCs w:val="12"/>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 withheld the reported shares to cover the reporting person's tax liability associated with the shares of common stock received in connection with the vesting of PRSUs.</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15, 2021.</w:t>
      </w:r>
    </w:p>
    <w:p>
      <w:pPr>
        <w:spacing w:after="0" w:line="39" w:lineRule="exact"/>
        <w:rPr>
          <w:rFonts w:ascii="Arial" w:cs="Arial" w:eastAsia="Arial" w:hAnsi="Arial"/>
          <w:sz w:val="13"/>
          <w:szCs w:val="13"/>
          <w:color w:val="008000"/>
        </w:rPr>
      </w:pPr>
    </w:p>
    <w:p>
      <w:pPr>
        <w:ind w:left="40" w:right="26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10,588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7,807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18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2020. These restricted stock units will vest in three equal annual installments beginning on March 15, 2022.</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March 15, 2018, with a premium of 15%.</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stock-settled stock appreciation rights ("SSARs") earned by the reporting person based on the level of performance criteria satisfied under certain performance-based SSARs.</w:t>
      </w:r>
    </w:p>
    <w:p>
      <w:pPr>
        <w:sectPr>
          <w:pgSz w:w="11900" w:h="16838" w:orient="portrait"/>
          <w:cols w:equalWidth="0" w:num="1">
            <w:col w:w="11080"/>
          </w:cols>
          <w:pgMar w:left="460" w:top="219"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25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271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0000FF"/>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00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2021-03-17T20:41:42Z</dcterms:created>
  <dcterms:modified xsi:type="dcterms:W3CDTF">2021-03-17T20:41:42Z</dcterms:modified>
</cp:coreProperties>
</file>