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2882265</wp:posOffset>
            </wp:positionH>
            <wp:positionV relativeFrom="paragraph">
              <wp:posOffset>120650</wp:posOffset>
            </wp:positionV>
            <wp:extent cx="149161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1615" cy="42545"/>
                    </a:xfrm>
                    <a:prstGeom prst="rect">
                      <a:avLst/>
                    </a:prstGeom>
                    <a:noFill/>
                  </pic:spPr>
                </pic:pic>
              </a:graphicData>
            </a:graphic>
          </wp:anchor>
        </w:drawing>
      </w:r>
    </w:p>
    <w:p>
      <w:pPr>
        <w:spacing w:after="0" w:line="39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2882265</wp:posOffset>
            </wp:positionH>
            <wp:positionV relativeFrom="paragraph">
              <wp:posOffset>148590</wp:posOffset>
            </wp:positionV>
            <wp:extent cx="149161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1615" cy="42545"/>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24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October 30,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2882265</wp:posOffset>
            </wp:positionH>
            <wp:positionV relativeFrom="paragraph">
              <wp:posOffset>142240</wp:posOffset>
            </wp:positionV>
            <wp:extent cx="149161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91615"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p>
      <w:pPr>
        <w:jc w:val="center"/>
        <w:ind w:right="-119"/>
        <w:spacing w:after="0"/>
        <w:rPr>
          <w:sz w:val="20"/>
          <w:szCs w:val="20"/>
          <w:color w:val="auto"/>
        </w:rPr>
      </w:pPr>
      <w:r>
        <w:rPr>
          <w:rFonts w:ascii="Arial" w:cs="Arial" w:eastAsia="Arial" w:hAnsi="Arial"/>
          <w:sz w:val="36"/>
          <w:szCs w:val="36"/>
          <w:b w:val="1"/>
          <w:bCs w:val="1"/>
          <w:color w:val="auto"/>
        </w:rPr>
        <w:t>WORLD FUEL SERVICES CORPORATION</w:t>
      </w:r>
    </w:p>
    <w:p>
      <w:pPr>
        <w:spacing w:after="0" w:line="45" w:lineRule="exact"/>
        <w:rPr>
          <w:sz w:val="24"/>
          <w:szCs w:val="24"/>
          <w:color w:val="auto"/>
        </w:rPr>
      </w:pPr>
    </w:p>
    <w:tbl>
      <w:tblPr>
        <w:tblLayout w:type="fixed"/>
        <w:tblInd w:w="760" w:type="dxa"/>
        <w:tblCellMar>
          <w:top w:w="0" w:type="dxa"/>
          <w:left w:w="0" w:type="dxa"/>
          <w:bottom w:w="0" w:type="dxa"/>
          <w:right w:w="0" w:type="dxa"/>
        </w:tblCellMar>
      </w:tblPr>
      <w:tr>
        <w:trPr>
          <w:trHeight w:val="230"/>
        </w:trPr>
        <w:tc>
          <w:tcPr>
            <w:tcW w:w="7100" w:type="dxa"/>
            <w:vAlign w:val="bottom"/>
            <w:gridSpan w:val="3"/>
          </w:tcPr>
          <w:p>
            <w:pPr>
              <w:jc w:val="center"/>
              <w:ind w:left="2730"/>
              <w:spacing w:after="0"/>
              <w:rPr>
                <w:sz w:val="20"/>
                <w:szCs w:val="20"/>
                <w:color w:val="auto"/>
              </w:rPr>
            </w:pPr>
            <w:r>
              <w:rPr>
                <w:rFonts w:ascii="Arial" w:cs="Arial" w:eastAsia="Arial" w:hAnsi="Arial"/>
                <w:sz w:val="18"/>
                <w:szCs w:val="18"/>
                <w:color w:val="auto"/>
                <w:w w:val="90"/>
              </w:rPr>
              <w:t>(Exact name of registrant as specified in its charter)</w:t>
            </w:r>
          </w:p>
        </w:tc>
        <w:tc>
          <w:tcPr>
            <w:tcW w:w="2380" w:type="dxa"/>
            <w:vAlign w:val="bottom"/>
          </w:tcPr>
          <w:p>
            <w:pPr>
              <w:spacing w:after="0"/>
              <w:rPr>
                <w:sz w:val="20"/>
                <w:szCs w:val="20"/>
                <w:color w:val="auto"/>
              </w:rPr>
            </w:pPr>
          </w:p>
        </w:tc>
      </w:tr>
      <w:tr>
        <w:trPr>
          <w:trHeight w:val="207"/>
        </w:trPr>
        <w:tc>
          <w:tcPr>
            <w:tcW w:w="3800" w:type="dxa"/>
            <w:vAlign w:val="bottom"/>
          </w:tcPr>
          <w:p>
            <w:pPr>
              <w:spacing w:after="0"/>
              <w:rPr>
                <w:sz w:val="18"/>
                <w:szCs w:val="18"/>
                <w:color w:val="auto"/>
              </w:rPr>
            </w:pPr>
          </w:p>
        </w:tc>
        <w:tc>
          <w:tcPr>
            <w:tcW w:w="2300" w:type="dxa"/>
            <w:vAlign w:val="bottom"/>
            <w:tcBorders>
              <w:bottom w:val="single" w:sz="8" w:color="9A9A9A"/>
            </w:tcBorders>
          </w:tcPr>
          <w:p>
            <w:pPr>
              <w:spacing w:after="0"/>
              <w:rPr>
                <w:sz w:val="18"/>
                <w:szCs w:val="18"/>
                <w:color w:val="auto"/>
              </w:rPr>
            </w:pPr>
          </w:p>
        </w:tc>
        <w:tc>
          <w:tcPr>
            <w:tcW w:w="1000" w:type="dxa"/>
            <w:vAlign w:val="bottom"/>
          </w:tcPr>
          <w:p>
            <w:pPr>
              <w:spacing w:after="0"/>
              <w:rPr>
                <w:sz w:val="18"/>
                <w:szCs w:val="18"/>
                <w:color w:val="auto"/>
              </w:rPr>
            </w:pPr>
          </w:p>
        </w:tc>
        <w:tc>
          <w:tcPr>
            <w:tcW w:w="2380" w:type="dxa"/>
            <w:vAlign w:val="bottom"/>
          </w:tcPr>
          <w:p>
            <w:pPr>
              <w:spacing w:after="0"/>
              <w:rPr>
                <w:sz w:val="18"/>
                <w:szCs w:val="18"/>
                <w:color w:val="auto"/>
              </w:rPr>
            </w:pPr>
          </w:p>
        </w:tc>
      </w:tr>
      <w:tr>
        <w:trPr>
          <w:trHeight w:val="446"/>
        </w:trPr>
        <w:tc>
          <w:tcPr>
            <w:tcW w:w="3800" w:type="dxa"/>
            <w:vAlign w:val="bottom"/>
          </w:tcPr>
          <w:p>
            <w:pPr>
              <w:jc w:val="center"/>
              <w:ind w:right="1450"/>
              <w:spacing w:after="0"/>
              <w:rPr>
                <w:sz w:val="20"/>
                <w:szCs w:val="20"/>
                <w:color w:val="auto"/>
              </w:rPr>
            </w:pPr>
            <w:r>
              <w:rPr>
                <w:rFonts w:ascii="Arial" w:cs="Arial" w:eastAsia="Arial" w:hAnsi="Arial"/>
                <w:sz w:val="18"/>
                <w:szCs w:val="18"/>
                <w:b w:val="1"/>
                <w:bCs w:val="1"/>
                <w:color w:val="auto"/>
                <w:w w:val="96"/>
              </w:rPr>
              <w:t>Florida</w:t>
            </w:r>
          </w:p>
        </w:tc>
        <w:tc>
          <w:tcPr>
            <w:tcW w:w="2300" w:type="dxa"/>
            <w:vAlign w:val="bottom"/>
          </w:tcPr>
          <w:p>
            <w:pPr>
              <w:jc w:val="center"/>
              <w:spacing w:after="0"/>
              <w:rPr>
                <w:sz w:val="20"/>
                <w:szCs w:val="20"/>
                <w:color w:val="auto"/>
              </w:rPr>
            </w:pPr>
            <w:r>
              <w:rPr>
                <w:rFonts w:ascii="Arial" w:cs="Arial" w:eastAsia="Arial" w:hAnsi="Arial"/>
                <w:sz w:val="18"/>
                <w:szCs w:val="18"/>
                <w:b w:val="1"/>
                <w:bCs w:val="1"/>
                <w:color w:val="auto"/>
                <w:w w:val="92"/>
              </w:rPr>
              <w:t>1-9533</w:t>
            </w:r>
          </w:p>
        </w:tc>
        <w:tc>
          <w:tcPr>
            <w:tcW w:w="1000" w:type="dxa"/>
            <w:vAlign w:val="bottom"/>
          </w:tcPr>
          <w:p>
            <w:pPr>
              <w:spacing w:after="0"/>
              <w:rPr>
                <w:sz w:val="24"/>
                <w:szCs w:val="24"/>
                <w:color w:val="auto"/>
              </w:rPr>
            </w:pPr>
          </w:p>
        </w:tc>
        <w:tc>
          <w:tcPr>
            <w:tcW w:w="2380" w:type="dxa"/>
            <w:vAlign w:val="bottom"/>
          </w:tcPr>
          <w:p>
            <w:pPr>
              <w:jc w:val="center"/>
              <w:ind w:left="890"/>
              <w:spacing w:after="0"/>
              <w:rPr>
                <w:sz w:val="20"/>
                <w:szCs w:val="20"/>
                <w:color w:val="auto"/>
              </w:rPr>
            </w:pPr>
            <w:r>
              <w:rPr>
                <w:rFonts w:ascii="Arial" w:cs="Arial" w:eastAsia="Arial" w:hAnsi="Arial"/>
                <w:sz w:val="18"/>
                <w:szCs w:val="18"/>
                <w:b w:val="1"/>
                <w:bCs w:val="1"/>
                <w:color w:val="auto"/>
                <w:w w:val="91"/>
              </w:rPr>
              <w:t>59-2459427</w:t>
            </w:r>
          </w:p>
        </w:tc>
      </w:tr>
      <w:tr>
        <w:trPr>
          <w:trHeight w:val="225"/>
        </w:trPr>
        <w:tc>
          <w:tcPr>
            <w:tcW w:w="3800" w:type="dxa"/>
            <w:vAlign w:val="bottom"/>
          </w:tcPr>
          <w:p>
            <w:pPr>
              <w:jc w:val="center"/>
              <w:ind w:right="1450"/>
              <w:spacing w:after="0"/>
              <w:rPr>
                <w:sz w:val="20"/>
                <w:szCs w:val="20"/>
                <w:color w:val="auto"/>
              </w:rPr>
            </w:pPr>
            <w:r>
              <w:rPr>
                <w:rFonts w:ascii="Arial" w:cs="Arial" w:eastAsia="Arial" w:hAnsi="Arial"/>
                <w:sz w:val="18"/>
                <w:szCs w:val="18"/>
                <w:b w:val="1"/>
                <w:bCs w:val="1"/>
                <w:color w:val="auto"/>
                <w:w w:val="91"/>
              </w:rPr>
              <w:t>(State or other jurisdiction of</w:t>
            </w:r>
          </w:p>
        </w:tc>
        <w:tc>
          <w:tcPr>
            <w:tcW w:w="3300" w:type="dxa"/>
            <w:vAlign w:val="bottom"/>
            <w:gridSpan w:val="2"/>
          </w:tcPr>
          <w:p>
            <w:pPr>
              <w:jc w:val="center"/>
              <w:ind w:right="1000"/>
              <w:spacing w:after="0"/>
              <w:rPr>
                <w:sz w:val="20"/>
                <w:szCs w:val="20"/>
                <w:color w:val="auto"/>
              </w:rPr>
            </w:pPr>
            <w:r>
              <w:rPr>
                <w:rFonts w:ascii="Arial" w:cs="Arial" w:eastAsia="Arial" w:hAnsi="Arial"/>
                <w:sz w:val="18"/>
                <w:szCs w:val="18"/>
                <w:b w:val="1"/>
                <w:bCs w:val="1"/>
                <w:color w:val="auto"/>
                <w:w w:val="91"/>
              </w:rPr>
              <w:t>(Commission File Number)</w:t>
            </w:r>
          </w:p>
        </w:tc>
        <w:tc>
          <w:tcPr>
            <w:tcW w:w="2380" w:type="dxa"/>
            <w:vAlign w:val="bottom"/>
          </w:tcPr>
          <w:p>
            <w:pPr>
              <w:jc w:val="center"/>
              <w:ind w:left="87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3800" w:type="dxa"/>
            <w:vAlign w:val="bottom"/>
          </w:tcPr>
          <w:p>
            <w:pPr>
              <w:jc w:val="center"/>
              <w:ind w:right="1470"/>
              <w:spacing w:after="0"/>
              <w:rPr>
                <w:sz w:val="20"/>
                <w:szCs w:val="20"/>
                <w:color w:val="auto"/>
              </w:rPr>
            </w:pPr>
            <w:r>
              <w:rPr>
                <w:rFonts w:ascii="Arial" w:cs="Arial" w:eastAsia="Arial" w:hAnsi="Arial"/>
                <w:sz w:val="18"/>
                <w:szCs w:val="18"/>
                <w:b w:val="1"/>
                <w:bCs w:val="1"/>
                <w:color w:val="auto"/>
                <w:w w:val="91"/>
              </w:rPr>
              <w:t>incorporation)</w:t>
            </w:r>
          </w:p>
        </w:tc>
        <w:tc>
          <w:tcPr>
            <w:tcW w:w="2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380" w:type="dxa"/>
            <w:vAlign w:val="bottom"/>
          </w:tcPr>
          <w:p>
            <w:pPr>
              <w:jc w:val="center"/>
              <w:ind w:left="890"/>
              <w:spacing w:after="0"/>
              <w:rPr>
                <w:sz w:val="20"/>
                <w:szCs w:val="20"/>
                <w:color w:val="auto"/>
              </w:rPr>
            </w:pPr>
            <w:r>
              <w:rPr>
                <w:rFonts w:ascii="Arial" w:cs="Arial" w:eastAsia="Arial" w:hAnsi="Arial"/>
                <w:sz w:val="18"/>
                <w:szCs w:val="18"/>
                <w:b w:val="1"/>
                <w:bCs w:val="1"/>
                <w:color w:val="auto"/>
                <w:w w:val="92"/>
              </w:rPr>
              <w:t>Identification No.)</w:t>
            </w:r>
          </w:p>
        </w:tc>
      </w:tr>
      <w:tr>
        <w:trPr>
          <w:trHeight w:val="941"/>
        </w:trPr>
        <w:tc>
          <w:tcPr>
            <w:tcW w:w="3800" w:type="dxa"/>
            <w:vAlign w:val="bottom"/>
          </w:tcPr>
          <w:p>
            <w:pPr>
              <w:jc w:val="center"/>
              <w:ind w:left="290"/>
              <w:spacing w:after="0"/>
              <w:rPr>
                <w:sz w:val="20"/>
                <w:szCs w:val="20"/>
                <w:color w:val="auto"/>
              </w:rPr>
            </w:pPr>
            <w:r>
              <w:rPr>
                <w:rFonts w:ascii="Arial" w:cs="Arial" w:eastAsia="Arial" w:hAnsi="Arial"/>
                <w:sz w:val="18"/>
                <w:szCs w:val="18"/>
                <w:b w:val="1"/>
                <w:bCs w:val="1"/>
                <w:color w:val="auto"/>
                <w:w w:val="88"/>
              </w:rPr>
              <w:t>9800 N.W. 41</w:t>
            </w:r>
            <w:r>
              <w:rPr>
                <w:rFonts w:ascii="Arial" w:cs="Arial" w:eastAsia="Arial" w:hAnsi="Arial"/>
                <w:sz w:val="30"/>
                <w:szCs w:val="30"/>
                <w:b w:val="1"/>
                <w:bCs w:val="1"/>
                <w:color w:val="auto"/>
                <w:w w:val="88"/>
                <w:vertAlign w:val="superscript"/>
              </w:rPr>
              <w:t>st</w:t>
            </w:r>
            <w:r>
              <w:rPr>
                <w:rFonts w:ascii="Arial" w:cs="Arial" w:eastAsia="Arial" w:hAnsi="Arial"/>
                <w:sz w:val="18"/>
                <w:szCs w:val="18"/>
                <w:b w:val="1"/>
                <w:bCs w:val="1"/>
                <w:color w:val="auto"/>
                <w:w w:val="88"/>
              </w:rPr>
              <w:t xml:space="preserve"> Street, Suite 400</w:t>
            </w:r>
          </w:p>
        </w:tc>
        <w:tc>
          <w:tcPr>
            <w:tcW w:w="2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234"/>
        </w:trPr>
        <w:tc>
          <w:tcPr>
            <w:tcW w:w="3800" w:type="dxa"/>
            <w:vAlign w:val="bottom"/>
          </w:tcPr>
          <w:p>
            <w:pPr>
              <w:jc w:val="center"/>
              <w:ind w:left="310"/>
              <w:spacing w:after="0"/>
              <w:rPr>
                <w:sz w:val="20"/>
                <w:szCs w:val="20"/>
                <w:color w:val="auto"/>
              </w:rPr>
            </w:pPr>
            <w:r>
              <w:rPr>
                <w:rFonts w:ascii="Arial" w:cs="Arial" w:eastAsia="Arial" w:hAnsi="Arial"/>
                <w:sz w:val="18"/>
                <w:szCs w:val="18"/>
                <w:b w:val="1"/>
                <w:bCs w:val="1"/>
                <w:color w:val="auto"/>
                <w:w w:val="95"/>
              </w:rPr>
              <w:t>Miami, Florida</w:t>
            </w:r>
          </w:p>
        </w:tc>
        <w:tc>
          <w:tcPr>
            <w:tcW w:w="2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380" w:type="dxa"/>
            <w:vAlign w:val="bottom"/>
          </w:tcPr>
          <w:p>
            <w:pPr>
              <w:jc w:val="right"/>
              <w:ind w:right="1350"/>
              <w:spacing w:after="0"/>
              <w:rPr>
                <w:sz w:val="20"/>
                <w:szCs w:val="20"/>
                <w:color w:val="auto"/>
              </w:rPr>
            </w:pPr>
            <w:r>
              <w:rPr>
                <w:rFonts w:ascii="Arial" w:cs="Arial" w:eastAsia="Arial" w:hAnsi="Arial"/>
                <w:sz w:val="18"/>
                <w:szCs w:val="18"/>
                <w:b w:val="1"/>
                <w:bCs w:val="1"/>
                <w:color w:val="auto"/>
              </w:rPr>
              <w:t>33178</w:t>
            </w:r>
          </w:p>
        </w:tc>
      </w:tr>
      <w:tr>
        <w:trPr>
          <w:trHeight w:val="243"/>
        </w:trPr>
        <w:tc>
          <w:tcPr>
            <w:tcW w:w="3800" w:type="dxa"/>
            <w:vAlign w:val="bottom"/>
          </w:tcPr>
          <w:p>
            <w:pPr>
              <w:jc w:val="center"/>
              <w:ind w:left="29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2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380" w:type="dxa"/>
            <w:vAlign w:val="bottom"/>
          </w:tcPr>
          <w:p>
            <w:pPr>
              <w:jc w:val="center"/>
              <w:ind w:right="890"/>
              <w:spacing w:after="0"/>
              <w:rPr>
                <w:sz w:val="20"/>
                <w:szCs w:val="20"/>
                <w:color w:val="auto"/>
              </w:rPr>
            </w:pPr>
            <w:r>
              <w:rPr>
                <w:rFonts w:ascii="Arial" w:cs="Arial" w:eastAsia="Arial" w:hAnsi="Arial"/>
                <w:sz w:val="18"/>
                <w:szCs w:val="18"/>
                <w:b w:val="1"/>
                <w:bCs w:val="1"/>
                <w:color w:val="auto"/>
                <w:w w:val="94"/>
              </w:rPr>
              <w:t>(Zip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4340225</wp:posOffset>
            </wp:positionH>
            <wp:positionV relativeFrom="paragraph">
              <wp:posOffset>-1504315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2882265</wp:posOffset>
            </wp:positionH>
            <wp:positionV relativeFrom="paragraph">
              <wp:posOffset>-1504315</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(305) 428-8000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2882265</wp:posOffset>
            </wp:positionH>
            <wp:positionV relativeFrom="paragraph">
              <wp:posOffset>142240</wp:posOffset>
            </wp:positionV>
            <wp:extent cx="149161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91615" cy="4254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30" w:lineRule="exact"/>
        <w:rPr>
          <w:sz w:val="24"/>
          <w:szCs w:val="24"/>
          <w:color w:val="auto"/>
        </w:rPr>
      </w:pPr>
    </w:p>
    <w:p>
      <w:pPr>
        <w:ind w:left="160"/>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198" w:lineRule="exact"/>
        <w:rPr>
          <w:sz w:val="24"/>
          <w:szCs w:val="24"/>
          <w:color w:val="auto"/>
        </w:rPr>
      </w:pPr>
    </w:p>
    <w:p>
      <w:pPr>
        <w:ind w:left="160"/>
        <w:spacing w:after="0"/>
        <w:rPr>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185" w:lineRule="exact"/>
        <w:rPr>
          <w:sz w:val="24"/>
          <w:szCs w:val="24"/>
          <w:color w:val="auto"/>
        </w:rPr>
      </w:pPr>
    </w:p>
    <w:p>
      <w:pPr>
        <w:ind w:left="16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185" w:lineRule="exact"/>
        <w:rPr>
          <w:sz w:val="24"/>
          <w:szCs w:val="24"/>
          <w:color w:val="auto"/>
        </w:rPr>
      </w:pPr>
    </w:p>
    <w:p>
      <w:pPr>
        <w:ind w:left="16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323850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456565</wp:posOffset>
            </wp:positionV>
            <wp:extent cx="7272020" cy="596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00"/>
          </w:cols>
          <w:pgMar w:left="240" w:top="949" w:right="35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7.01. Regulation FD Disclosure</w:t>
      </w:r>
    </w:p>
    <w:p>
      <w:pPr>
        <w:spacing w:after="0" w:line="212" w:lineRule="exact"/>
        <w:rPr>
          <w:sz w:val="20"/>
          <w:szCs w:val="20"/>
          <w:color w:val="auto"/>
        </w:rPr>
      </w:pPr>
    </w:p>
    <w:p>
      <w:pPr>
        <w:jc w:val="both"/>
        <w:ind w:firstLine="308"/>
        <w:spacing w:after="0" w:line="251" w:lineRule="auto"/>
        <w:rPr>
          <w:sz w:val="20"/>
          <w:szCs w:val="20"/>
          <w:color w:val="auto"/>
        </w:rPr>
      </w:pPr>
      <w:r>
        <w:rPr>
          <w:rFonts w:ascii="Arial" w:cs="Arial" w:eastAsia="Arial" w:hAnsi="Arial"/>
          <w:sz w:val="22"/>
          <w:szCs w:val="22"/>
          <w:color w:val="auto"/>
        </w:rPr>
        <w:t>The following information is provided pursuant to Item 7.01 of Form 8-K, “Regulation FD Disclosure” and Item 2.02 of Form 8-K, “Results of Operations and Financial Condition.”</w:t>
      </w:r>
    </w:p>
    <w:p>
      <w:pPr>
        <w:spacing w:after="0" w:line="173" w:lineRule="exact"/>
        <w:rPr>
          <w:sz w:val="20"/>
          <w:szCs w:val="20"/>
          <w:color w:val="auto"/>
        </w:rPr>
      </w:pPr>
    </w:p>
    <w:p>
      <w:pPr>
        <w:jc w:val="both"/>
        <w:ind w:firstLine="304"/>
        <w:spacing w:after="0" w:line="251" w:lineRule="auto"/>
        <w:rPr>
          <w:sz w:val="20"/>
          <w:szCs w:val="20"/>
          <w:color w:val="auto"/>
        </w:rPr>
      </w:pPr>
      <w:r>
        <w:rPr>
          <w:rFonts w:ascii="Arial" w:cs="Arial" w:eastAsia="Arial" w:hAnsi="Arial"/>
          <w:sz w:val="22"/>
          <w:szCs w:val="22"/>
          <w:color w:val="auto"/>
        </w:rPr>
        <w:t>On October 30, 2013, World Fuel Services Corporation issued a press release reporting its financial results for the third quarter of 2013. A copy of the press release is attached hereto as Exhibit 99.1.</w:t>
      </w:r>
    </w:p>
    <w:p>
      <w:pPr>
        <w:spacing w:after="0" w:line="173" w:lineRule="exact"/>
        <w:rPr>
          <w:sz w:val="20"/>
          <w:szCs w:val="20"/>
          <w:color w:val="auto"/>
        </w:rPr>
      </w:pPr>
    </w:p>
    <w:p>
      <w:pPr>
        <w:jc w:val="both"/>
        <w:ind w:firstLine="343"/>
        <w:spacing w:after="0" w:line="297" w:lineRule="auto"/>
        <w:rPr>
          <w:sz w:val="20"/>
          <w:szCs w:val="20"/>
          <w:color w:val="auto"/>
        </w:rPr>
      </w:pPr>
      <w:r>
        <w:rPr>
          <w:rFonts w:ascii="Arial" w:cs="Arial" w:eastAsia="Arial" w:hAnsi="Arial"/>
          <w:sz w:val="19"/>
          <w:szCs w:val="19"/>
          <w:color w:val="auto"/>
        </w:rPr>
        <w:t>This information and the information contained in Exhibit 99.1 shall not be deemed “filed” for purposes of Section 18 of the Securities Exchange Act of 1934, as amended (the “Exchange Act”), or incorporated by reference in any filing under the Securities Act of 1933, as amended, or the Exchange Act, except as may be expressly set forth by specific reference in any such filing.</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40" w:type="dxa"/>
            <w:vAlign w:val="bottom"/>
          </w:tcPr>
          <w:p>
            <w:pPr>
              <w:ind w:left="480"/>
              <w:spacing w:after="0"/>
              <w:rPr>
                <w:sz w:val="20"/>
                <w:szCs w:val="20"/>
                <w:color w:val="auto"/>
              </w:rPr>
            </w:pPr>
            <w:r>
              <w:rPr>
                <w:rFonts w:ascii="Arial" w:cs="Arial" w:eastAsia="Arial" w:hAnsi="Arial"/>
                <w:sz w:val="18"/>
                <w:szCs w:val="18"/>
                <w:color w:val="auto"/>
              </w:rPr>
              <w:t>(d)</w:t>
            </w:r>
          </w:p>
        </w:tc>
        <w:tc>
          <w:tcPr>
            <w:tcW w:w="1600" w:type="dxa"/>
            <w:vAlign w:val="bottom"/>
            <w:gridSpan w:val="2"/>
          </w:tcPr>
          <w:p>
            <w:pPr>
              <w:spacing w:after="0"/>
              <w:rPr>
                <w:sz w:val="20"/>
                <w:szCs w:val="20"/>
                <w:color w:val="auto"/>
              </w:rPr>
            </w:pPr>
            <w:r>
              <w:rPr>
                <w:rFonts w:ascii="Arial" w:cs="Arial" w:eastAsia="Arial" w:hAnsi="Arial"/>
                <w:sz w:val="18"/>
                <w:szCs w:val="18"/>
                <w:color w:val="auto"/>
              </w:rPr>
              <w:t>Exhibits</w:t>
            </w:r>
          </w:p>
        </w:tc>
        <w:tc>
          <w:tcPr>
            <w:tcW w:w="900" w:type="dxa"/>
            <w:vAlign w:val="bottom"/>
          </w:tcPr>
          <w:p>
            <w:pPr>
              <w:spacing w:after="0"/>
              <w:rPr>
                <w:sz w:val="20"/>
                <w:szCs w:val="20"/>
                <w:color w:val="auto"/>
              </w:rPr>
            </w:pPr>
          </w:p>
        </w:tc>
        <w:tc>
          <w:tcPr>
            <w:tcW w:w="7880" w:type="dxa"/>
            <w:vAlign w:val="bottom"/>
          </w:tcPr>
          <w:p>
            <w:pPr>
              <w:spacing w:after="0"/>
              <w:rPr>
                <w:sz w:val="20"/>
                <w:szCs w:val="20"/>
                <w:color w:val="auto"/>
              </w:rPr>
            </w:pPr>
          </w:p>
        </w:tc>
      </w:tr>
      <w:tr>
        <w:trPr>
          <w:trHeight w:val="446"/>
        </w:trPr>
        <w:tc>
          <w:tcPr>
            <w:tcW w:w="1040" w:type="dxa"/>
            <w:vAlign w:val="bottom"/>
          </w:tcPr>
          <w:p>
            <w:pPr>
              <w:spacing w:after="0"/>
              <w:rPr>
                <w:sz w:val="24"/>
                <w:szCs w:val="24"/>
                <w:color w:val="auto"/>
              </w:rPr>
            </w:pPr>
          </w:p>
        </w:tc>
        <w:tc>
          <w:tcPr>
            <w:tcW w:w="160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878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10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r>
      <w:tr>
        <w:trPr>
          <w:trHeight w:val="264"/>
        </w:trPr>
        <w:tc>
          <w:tcPr>
            <w:tcW w:w="1040" w:type="dxa"/>
            <w:vAlign w:val="bottom"/>
          </w:tcPr>
          <w:p>
            <w:pPr>
              <w:spacing w:after="0"/>
              <w:rPr>
                <w:sz w:val="22"/>
                <w:szCs w:val="22"/>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99.1</w:t>
            </w:r>
          </w:p>
        </w:tc>
        <w:tc>
          <w:tcPr>
            <w:tcW w:w="720" w:type="dxa"/>
            <w:vAlign w:val="bottom"/>
          </w:tcPr>
          <w:p>
            <w:pPr>
              <w:spacing w:after="0"/>
              <w:rPr>
                <w:sz w:val="22"/>
                <w:szCs w:val="22"/>
                <w:color w:val="auto"/>
              </w:rPr>
            </w:pPr>
          </w:p>
        </w:tc>
        <w:tc>
          <w:tcPr>
            <w:tcW w:w="8780" w:type="dxa"/>
            <w:vAlign w:val="bottom"/>
            <w:gridSpan w:val="2"/>
          </w:tcPr>
          <w:p>
            <w:pPr>
              <w:spacing w:after="0"/>
              <w:rPr>
                <w:sz w:val="20"/>
                <w:szCs w:val="20"/>
                <w:color w:val="auto"/>
              </w:rPr>
            </w:pPr>
            <w:r>
              <w:rPr>
                <w:rFonts w:ascii="Arial" w:cs="Arial" w:eastAsia="Arial" w:hAnsi="Arial"/>
                <w:sz w:val="18"/>
                <w:szCs w:val="18"/>
                <w:color w:val="auto"/>
              </w:rPr>
              <w:t>Press Release, dated October 30, 2013.</w:t>
            </w:r>
          </w:p>
        </w:tc>
      </w:tr>
      <w:tr>
        <w:trPr>
          <w:trHeight w:val="149"/>
        </w:trPr>
        <w:tc>
          <w:tcPr>
            <w:tcW w:w="104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7880" w:type="dxa"/>
            <w:vAlign w:val="bottom"/>
            <w:tcBorders>
              <w:bottom w:val="single" w:sz="8" w:color="9A9A9A"/>
            </w:tcBorders>
          </w:tcPr>
          <w:p>
            <w:pPr>
              <w:spacing w:after="0"/>
              <w:rPr>
                <w:sz w:val="12"/>
                <w:szCs w:val="12"/>
                <w:color w:val="auto"/>
              </w:rPr>
            </w:pPr>
          </w:p>
        </w:tc>
      </w:tr>
      <w:tr>
        <w:trPr>
          <w:trHeight w:val="21"/>
        </w:trPr>
        <w:tc>
          <w:tcPr>
            <w:tcW w:w="1040" w:type="dxa"/>
            <w:vAlign w:val="bottom"/>
            <w:tcBorders>
              <w:bottom w:val="single" w:sz="8" w:color="EEEEEE"/>
            </w:tcBorders>
          </w:tcPr>
          <w:p>
            <w:pPr>
              <w:spacing w:after="0" w:line="20" w:lineRule="exact"/>
              <w:rPr>
                <w:sz w:val="1"/>
                <w:szCs w:val="1"/>
                <w:color w:val="auto"/>
              </w:rPr>
            </w:pPr>
          </w:p>
        </w:tc>
        <w:tc>
          <w:tcPr>
            <w:tcW w:w="880" w:type="dxa"/>
            <w:vAlign w:val="bottom"/>
            <w:tcBorders>
              <w:bottom w:val="single" w:sz="8" w:color="EEEEEE"/>
            </w:tcBorders>
          </w:tcPr>
          <w:p>
            <w:pPr>
              <w:spacing w:after="0" w:line="20" w:lineRule="exact"/>
              <w:rPr>
                <w:sz w:val="1"/>
                <w:szCs w:val="1"/>
                <w:color w:val="auto"/>
              </w:rPr>
            </w:pPr>
          </w:p>
        </w:tc>
        <w:tc>
          <w:tcPr>
            <w:tcW w:w="720" w:type="dxa"/>
            <w:vAlign w:val="bottom"/>
            <w:tcBorders>
              <w:bottom w:val="single" w:sz="8" w:color="EEEEEE"/>
            </w:tcBorders>
          </w:tcPr>
          <w:p>
            <w:pPr>
              <w:spacing w:after="0" w:line="20" w:lineRule="exact"/>
              <w:rPr>
                <w:sz w:val="1"/>
                <w:szCs w:val="1"/>
                <w:color w:val="auto"/>
              </w:rPr>
            </w:pPr>
          </w:p>
        </w:tc>
        <w:tc>
          <w:tcPr>
            <w:tcW w:w="900" w:type="dxa"/>
            <w:vAlign w:val="bottom"/>
            <w:tcBorders>
              <w:bottom w:val="single" w:sz="8" w:color="EEEEEE"/>
            </w:tcBorders>
          </w:tcPr>
          <w:p>
            <w:pPr>
              <w:spacing w:after="0" w:line="20" w:lineRule="exact"/>
              <w:rPr>
                <w:sz w:val="1"/>
                <w:szCs w:val="1"/>
                <w:color w:val="auto"/>
              </w:rPr>
            </w:pPr>
          </w:p>
        </w:tc>
        <w:tc>
          <w:tcPr>
            <w:tcW w:w="788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 w:name="page3"/>
    <w:bookmarkEnd w:id="2"/>
    <w:p>
      <w:pPr>
        <w:jc w:val="center"/>
        <w:ind w:right="-7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p>
      <w:pPr>
        <w:spacing w:after="0"/>
        <w:tabs>
          <w:tab w:leader="none" w:pos="560" w:val="left"/>
          <w:tab w:leader="none" w:pos="5700" w:val="left"/>
        </w:tabs>
        <w:rPr>
          <w:sz w:val="20"/>
          <w:szCs w:val="20"/>
          <w:color w:val="auto"/>
        </w:rPr>
      </w:pPr>
      <w:r>
        <w:rPr>
          <w:rFonts w:ascii="Arial" w:cs="Arial" w:eastAsia="Arial" w:hAnsi="Arial"/>
          <w:sz w:val="18"/>
          <w:szCs w:val="18"/>
          <w:color w:val="auto"/>
        </w:rPr>
        <w:t>Date:</w:t>
        <w:tab/>
        <w:t>October 30, 2013</w:t>
      </w:r>
      <w:r>
        <w:rPr>
          <w:sz w:val="20"/>
          <w:szCs w:val="20"/>
          <w:color w:val="auto"/>
        </w:rPr>
        <w:tab/>
      </w:r>
      <w:r>
        <w:rPr>
          <w:rFonts w:ascii="Arial" w:cs="Arial" w:eastAsia="Arial" w:hAnsi="Arial"/>
          <w:sz w:val="16"/>
          <w:szCs w:val="16"/>
          <w:b w:val="1"/>
          <w:bCs w:val="1"/>
          <w:color w:val="auto"/>
        </w:rPr>
        <w:t>World Fuel Services Corporation</w:t>
      </w:r>
    </w:p>
    <w:p>
      <w:pPr>
        <w:spacing w:after="0" w:line="28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Ira M. Birns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23495</wp:posOffset>
            </wp:positionV>
            <wp:extent cx="36188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Ira M. Birns</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Executive Vice President and Chief Financial</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272020" cy="596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0700"/>
          </w:cols>
          <w:pgMar w:left="240" w:top="121" w:right="959" w:bottom="1440" w:gutter="0" w:footer="0" w:header="0"/>
        </w:sectPr>
      </w:pPr>
    </w:p>
    <w:bookmarkStart w:id="3" w:name="page4"/>
    <w:bookmarkEnd w:id="3"/>
    <w:p>
      <w:pPr>
        <w:jc w:val="center"/>
        <w:spacing w:after="0"/>
        <w:rPr>
          <w:sz w:val="20"/>
          <w:szCs w:val="20"/>
          <w:color w:val="auto"/>
        </w:rPr>
      </w:pPr>
      <w:r>
        <w:rPr>
          <w:rFonts w:ascii="Arial" w:cs="Arial" w:eastAsia="Arial" w:hAnsi="Arial"/>
          <w:sz w:val="22"/>
          <w:szCs w:val="22"/>
          <w:color w:val="auto"/>
        </w:rPr>
        <w:t>EXHIBIT INDEX</w:t>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Exhibit</w:t>
            </w:r>
          </w:p>
        </w:tc>
        <w:tc>
          <w:tcPr>
            <w:tcW w:w="1160" w:type="dxa"/>
            <w:vAlign w:val="bottom"/>
          </w:tcPr>
          <w:p>
            <w:pPr>
              <w:spacing w:after="0"/>
              <w:rPr>
                <w:sz w:val="20"/>
                <w:szCs w:val="20"/>
                <w:color w:val="auto"/>
              </w:rPr>
            </w:pPr>
          </w:p>
        </w:tc>
        <w:tc>
          <w:tcPr>
            <w:tcW w:w="8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Description</w:t>
            </w:r>
          </w:p>
        </w:tc>
      </w:tr>
      <w:tr>
        <w:trPr>
          <w:trHeight w:val="230"/>
        </w:trPr>
        <w:tc>
          <w:tcPr>
            <w:tcW w:w="1720" w:type="dxa"/>
            <w:vAlign w:val="bottom"/>
          </w:tcPr>
          <w:p>
            <w:pPr>
              <w:spacing w:after="0"/>
              <w:rPr>
                <w:sz w:val="20"/>
                <w:szCs w:val="20"/>
                <w:color w:val="auto"/>
              </w:rPr>
            </w:pPr>
            <w:r>
              <w:rPr>
                <w:rFonts w:ascii="Arial" w:cs="Arial" w:eastAsia="Arial" w:hAnsi="Arial"/>
                <w:sz w:val="18"/>
                <w:szCs w:val="18"/>
                <w:color w:val="auto"/>
              </w:rPr>
              <w:t>99.1</w:t>
            </w:r>
          </w:p>
        </w:tc>
        <w:tc>
          <w:tcPr>
            <w:tcW w:w="1160" w:type="dxa"/>
            <w:vAlign w:val="bottom"/>
          </w:tcPr>
          <w:p>
            <w:pPr>
              <w:spacing w:after="0"/>
              <w:rPr>
                <w:sz w:val="20"/>
                <w:szCs w:val="20"/>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Press Release, dated October 30, 2013.</w:t>
            </w:r>
          </w:p>
        </w:tc>
      </w:tr>
    </w:tbl>
    <w:p>
      <w:pPr>
        <w:sectPr>
          <w:pgSz w:w="11900" w:h="16838" w:orient="portrait"/>
          <w:cols w:equalWidth="0" w:num="1">
            <w:col w:w="11420"/>
          </w:cols>
          <w:pgMar w:left="240" w:top="118"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World Fuel Services Corporation Reports Third Quarter Results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Aviation Segment Achieves Record Volume</w:t>
      </w:r>
    </w:p>
    <w:p>
      <w:pPr>
        <w:spacing w:after="0" w:line="212" w:lineRule="exact"/>
        <w:rPr>
          <w:sz w:val="20"/>
          <w:szCs w:val="20"/>
          <w:color w:val="auto"/>
        </w:rPr>
      </w:pPr>
    </w:p>
    <w:p>
      <w:pPr>
        <w:spacing w:after="0" w:line="248" w:lineRule="auto"/>
        <w:rPr>
          <w:sz w:val="20"/>
          <w:szCs w:val="20"/>
          <w:color w:val="auto"/>
        </w:rPr>
      </w:pPr>
      <w:r>
        <w:rPr>
          <w:rFonts w:ascii="Arial" w:cs="Arial" w:eastAsia="Arial" w:hAnsi="Arial"/>
          <w:sz w:val="21"/>
          <w:szCs w:val="21"/>
          <w:color w:val="auto"/>
        </w:rPr>
        <w:t>MIAMI--(BUSINESS WIRE)--October 30, 2013--World Fuel Services Corporation (NYSE: INT), a leading global fuel logistics company, principally engaged in the marketing, sale and distribution of aviation, marine and land fuel products and related services, today reported third quarter net income of $51.5 million or $0.72 diluted earnings per share compared to $51.5 million or $0.72 diluted earnings per share in the third quarter of 2012. Non-GAAP net income and diluted earnings per share for the third quarter, which exclude share-based compensation and amortization of acquired intangible assets, were $57.9 million and $0.81, respectively, compared to $57.9 million and $0.81 in 2012.</w:t>
      </w:r>
    </w:p>
    <w:p>
      <w:pPr>
        <w:spacing w:after="0" w:line="177" w:lineRule="exact"/>
        <w:rPr>
          <w:sz w:val="20"/>
          <w:szCs w:val="20"/>
          <w:color w:val="auto"/>
        </w:rPr>
      </w:pPr>
    </w:p>
    <w:p>
      <w:pPr>
        <w:ind w:right="60"/>
        <w:spacing w:after="0" w:line="238" w:lineRule="auto"/>
        <w:rPr>
          <w:sz w:val="20"/>
          <w:szCs w:val="20"/>
          <w:color w:val="auto"/>
        </w:rPr>
      </w:pPr>
      <w:r>
        <w:rPr>
          <w:rFonts w:ascii="Arial" w:cs="Arial" w:eastAsia="Arial" w:hAnsi="Arial"/>
          <w:sz w:val="22"/>
          <w:szCs w:val="22"/>
          <w:color w:val="auto"/>
        </w:rPr>
        <w:t>“Considering current market conditions, our overall performance in the third quarter was strong,” said Michael J. Kasbar, president and chief executive officer of World Fuel Services Corporation. “Our global team remains focused on growing our value proposition in the fuel, services and billing and payment sectors, across all three of our business segments, driving greater value for our customers and suppliers.”</w:t>
      </w:r>
    </w:p>
    <w:p>
      <w:pPr>
        <w:spacing w:after="0" w:line="185" w:lineRule="exact"/>
        <w:rPr>
          <w:sz w:val="20"/>
          <w:szCs w:val="20"/>
          <w:color w:val="auto"/>
        </w:rPr>
      </w:pPr>
    </w:p>
    <w:p>
      <w:pPr>
        <w:ind w:right="60"/>
        <w:spacing w:after="0" w:line="287" w:lineRule="auto"/>
        <w:rPr>
          <w:sz w:val="20"/>
          <w:szCs w:val="20"/>
          <w:color w:val="auto"/>
        </w:rPr>
      </w:pPr>
      <w:r>
        <w:rPr>
          <w:rFonts w:ascii="Arial" w:cs="Arial" w:eastAsia="Arial" w:hAnsi="Arial"/>
          <w:sz w:val="19"/>
          <w:szCs w:val="19"/>
          <w:color w:val="auto"/>
        </w:rPr>
        <w:t>The company’s aviation segment generated gross profit of $89.8 million, an increase of $13.7 million or 18% sequentially and $5.6 million or 7% year-over-year. The company’s marine segment generated gross profit of $40.2 million, a decrease of $12.1 million or 23% sequentially and $13.7 million or 25% year-over-year. The company’s land segment posted gross profit of $56.4 million, a decrease of $3.7 million or 6% sequentially, but an increase of $13.8 million or 32% year-over-year.</w:t>
      </w:r>
    </w:p>
    <w:p>
      <w:pPr>
        <w:spacing w:after="0" w:line="143" w:lineRule="exact"/>
        <w:rPr>
          <w:sz w:val="20"/>
          <w:szCs w:val="20"/>
          <w:color w:val="auto"/>
        </w:rPr>
      </w:pPr>
    </w:p>
    <w:p>
      <w:pPr>
        <w:ind w:right="20"/>
        <w:spacing w:after="0" w:line="287" w:lineRule="auto"/>
        <w:rPr>
          <w:sz w:val="20"/>
          <w:szCs w:val="20"/>
          <w:color w:val="auto"/>
        </w:rPr>
      </w:pPr>
      <w:r>
        <w:rPr>
          <w:rFonts w:ascii="Arial" w:cs="Arial" w:eastAsia="Arial" w:hAnsi="Arial"/>
          <w:sz w:val="19"/>
          <w:szCs w:val="19"/>
          <w:color w:val="auto"/>
        </w:rPr>
        <w:t>"We repurchased $20 million of our common stock in the open market during the third quarter," said Ira M. Birns, executive vice president and chief financial officer of World Fuel Services Corporation. "Our strong cash flow combined with the recently announced expansion of our banking facility further enhances our liquidity profile, increasing our capacity to fund both organic and strategic growth opportunities as well as opportunistic repurchases of our stock, all driving additional value for our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272020" cy="596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 w:name="page6"/>
    <w:bookmarkEnd w:id="5"/>
    <w:p>
      <w:pPr>
        <w:spacing w:after="0"/>
        <w:rPr>
          <w:sz w:val="20"/>
          <w:szCs w:val="20"/>
          <w:color w:val="auto"/>
        </w:rPr>
      </w:pPr>
      <w:r>
        <w:rPr>
          <w:rFonts w:ascii="Arial" w:cs="Arial" w:eastAsia="Arial" w:hAnsi="Arial"/>
          <w:sz w:val="22"/>
          <w:szCs w:val="22"/>
          <w:u w:val="single" w:color="auto"/>
          <w:color w:val="auto"/>
        </w:rPr>
        <w:t>Non-GAAP Financial Measures</w:t>
      </w:r>
    </w:p>
    <w:p>
      <w:pPr>
        <w:spacing w:after="0" w:line="207" w:lineRule="exact"/>
        <w:rPr>
          <w:sz w:val="20"/>
          <w:szCs w:val="20"/>
          <w:color w:val="auto"/>
        </w:rPr>
      </w:pPr>
    </w:p>
    <w:p>
      <w:pPr>
        <w:spacing w:after="0" w:line="279" w:lineRule="auto"/>
        <w:rPr>
          <w:sz w:val="20"/>
          <w:szCs w:val="20"/>
          <w:color w:val="auto"/>
        </w:rPr>
      </w:pPr>
      <w:r>
        <w:rPr>
          <w:rFonts w:ascii="Arial" w:cs="Arial" w:eastAsia="Arial" w:hAnsi="Arial"/>
          <w:sz w:val="19"/>
          <w:szCs w:val="19"/>
          <w:color w:val="auto"/>
        </w:rPr>
        <w:t>This press release includes selected financial information that has not been prepared in accordance with accounting principles generally accepted in the United States (“GAAP”). This information includes non-GAAP net income and non-GAAP diluted earnings per share. The non-GAAP financial measures exclude costs associated with share-based compensation and amortization of acquired intangible assets, primarily because we do not believe they are reflective of the company’s core operating results. We believe that these non-GAAP financial measures, when considered in conjunction with our financial information prepared in accordance with GAAP, are useful for investors to evaluate our core operating results and trends.</w:t>
      </w:r>
    </w:p>
    <w:p>
      <w:pPr>
        <w:spacing w:after="0" w:line="151" w:lineRule="exact"/>
        <w:rPr>
          <w:sz w:val="20"/>
          <w:szCs w:val="20"/>
          <w:color w:val="auto"/>
        </w:rPr>
      </w:pPr>
    </w:p>
    <w:p>
      <w:pPr>
        <w:ind w:right="80"/>
        <w:spacing w:after="0" w:line="282" w:lineRule="auto"/>
        <w:rPr>
          <w:sz w:val="20"/>
          <w:szCs w:val="20"/>
          <w:color w:val="auto"/>
        </w:rPr>
      </w:pPr>
      <w:r>
        <w:rPr>
          <w:rFonts w:ascii="Arial" w:cs="Arial" w:eastAsia="Arial" w:hAnsi="Arial"/>
          <w:sz w:val="19"/>
          <w:szCs w:val="19"/>
          <w:color w:val="auto"/>
        </w:rPr>
        <w:t>Non-GAAP financial measures should not be considered in isolation from, or as a substitute for, financial information prepared in accordance with GAAP. In addition, our presentation of non-GAAP net income and non-GAAP diluted earnings per share may not be comparable to the presentation of such metrics by other companies. Investors are encouraged to review the reconciliation of these non-GAAP measures to their most directly comparable GAAP financial measure. A reconciliation of GAAP to non-GAAP results has been provided in the financial statement tables included in this press release.</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Information Relating to Forward-Looking Statements</w:t>
      </w:r>
    </w:p>
    <w:p>
      <w:pPr>
        <w:spacing w:after="0" w:line="206" w:lineRule="exact"/>
        <w:rPr>
          <w:sz w:val="20"/>
          <w:szCs w:val="20"/>
          <w:color w:val="auto"/>
        </w:rPr>
      </w:pPr>
    </w:p>
    <w:p>
      <w:pPr>
        <w:ind w:right="40"/>
        <w:spacing w:after="0" w:line="270" w:lineRule="auto"/>
        <w:rPr>
          <w:sz w:val="20"/>
          <w:szCs w:val="20"/>
          <w:color w:val="auto"/>
        </w:rPr>
      </w:pPr>
      <w:r>
        <w:rPr>
          <w:rFonts w:ascii="Arial" w:cs="Arial" w:eastAsia="Arial" w:hAnsi="Arial"/>
          <w:sz w:val="19"/>
          <w:szCs w:val="19"/>
          <w:color w:val="auto"/>
        </w:rPr>
        <w:t>With the exception of historical information in this news release, this document includes forward-looking statements within the meaning of the Private Securities Litigation Reform Act of 1995, including statements regarding our expectations of funding opportunities, our ability to drive value, as well as our expectation about our liquidity. These forward-looking statements are qualified in their entirety by cautionary statements and risk factor disclosures contained in the company’s Securities and Exchange Commission (“SEC”) filings, including the company’s Annual Report on Form 10-K filed with the SEC on February 21, 2013. Actual results may differ materially from any forward-looking statements due to risks and uncertainties, including, but not limited to: our ability to effectively integrate and derive benefits from acquired businesses, our ability to capitalize on new market opportunities, potential liabilities and the extent of any insurance coverage, the outcome of pending litigation and other proceedings, the impact of quarterly fluctuations in results, the creditworthiness of our customers and counterparties and our ability to collect accounts receivable, fluctuations in world oil prices or foreign currency, changes in political, economic, regulatory, or environmental conditions, adverse conditions in the markets or industries in which we or our customers and suppliers operate, our failure to effectively hedge certain financial risks associated with the use of derivatives, non-performance by counterparties or customers on derivatives contracts, loss of, or reduced sales, to a significant government customer, uninsured losses, the impact of natural disasters, adverse results in legal disputes, unanticipated tax liabilities, our ability to retain and attract senior management and other key employees and other risks detailed from time to time in the company’s SEC filings. New risks emerge from time to time and it is not possible for management to predict all such risk factors or to assess the impact of such risks on our business. Accordingly, we undertake no obligation to publicly update or revise any forward-looking statements, whether as a result of new information, changes in expectations, future events, or otherwise.</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About World Fuel Services Corporation</w:t>
      </w:r>
    </w:p>
    <w:p>
      <w:pPr>
        <w:spacing w:after="0" w:line="206" w:lineRule="exact"/>
        <w:rPr>
          <w:sz w:val="20"/>
          <w:szCs w:val="20"/>
          <w:color w:val="auto"/>
        </w:rPr>
      </w:pPr>
    </w:p>
    <w:p>
      <w:pPr>
        <w:ind w:right="260"/>
        <w:spacing w:after="0" w:line="238" w:lineRule="auto"/>
        <w:rPr>
          <w:sz w:val="20"/>
          <w:szCs w:val="20"/>
          <w:color w:val="auto"/>
        </w:rPr>
      </w:pPr>
      <w:r>
        <w:rPr>
          <w:rFonts w:ascii="Arial" w:cs="Arial" w:eastAsia="Arial" w:hAnsi="Arial"/>
          <w:sz w:val="22"/>
          <w:szCs w:val="22"/>
          <w:color w:val="auto"/>
        </w:rPr>
        <w:t>Headquartered in Miami, Florida, World Fuel Services is a leading global fuel logistics company, principally engaged in the marketing, sale and distribution of aviation, marine and land fuel products and related services on a worldwide basis. World Fuel Services sells fuel and delivers services to its clients at more than 8,000 locations in more than 200 countries and territories worldwide.</w:t>
      </w:r>
    </w:p>
    <w:p>
      <w:pPr>
        <w:spacing w:after="0" w:line="185" w:lineRule="exact"/>
        <w:rPr>
          <w:sz w:val="20"/>
          <w:szCs w:val="20"/>
          <w:color w:val="auto"/>
        </w:rPr>
      </w:pPr>
    </w:p>
    <w:p>
      <w:pPr>
        <w:ind w:right="40"/>
        <w:spacing w:after="0" w:line="277" w:lineRule="auto"/>
        <w:rPr>
          <w:sz w:val="20"/>
          <w:szCs w:val="20"/>
          <w:color w:val="auto"/>
        </w:rPr>
      </w:pPr>
      <w:r>
        <w:rPr>
          <w:rFonts w:ascii="Arial" w:cs="Arial" w:eastAsia="Arial" w:hAnsi="Arial"/>
          <w:sz w:val="19"/>
          <w:szCs w:val="19"/>
          <w:color w:val="auto"/>
        </w:rPr>
        <w:t xml:space="preserve">The company's global team of market makers provides deep domain expertise in all aspects of aviation, marine and land fuel management. Aviation customers include commercial airlines, cargo carriers, private aircraft and fixed base operators (FBOs), as well as the United States and foreign governments. World Fuel Services' marine customers include international container and tanker fleets, cruise lines and time-charter operators, as well as the United States and foreign governments. Land customers include petroleum distributors, retail petroleum operators, and industrial, commercial, and government accounts. The company also offers transaction management services which consist of card payment solutions and merchant processing services to customers in the aviation, marine and land transportation industries. For more information, call 305-428-8000 or visit </w:t>
      </w:r>
      <w:r>
        <w:rPr>
          <w:rFonts w:ascii="Arial" w:cs="Arial" w:eastAsia="Arial" w:hAnsi="Arial"/>
          <w:sz w:val="19"/>
          <w:szCs w:val="19"/>
          <w:u w:val="single" w:color="auto"/>
          <w:color w:val="auto"/>
        </w:rPr>
        <w:t>www.wfscorp.com</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97790</wp:posOffset>
            </wp:positionV>
            <wp:extent cx="7272020" cy="596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6" w:name="page7"/>
    <w:bookmarkEnd w:id="6"/>
    <w:p>
      <w:pPr>
        <w:jc w:val="center"/>
        <w:spacing w:after="0"/>
        <w:rPr>
          <w:sz w:val="20"/>
          <w:szCs w:val="20"/>
          <w:color w:val="auto"/>
        </w:rPr>
      </w:pPr>
      <w:r>
        <w:rPr>
          <w:rFonts w:ascii="Arial" w:cs="Arial" w:eastAsia="Arial" w:hAnsi="Arial"/>
          <w:sz w:val="14"/>
          <w:szCs w:val="14"/>
          <w:b w:val="1"/>
          <w:bCs w:val="1"/>
          <w:color w:val="auto"/>
        </w:rPr>
        <w:t>WORLD FUEL SERVICES CORPORATION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INCOME</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 - IN THOUSANDS, EXCEPT PER SHARE DATA)</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60" w:type="dxa"/>
            <w:vAlign w:val="bottom"/>
            <w:gridSpan w:val="4"/>
          </w:tcPr>
          <w:p>
            <w:pPr>
              <w:jc w:val="right"/>
              <w:ind w:right="508"/>
              <w:spacing w:after="0"/>
              <w:rPr>
                <w:sz w:val="20"/>
                <w:szCs w:val="20"/>
                <w:color w:val="auto"/>
              </w:rPr>
            </w:pPr>
            <w:r>
              <w:rPr>
                <w:rFonts w:ascii="Arial" w:cs="Arial" w:eastAsia="Arial" w:hAnsi="Arial"/>
                <w:sz w:val="14"/>
                <w:szCs w:val="14"/>
                <w:color w:val="auto"/>
              </w:rPr>
              <w:t>For the Three Months ended</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560" w:type="dxa"/>
            <w:vAlign w:val="bottom"/>
            <w:gridSpan w:val="4"/>
          </w:tcPr>
          <w:p>
            <w:pPr>
              <w:jc w:val="right"/>
              <w:ind w:right="588"/>
              <w:spacing w:after="0"/>
              <w:rPr>
                <w:sz w:val="20"/>
                <w:szCs w:val="20"/>
                <w:color w:val="auto"/>
              </w:rPr>
            </w:pPr>
            <w:r>
              <w:rPr>
                <w:rFonts w:ascii="Arial" w:cs="Arial" w:eastAsia="Arial" w:hAnsi="Arial"/>
                <w:sz w:val="14"/>
                <w:szCs w:val="14"/>
                <w:color w:val="auto"/>
              </w:rPr>
              <w:t>For the Nine Months ended</w:t>
            </w:r>
          </w:p>
        </w:tc>
      </w:tr>
      <w:tr>
        <w:trPr>
          <w:trHeight w:val="181"/>
        </w:trPr>
        <w:tc>
          <w:tcPr>
            <w:tcW w:w="56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color w:val="auto"/>
              </w:rPr>
              <w:t>September 30,</w:t>
            </w: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color w:val="auto"/>
              </w:rPr>
              <w:t>September 30,</w:t>
            </w:r>
          </w:p>
        </w:tc>
        <w:tc>
          <w:tcPr>
            <w:tcW w:w="940" w:type="dxa"/>
            <w:vAlign w:val="bottom"/>
            <w:tcBorders>
              <w:bottom w:val="single" w:sz="8" w:color="auto"/>
            </w:tcBorders>
          </w:tcPr>
          <w:p>
            <w:pPr>
              <w:spacing w:after="0"/>
              <w:rPr>
                <w:sz w:val="15"/>
                <w:szCs w:val="15"/>
                <w:color w:val="auto"/>
              </w:rPr>
            </w:pPr>
          </w:p>
        </w:tc>
      </w:tr>
      <w:tr>
        <w:trPr>
          <w:trHeight w:val="169"/>
        </w:trPr>
        <w:tc>
          <w:tcPr>
            <w:tcW w:w="56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2013</w:t>
            </w:r>
          </w:p>
        </w:tc>
        <w:tc>
          <w:tcPr>
            <w:tcW w:w="1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2012</w:t>
            </w: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2013</w:t>
            </w:r>
          </w:p>
        </w:tc>
        <w:tc>
          <w:tcPr>
            <w:tcW w:w="10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2012</w:t>
            </w:r>
          </w:p>
        </w:tc>
      </w:tr>
      <w:tr>
        <w:trPr>
          <w:trHeight w:val="515"/>
        </w:trPr>
        <w:tc>
          <w:tcPr>
            <w:tcW w:w="5620" w:type="dxa"/>
            <w:vAlign w:val="bottom"/>
          </w:tcPr>
          <w:p>
            <w:pPr>
              <w:spacing w:after="0"/>
              <w:rPr>
                <w:sz w:val="20"/>
                <w:szCs w:val="20"/>
                <w:color w:val="auto"/>
              </w:rPr>
            </w:pPr>
            <w:r>
              <w:rPr>
                <w:rFonts w:ascii="Arial" w:cs="Arial" w:eastAsia="Arial" w:hAnsi="Arial"/>
                <w:sz w:val="14"/>
                <w:szCs w:val="14"/>
                <w:color w:val="auto"/>
              </w:rPr>
              <w:t>Revenue</w:t>
            </w:r>
          </w:p>
        </w:tc>
        <w:tc>
          <w:tcPr>
            <w:tcW w:w="3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10,493,661</w:t>
            </w:r>
          </w:p>
        </w:tc>
        <w:tc>
          <w:tcPr>
            <w:tcW w:w="52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9,911,673</w:t>
            </w:r>
          </w:p>
        </w:tc>
        <w:tc>
          <w:tcPr>
            <w:tcW w:w="44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31,157,294</w:t>
            </w:r>
          </w:p>
        </w:tc>
        <w:tc>
          <w:tcPr>
            <w:tcW w:w="580" w:type="dxa"/>
            <w:vAlign w:val="bottom"/>
            <w:gridSpan w:val="2"/>
          </w:tcPr>
          <w:p>
            <w:pPr>
              <w:jc w:val="right"/>
              <w:ind w:right="26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29,009,525</w:t>
            </w:r>
          </w:p>
        </w:tc>
      </w:tr>
      <w:tr>
        <w:trPr>
          <w:trHeight w:val="181"/>
        </w:trPr>
        <w:tc>
          <w:tcPr>
            <w:tcW w:w="5620" w:type="dxa"/>
            <w:vAlign w:val="bottom"/>
          </w:tcPr>
          <w:p>
            <w:pPr>
              <w:spacing w:after="0"/>
              <w:rPr>
                <w:sz w:val="20"/>
                <w:szCs w:val="20"/>
                <w:color w:val="auto"/>
              </w:rPr>
            </w:pPr>
            <w:r>
              <w:rPr>
                <w:rFonts w:ascii="Arial" w:cs="Arial" w:eastAsia="Arial" w:hAnsi="Arial"/>
                <w:sz w:val="14"/>
                <w:szCs w:val="14"/>
                <w:color w:val="auto"/>
              </w:rPr>
              <w:t>Cost of revenue</w:t>
            </w: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10,307,320</w:t>
            </w:r>
          </w:p>
        </w:tc>
        <w:tc>
          <w:tcPr>
            <w:tcW w:w="1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9,730,921</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30,600,116</w:t>
            </w:r>
          </w:p>
        </w:tc>
        <w:tc>
          <w:tcPr>
            <w:tcW w:w="10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28,499,415</w:t>
            </w:r>
          </w:p>
        </w:tc>
      </w:tr>
      <w:tr>
        <w:trPr>
          <w:trHeight w:val="345"/>
        </w:trPr>
        <w:tc>
          <w:tcPr>
            <w:tcW w:w="5620" w:type="dxa"/>
            <w:vAlign w:val="bottom"/>
          </w:tcPr>
          <w:p>
            <w:pPr>
              <w:ind w:left="420"/>
              <w:spacing w:after="0"/>
              <w:rPr>
                <w:sz w:val="20"/>
                <w:szCs w:val="20"/>
                <w:color w:val="auto"/>
              </w:rPr>
            </w:pPr>
            <w:r>
              <w:rPr>
                <w:rFonts w:ascii="Arial" w:cs="Arial" w:eastAsia="Arial" w:hAnsi="Arial"/>
                <w:sz w:val="14"/>
                <w:szCs w:val="14"/>
                <w:color w:val="auto"/>
              </w:rPr>
              <w:t>Gross profit</w:t>
            </w: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186,341</w:t>
            </w:r>
          </w:p>
        </w:tc>
        <w:tc>
          <w:tcPr>
            <w:tcW w:w="1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180,752</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557,178</w:t>
            </w:r>
          </w:p>
        </w:tc>
        <w:tc>
          <w:tcPr>
            <w:tcW w:w="1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510,110</w:t>
            </w:r>
          </w:p>
        </w:tc>
      </w:tr>
      <w:tr>
        <w:trPr>
          <w:trHeight w:val="339"/>
        </w:trPr>
        <w:tc>
          <w:tcPr>
            <w:tcW w:w="5620" w:type="dxa"/>
            <w:vAlign w:val="bottom"/>
          </w:tcPr>
          <w:p>
            <w:pPr>
              <w:spacing w:after="0"/>
              <w:rPr>
                <w:sz w:val="20"/>
                <w:szCs w:val="20"/>
                <w:color w:val="auto"/>
              </w:rPr>
            </w:pPr>
            <w:r>
              <w:rPr>
                <w:rFonts w:ascii="Arial" w:cs="Arial" w:eastAsia="Arial" w:hAnsi="Arial"/>
                <w:sz w:val="14"/>
                <w:szCs w:val="14"/>
                <w:color w:val="auto"/>
              </w:rPr>
              <w:t>Operating expenses:</w:t>
            </w: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6"/>
        </w:trPr>
        <w:tc>
          <w:tcPr>
            <w:tcW w:w="5620" w:type="dxa"/>
            <w:vAlign w:val="bottom"/>
          </w:tcPr>
          <w:p>
            <w:pPr>
              <w:ind w:left="220"/>
              <w:spacing w:after="0"/>
              <w:rPr>
                <w:sz w:val="20"/>
                <w:szCs w:val="20"/>
                <w:color w:val="auto"/>
              </w:rPr>
            </w:pPr>
            <w:r>
              <w:rPr>
                <w:rFonts w:ascii="Arial" w:cs="Arial" w:eastAsia="Arial" w:hAnsi="Arial"/>
                <w:sz w:val="14"/>
                <w:szCs w:val="14"/>
                <w:color w:val="auto"/>
              </w:rPr>
              <w:t>Compensation and employee benefits</w:t>
            </w:r>
          </w:p>
        </w:tc>
        <w:tc>
          <w:tcPr>
            <w:tcW w:w="340" w:type="dxa"/>
            <w:vAlign w:val="bottom"/>
          </w:tcPr>
          <w:p>
            <w:pPr>
              <w:spacing w:after="0"/>
              <w:rPr>
                <w:sz w:val="15"/>
                <w:szCs w:val="15"/>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72,184</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65,843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214,358</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176,553</w:t>
            </w:r>
          </w:p>
        </w:tc>
      </w:tr>
      <w:tr>
        <w:trPr>
          <w:trHeight w:val="176"/>
        </w:trPr>
        <w:tc>
          <w:tcPr>
            <w:tcW w:w="5620" w:type="dxa"/>
            <w:vAlign w:val="bottom"/>
          </w:tcPr>
          <w:p>
            <w:pPr>
              <w:ind w:left="220"/>
              <w:spacing w:after="0"/>
              <w:rPr>
                <w:sz w:val="20"/>
                <w:szCs w:val="20"/>
                <w:color w:val="auto"/>
              </w:rPr>
            </w:pPr>
            <w:r>
              <w:rPr>
                <w:rFonts w:ascii="Arial" w:cs="Arial" w:eastAsia="Arial" w:hAnsi="Arial"/>
                <w:sz w:val="14"/>
                <w:szCs w:val="14"/>
                <w:color w:val="auto"/>
              </w:rPr>
              <w:t>Provision for bad debt</w:t>
            </w:r>
          </w:p>
        </w:tc>
        <w:tc>
          <w:tcPr>
            <w:tcW w:w="340" w:type="dxa"/>
            <w:vAlign w:val="bottom"/>
          </w:tcPr>
          <w:p>
            <w:pPr>
              <w:spacing w:after="0"/>
              <w:rPr>
                <w:sz w:val="15"/>
                <w:szCs w:val="15"/>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1,863</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3,631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5,675</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4,413</w:t>
            </w:r>
          </w:p>
        </w:tc>
      </w:tr>
      <w:tr>
        <w:trPr>
          <w:trHeight w:val="181"/>
        </w:trPr>
        <w:tc>
          <w:tcPr>
            <w:tcW w:w="5620" w:type="dxa"/>
            <w:vAlign w:val="bottom"/>
          </w:tcPr>
          <w:p>
            <w:pPr>
              <w:ind w:left="220"/>
              <w:spacing w:after="0"/>
              <w:rPr>
                <w:sz w:val="20"/>
                <w:szCs w:val="20"/>
                <w:color w:val="auto"/>
              </w:rPr>
            </w:pPr>
            <w:r>
              <w:rPr>
                <w:rFonts w:ascii="Arial" w:cs="Arial" w:eastAsia="Arial" w:hAnsi="Arial"/>
                <w:sz w:val="14"/>
                <w:szCs w:val="14"/>
                <w:color w:val="auto"/>
              </w:rPr>
              <w:t>General and administrative</w:t>
            </w: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48,091</w:t>
            </w:r>
          </w:p>
        </w:tc>
        <w:tc>
          <w:tcPr>
            <w:tcW w:w="1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40,230</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137,265</w:t>
            </w:r>
          </w:p>
        </w:tc>
        <w:tc>
          <w:tcPr>
            <w:tcW w:w="10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126,482</w:t>
            </w:r>
          </w:p>
        </w:tc>
      </w:tr>
      <w:tr>
        <w:trPr>
          <w:trHeight w:val="345"/>
        </w:trPr>
        <w:tc>
          <w:tcPr>
            <w:tcW w:w="5620" w:type="dxa"/>
            <w:vAlign w:val="bottom"/>
          </w:tcPr>
          <w:p>
            <w:pPr>
              <w:ind w:left="420"/>
              <w:spacing w:after="0"/>
              <w:rPr>
                <w:sz w:val="20"/>
                <w:szCs w:val="20"/>
                <w:color w:val="auto"/>
              </w:rPr>
            </w:pPr>
            <w:r>
              <w:rPr>
                <w:rFonts w:ascii="Arial" w:cs="Arial" w:eastAsia="Arial" w:hAnsi="Arial"/>
                <w:sz w:val="14"/>
                <w:szCs w:val="14"/>
                <w:color w:val="auto"/>
              </w:rPr>
              <w:t>Total operating expenses</w:t>
            </w: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122,138</w:t>
            </w:r>
          </w:p>
        </w:tc>
        <w:tc>
          <w:tcPr>
            <w:tcW w:w="1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109,704</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357,298</w:t>
            </w:r>
          </w:p>
        </w:tc>
        <w:tc>
          <w:tcPr>
            <w:tcW w:w="1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307,448</w:t>
            </w:r>
          </w:p>
        </w:tc>
      </w:tr>
      <w:tr>
        <w:trPr>
          <w:trHeight w:val="339"/>
        </w:trPr>
        <w:tc>
          <w:tcPr>
            <w:tcW w:w="5620" w:type="dxa"/>
            <w:vAlign w:val="bottom"/>
          </w:tcPr>
          <w:p>
            <w:pPr>
              <w:ind w:left="420"/>
              <w:spacing w:after="0"/>
              <w:rPr>
                <w:sz w:val="20"/>
                <w:szCs w:val="20"/>
                <w:color w:val="auto"/>
              </w:rPr>
            </w:pPr>
            <w:r>
              <w:rPr>
                <w:rFonts w:ascii="Arial" w:cs="Arial" w:eastAsia="Arial" w:hAnsi="Arial"/>
                <w:sz w:val="14"/>
                <w:szCs w:val="14"/>
                <w:color w:val="auto"/>
              </w:rPr>
              <w:t>Income from operations</w:t>
            </w:r>
          </w:p>
        </w:tc>
        <w:tc>
          <w:tcPr>
            <w:tcW w:w="340" w:type="dxa"/>
            <w:vAlign w:val="bottom"/>
          </w:tcPr>
          <w:p>
            <w:pPr>
              <w:spacing w:after="0"/>
              <w:rPr>
                <w:sz w:val="24"/>
                <w:szCs w:val="24"/>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64,203</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71,048</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199,880</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202,662</w:t>
            </w:r>
          </w:p>
        </w:tc>
      </w:tr>
      <w:tr>
        <w:trPr>
          <w:trHeight w:val="181"/>
        </w:trPr>
        <w:tc>
          <w:tcPr>
            <w:tcW w:w="5620" w:type="dxa"/>
            <w:vAlign w:val="bottom"/>
          </w:tcPr>
          <w:p>
            <w:pPr>
              <w:spacing w:after="0"/>
              <w:rPr>
                <w:sz w:val="20"/>
                <w:szCs w:val="20"/>
                <w:color w:val="auto"/>
              </w:rPr>
            </w:pPr>
            <w:r>
              <w:rPr>
                <w:rFonts w:ascii="Arial" w:cs="Arial" w:eastAsia="Arial" w:hAnsi="Arial"/>
                <w:sz w:val="14"/>
                <w:szCs w:val="14"/>
                <w:color w:val="auto"/>
              </w:rPr>
              <w:t>Non-operating expenses, net</w:t>
            </w: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(5,715)</w:t>
            </w:r>
          </w:p>
        </w:tc>
        <w:tc>
          <w:tcPr>
            <w:tcW w:w="1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(3,467)</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(14,025)</w:t>
            </w:r>
          </w:p>
        </w:tc>
        <w:tc>
          <w:tcPr>
            <w:tcW w:w="10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(13,087)</w:t>
            </w:r>
          </w:p>
        </w:tc>
      </w:tr>
      <w:tr>
        <w:trPr>
          <w:trHeight w:val="339"/>
        </w:trPr>
        <w:tc>
          <w:tcPr>
            <w:tcW w:w="5620" w:type="dxa"/>
            <w:vAlign w:val="bottom"/>
          </w:tcPr>
          <w:p>
            <w:pPr>
              <w:spacing w:after="0"/>
              <w:rPr>
                <w:sz w:val="20"/>
                <w:szCs w:val="20"/>
                <w:color w:val="auto"/>
              </w:rPr>
            </w:pPr>
            <w:r>
              <w:rPr>
                <w:rFonts w:ascii="Arial" w:cs="Arial" w:eastAsia="Arial" w:hAnsi="Arial"/>
                <w:sz w:val="14"/>
                <w:szCs w:val="14"/>
                <w:color w:val="auto"/>
              </w:rPr>
              <w:t>Income before income taxes</w:t>
            </w:r>
          </w:p>
        </w:tc>
        <w:tc>
          <w:tcPr>
            <w:tcW w:w="340" w:type="dxa"/>
            <w:vAlign w:val="bottom"/>
          </w:tcPr>
          <w:p>
            <w:pPr>
              <w:spacing w:after="0"/>
              <w:rPr>
                <w:sz w:val="24"/>
                <w:szCs w:val="24"/>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58,488</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67,581</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185,855</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189,575</w:t>
            </w:r>
          </w:p>
        </w:tc>
      </w:tr>
      <w:tr>
        <w:trPr>
          <w:trHeight w:val="181"/>
        </w:trPr>
        <w:tc>
          <w:tcPr>
            <w:tcW w:w="5620" w:type="dxa"/>
            <w:vAlign w:val="bottom"/>
          </w:tcPr>
          <w:p>
            <w:pPr>
              <w:spacing w:after="0"/>
              <w:rPr>
                <w:sz w:val="20"/>
                <w:szCs w:val="20"/>
                <w:color w:val="auto"/>
              </w:rPr>
            </w:pPr>
            <w:r>
              <w:rPr>
                <w:rFonts w:ascii="Arial" w:cs="Arial" w:eastAsia="Arial" w:hAnsi="Arial"/>
                <w:sz w:val="14"/>
                <w:szCs w:val="14"/>
                <w:color w:val="auto"/>
              </w:rPr>
              <w:t>Provision for income taxes</w:t>
            </w: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8,191</w:t>
            </w:r>
          </w:p>
        </w:tc>
        <w:tc>
          <w:tcPr>
            <w:tcW w:w="1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14,683</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32,090</w:t>
            </w:r>
          </w:p>
        </w:tc>
        <w:tc>
          <w:tcPr>
            <w:tcW w:w="10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33,249</w:t>
            </w:r>
          </w:p>
        </w:tc>
      </w:tr>
      <w:tr>
        <w:trPr>
          <w:trHeight w:val="339"/>
        </w:trPr>
        <w:tc>
          <w:tcPr>
            <w:tcW w:w="5620" w:type="dxa"/>
            <w:vAlign w:val="bottom"/>
          </w:tcPr>
          <w:p>
            <w:pPr>
              <w:spacing w:after="0"/>
              <w:rPr>
                <w:sz w:val="20"/>
                <w:szCs w:val="20"/>
                <w:color w:val="auto"/>
              </w:rPr>
            </w:pPr>
            <w:r>
              <w:rPr>
                <w:rFonts w:ascii="Arial" w:cs="Arial" w:eastAsia="Arial" w:hAnsi="Arial"/>
                <w:sz w:val="14"/>
                <w:szCs w:val="14"/>
                <w:color w:val="auto"/>
              </w:rPr>
              <w:t>Net income including noncontrolling interest</w:t>
            </w:r>
          </w:p>
        </w:tc>
        <w:tc>
          <w:tcPr>
            <w:tcW w:w="340" w:type="dxa"/>
            <w:vAlign w:val="bottom"/>
          </w:tcPr>
          <w:p>
            <w:pPr>
              <w:spacing w:after="0"/>
              <w:rPr>
                <w:sz w:val="24"/>
                <w:szCs w:val="24"/>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50,297</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52,898</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153,765</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156,326</w:t>
            </w:r>
          </w:p>
        </w:tc>
      </w:tr>
      <w:tr>
        <w:trPr>
          <w:trHeight w:val="181"/>
        </w:trPr>
        <w:tc>
          <w:tcPr>
            <w:tcW w:w="5620" w:type="dxa"/>
            <w:vAlign w:val="bottom"/>
          </w:tcPr>
          <w:p>
            <w:pPr>
              <w:spacing w:after="0"/>
              <w:rPr>
                <w:sz w:val="20"/>
                <w:szCs w:val="20"/>
                <w:color w:val="auto"/>
              </w:rPr>
            </w:pPr>
            <w:r>
              <w:rPr>
                <w:rFonts w:ascii="Arial" w:cs="Arial" w:eastAsia="Arial" w:hAnsi="Arial"/>
                <w:sz w:val="14"/>
                <w:szCs w:val="14"/>
                <w:color w:val="auto"/>
              </w:rPr>
              <w:t>Net (loss) income attributable to noncontrolling interest</w:t>
            </w: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(1,175)</w:t>
            </w:r>
          </w:p>
        </w:tc>
        <w:tc>
          <w:tcPr>
            <w:tcW w:w="1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1,404</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2,552</w:t>
            </w:r>
          </w:p>
        </w:tc>
        <w:tc>
          <w:tcPr>
            <w:tcW w:w="10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9,817</w:t>
            </w:r>
          </w:p>
        </w:tc>
      </w:tr>
      <w:tr>
        <w:trPr>
          <w:trHeight w:val="345"/>
        </w:trPr>
        <w:tc>
          <w:tcPr>
            <w:tcW w:w="5620" w:type="dxa"/>
            <w:vAlign w:val="bottom"/>
          </w:tcPr>
          <w:p>
            <w:pPr>
              <w:spacing w:after="0"/>
              <w:rPr>
                <w:sz w:val="20"/>
                <w:szCs w:val="20"/>
                <w:color w:val="auto"/>
              </w:rPr>
            </w:pPr>
            <w:r>
              <w:rPr>
                <w:rFonts w:ascii="Arial" w:cs="Arial" w:eastAsia="Arial" w:hAnsi="Arial"/>
                <w:sz w:val="14"/>
                <w:szCs w:val="14"/>
                <w:color w:val="auto"/>
              </w:rPr>
              <w:t>Net income attributable to World Fuel</w:t>
            </w:r>
          </w:p>
        </w:tc>
        <w:tc>
          <w:tcPr>
            <w:tcW w:w="3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51,472</w:t>
            </w:r>
          </w:p>
        </w:tc>
        <w:tc>
          <w:tcPr>
            <w:tcW w:w="120" w:type="dxa"/>
            <w:vAlign w:val="bottom"/>
          </w:tcPr>
          <w:p>
            <w:pPr>
              <w:spacing w:after="0"/>
              <w:rPr>
                <w:sz w:val="24"/>
                <w:szCs w:val="24"/>
                <w:color w:val="auto"/>
              </w:rPr>
            </w:pPr>
          </w:p>
        </w:tc>
        <w:tc>
          <w:tcPr>
            <w:tcW w:w="4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51,494</w:t>
            </w:r>
          </w:p>
        </w:tc>
        <w:tc>
          <w:tcPr>
            <w:tcW w:w="100" w:type="dxa"/>
            <w:vAlign w:val="bottom"/>
          </w:tcPr>
          <w:p>
            <w:pPr>
              <w:spacing w:after="0"/>
              <w:rPr>
                <w:sz w:val="24"/>
                <w:szCs w:val="24"/>
                <w:color w:val="auto"/>
              </w:rPr>
            </w:pPr>
          </w:p>
        </w:tc>
        <w:tc>
          <w:tcPr>
            <w:tcW w:w="3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151,213</w:t>
            </w:r>
          </w:p>
        </w:tc>
        <w:tc>
          <w:tcPr>
            <w:tcW w:w="100" w:type="dxa"/>
            <w:vAlign w:val="bottom"/>
          </w:tcPr>
          <w:p>
            <w:pPr>
              <w:spacing w:after="0"/>
              <w:rPr>
                <w:sz w:val="24"/>
                <w:szCs w:val="24"/>
                <w:color w:val="auto"/>
              </w:rPr>
            </w:pPr>
          </w:p>
        </w:tc>
        <w:tc>
          <w:tcPr>
            <w:tcW w:w="4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146,509</w:t>
            </w:r>
          </w:p>
        </w:tc>
      </w:tr>
      <w:tr>
        <w:trPr>
          <w:trHeight w:val="20"/>
        </w:trPr>
        <w:tc>
          <w:tcPr>
            <w:tcW w:w="56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332"/>
        </w:trPr>
        <w:tc>
          <w:tcPr>
            <w:tcW w:w="5620" w:type="dxa"/>
            <w:vAlign w:val="bottom"/>
          </w:tcPr>
          <w:p>
            <w:pPr>
              <w:spacing w:after="0"/>
              <w:rPr>
                <w:sz w:val="20"/>
                <w:szCs w:val="20"/>
                <w:color w:val="auto"/>
              </w:rPr>
            </w:pPr>
            <w:r>
              <w:rPr>
                <w:rFonts w:ascii="Arial" w:cs="Arial" w:eastAsia="Arial" w:hAnsi="Arial"/>
                <w:sz w:val="14"/>
                <w:szCs w:val="14"/>
                <w:color w:val="auto"/>
              </w:rPr>
              <w:t>Basic earnings per common share</w:t>
            </w:r>
          </w:p>
        </w:tc>
        <w:tc>
          <w:tcPr>
            <w:tcW w:w="3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0.72</w:t>
            </w:r>
          </w:p>
        </w:tc>
        <w:tc>
          <w:tcPr>
            <w:tcW w:w="52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0.72</w:t>
            </w:r>
          </w:p>
        </w:tc>
        <w:tc>
          <w:tcPr>
            <w:tcW w:w="44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2.12</w:t>
            </w:r>
          </w:p>
        </w:tc>
        <w:tc>
          <w:tcPr>
            <w:tcW w:w="580" w:type="dxa"/>
            <w:vAlign w:val="bottom"/>
            <w:gridSpan w:val="2"/>
          </w:tcPr>
          <w:p>
            <w:pPr>
              <w:jc w:val="right"/>
              <w:ind w:right="26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2.06</w:t>
            </w:r>
          </w:p>
        </w:tc>
      </w:tr>
      <w:tr>
        <w:trPr>
          <w:trHeight w:val="20"/>
        </w:trPr>
        <w:tc>
          <w:tcPr>
            <w:tcW w:w="56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332"/>
        </w:trPr>
        <w:tc>
          <w:tcPr>
            <w:tcW w:w="5620" w:type="dxa"/>
            <w:vAlign w:val="bottom"/>
          </w:tcPr>
          <w:p>
            <w:pPr>
              <w:spacing w:after="0"/>
              <w:rPr>
                <w:sz w:val="20"/>
                <w:szCs w:val="20"/>
                <w:color w:val="auto"/>
              </w:rPr>
            </w:pPr>
            <w:r>
              <w:rPr>
                <w:rFonts w:ascii="Arial" w:cs="Arial" w:eastAsia="Arial" w:hAnsi="Arial"/>
                <w:sz w:val="14"/>
                <w:szCs w:val="14"/>
                <w:color w:val="auto"/>
              </w:rPr>
              <w:t>Basic weighted average common shares</w:t>
            </w: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71,371</w:t>
            </w:r>
          </w:p>
        </w:tc>
        <w:tc>
          <w:tcPr>
            <w:tcW w:w="1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71,216</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71,387</w:t>
            </w:r>
          </w:p>
        </w:tc>
        <w:tc>
          <w:tcPr>
            <w:tcW w:w="1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71,128</w:t>
            </w:r>
          </w:p>
        </w:tc>
      </w:tr>
      <w:tr>
        <w:trPr>
          <w:trHeight w:val="20"/>
        </w:trPr>
        <w:tc>
          <w:tcPr>
            <w:tcW w:w="56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332"/>
        </w:trPr>
        <w:tc>
          <w:tcPr>
            <w:tcW w:w="5620" w:type="dxa"/>
            <w:vAlign w:val="bottom"/>
          </w:tcPr>
          <w:p>
            <w:pPr>
              <w:spacing w:after="0"/>
              <w:rPr>
                <w:sz w:val="20"/>
                <w:szCs w:val="20"/>
                <w:color w:val="auto"/>
              </w:rPr>
            </w:pPr>
            <w:r>
              <w:rPr>
                <w:rFonts w:ascii="Arial" w:cs="Arial" w:eastAsia="Arial" w:hAnsi="Arial"/>
                <w:sz w:val="14"/>
                <w:szCs w:val="14"/>
                <w:color w:val="auto"/>
              </w:rPr>
              <w:t>Diluted earnings per common share</w:t>
            </w:r>
          </w:p>
        </w:tc>
        <w:tc>
          <w:tcPr>
            <w:tcW w:w="3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0.72</w:t>
            </w:r>
          </w:p>
        </w:tc>
        <w:tc>
          <w:tcPr>
            <w:tcW w:w="52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0.72</w:t>
            </w:r>
          </w:p>
        </w:tc>
        <w:tc>
          <w:tcPr>
            <w:tcW w:w="44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2.10</w:t>
            </w:r>
          </w:p>
        </w:tc>
        <w:tc>
          <w:tcPr>
            <w:tcW w:w="580" w:type="dxa"/>
            <w:vAlign w:val="bottom"/>
            <w:gridSpan w:val="2"/>
          </w:tcPr>
          <w:p>
            <w:pPr>
              <w:jc w:val="right"/>
              <w:ind w:right="26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2.04</w:t>
            </w:r>
          </w:p>
        </w:tc>
      </w:tr>
      <w:tr>
        <w:trPr>
          <w:trHeight w:val="20"/>
        </w:trPr>
        <w:tc>
          <w:tcPr>
            <w:tcW w:w="56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332"/>
        </w:trPr>
        <w:tc>
          <w:tcPr>
            <w:tcW w:w="5620" w:type="dxa"/>
            <w:vAlign w:val="bottom"/>
          </w:tcPr>
          <w:p>
            <w:pPr>
              <w:spacing w:after="0"/>
              <w:rPr>
                <w:sz w:val="20"/>
                <w:szCs w:val="20"/>
                <w:color w:val="auto"/>
              </w:rPr>
            </w:pPr>
            <w:r>
              <w:rPr>
                <w:rFonts w:ascii="Arial" w:cs="Arial" w:eastAsia="Arial" w:hAnsi="Arial"/>
                <w:sz w:val="14"/>
                <w:szCs w:val="14"/>
                <w:color w:val="auto"/>
              </w:rPr>
              <w:t>Diluted weighted average common shares</w:t>
            </w: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71,877</w:t>
            </w:r>
          </w:p>
        </w:tc>
        <w:tc>
          <w:tcPr>
            <w:tcW w:w="1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71,816</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71,970</w:t>
            </w:r>
          </w:p>
        </w:tc>
        <w:tc>
          <w:tcPr>
            <w:tcW w:w="1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71,791</w:t>
            </w:r>
          </w:p>
        </w:tc>
      </w:tr>
      <w:tr>
        <w:trPr>
          <w:trHeight w:val="20"/>
        </w:trPr>
        <w:tc>
          <w:tcPr>
            <w:tcW w:w="56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91"/>
        </w:trPr>
        <w:tc>
          <w:tcPr>
            <w:tcW w:w="56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r>
      <w:tr>
        <w:trPr>
          <w:trHeight w:val="21"/>
        </w:trPr>
        <w:tc>
          <w:tcPr>
            <w:tcW w:w="562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104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400" w:type="dxa"/>
            <w:vAlign w:val="bottom"/>
            <w:tcBorders>
              <w:bottom w:val="single" w:sz="8" w:color="EEEEEE"/>
            </w:tcBorders>
          </w:tcPr>
          <w:p>
            <w:pPr>
              <w:spacing w:after="0" w:line="20" w:lineRule="exact"/>
              <w:rPr>
                <w:sz w:val="1"/>
                <w:szCs w:val="1"/>
                <w:color w:val="auto"/>
              </w:rPr>
            </w:pPr>
          </w:p>
        </w:tc>
        <w:tc>
          <w:tcPr>
            <w:tcW w:w="90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104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480" w:type="dxa"/>
            <w:vAlign w:val="bottom"/>
            <w:tcBorders>
              <w:bottom w:val="single" w:sz="8" w:color="EEEEEE"/>
            </w:tcBorders>
          </w:tcPr>
          <w:p>
            <w:pPr>
              <w:spacing w:after="0" w:line="20" w:lineRule="exact"/>
              <w:rPr>
                <w:sz w:val="1"/>
                <w:szCs w:val="1"/>
                <w:color w:val="auto"/>
              </w:rPr>
            </w:pPr>
          </w:p>
        </w:tc>
        <w:tc>
          <w:tcPr>
            <w:tcW w:w="9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4"/>
          <w:szCs w:val="14"/>
          <w:b w:val="1"/>
          <w:bCs w:val="1"/>
          <w:color w:val="auto"/>
        </w:rPr>
        <w:t>WORLD FUEL SERVICES CORPORATION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BALANCE SHEETS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 -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7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3"/>
          </w:tcPr>
          <w:p>
            <w:pPr>
              <w:ind w:left="1360"/>
              <w:spacing w:after="0"/>
              <w:rPr>
                <w:sz w:val="20"/>
                <w:szCs w:val="20"/>
                <w:color w:val="auto"/>
              </w:rPr>
            </w:pPr>
            <w:r>
              <w:rPr>
                <w:rFonts w:ascii="Arial" w:cs="Arial" w:eastAsia="Arial" w:hAnsi="Arial"/>
                <w:sz w:val="14"/>
                <w:szCs w:val="14"/>
                <w:color w:val="auto"/>
              </w:rPr>
              <w:t>As of</w:t>
            </w:r>
          </w:p>
        </w:tc>
        <w:tc>
          <w:tcPr>
            <w:tcW w:w="2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7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00" w:type="dxa"/>
            <w:vAlign w:val="bottom"/>
            <w:gridSpan w:val="3"/>
          </w:tcPr>
          <w:p>
            <w:pPr>
              <w:ind w:left="140"/>
              <w:spacing w:after="0"/>
              <w:rPr>
                <w:sz w:val="20"/>
                <w:szCs w:val="20"/>
                <w:color w:val="auto"/>
              </w:rPr>
            </w:pPr>
            <w:r>
              <w:rPr>
                <w:rFonts w:ascii="Arial" w:cs="Arial" w:eastAsia="Arial" w:hAnsi="Arial"/>
                <w:sz w:val="14"/>
                <w:szCs w:val="14"/>
                <w:color w:val="auto"/>
              </w:rPr>
              <w:t>September 30,</w:t>
            </w:r>
          </w:p>
        </w:tc>
        <w:tc>
          <w:tcPr>
            <w:tcW w:w="240" w:type="dxa"/>
            <w:vAlign w:val="bottom"/>
          </w:tcPr>
          <w:p>
            <w:pPr>
              <w:spacing w:after="0"/>
              <w:rPr>
                <w:sz w:val="14"/>
                <w:szCs w:val="14"/>
                <w:color w:val="auto"/>
              </w:rPr>
            </w:pPr>
          </w:p>
        </w:tc>
        <w:tc>
          <w:tcPr>
            <w:tcW w:w="1440" w:type="dxa"/>
            <w:vAlign w:val="bottom"/>
          </w:tcPr>
          <w:p>
            <w:pPr>
              <w:jc w:val="right"/>
              <w:ind w:right="408"/>
              <w:spacing w:after="0"/>
              <w:rPr>
                <w:sz w:val="20"/>
                <w:szCs w:val="20"/>
                <w:color w:val="auto"/>
              </w:rPr>
            </w:pPr>
            <w:r>
              <w:rPr>
                <w:rFonts w:ascii="Arial" w:cs="Arial" w:eastAsia="Arial" w:hAnsi="Arial"/>
                <w:sz w:val="14"/>
                <w:szCs w:val="14"/>
                <w:color w:val="auto"/>
              </w:rPr>
              <w:t>December 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77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color w:val="auto"/>
              </w:rPr>
              <w:t>2013</w:t>
            </w: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color w:val="auto"/>
              </w:rPr>
              <w:t>2012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9"/>
        </w:trPr>
        <w:tc>
          <w:tcPr>
            <w:tcW w:w="7700" w:type="dxa"/>
            <w:vAlign w:val="bottom"/>
          </w:tcPr>
          <w:p>
            <w:pPr>
              <w:spacing w:after="0"/>
              <w:rPr>
                <w:sz w:val="20"/>
                <w:szCs w:val="20"/>
                <w:color w:val="auto"/>
              </w:rPr>
            </w:pPr>
            <w:r>
              <w:rPr>
                <w:rFonts w:ascii="Arial" w:cs="Arial" w:eastAsia="Arial" w:hAnsi="Arial"/>
                <w:sz w:val="14"/>
                <w:szCs w:val="14"/>
                <w:color w:val="auto"/>
              </w:rPr>
              <w:t>Assets:</w:t>
            </w:r>
          </w:p>
        </w:tc>
        <w:tc>
          <w:tcPr>
            <w:tcW w:w="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7700" w:type="dxa"/>
            <w:vAlign w:val="bottom"/>
          </w:tcPr>
          <w:p>
            <w:pPr>
              <w:spacing w:after="0"/>
              <w:rPr>
                <w:sz w:val="20"/>
                <w:szCs w:val="20"/>
                <w:color w:val="auto"/>
              </w:rPr>
            </w:pPr>
            <w:r>
              <w:rPr>
                <w:rFonts w:ascii="Arial" w:cs="Arial" w:eastAsia="Arial" w:hAnsi="Arial"/>
                <w:sz w:val="14"/>
                <w:szCs w:val="14"/>
                <w:color w:val="auto"/>
              </w:rPr>
              <w:t>Current assets:</w:t>
            </w:r>
          </w:p>
        </w:tc>
        <w:tc>
          <w:tcPr>
            <w:tcW w:w="3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00" w:type="dxa"/>
            <w:vAlign w:val="bottom"/>
          </w:tcPr>
          <w:p>
            <w:pPr>
              <w:ind w:left="220"/>
              <w:spacing w:after="0"/>
              <w:rPr>
                <w:sz w:val="20"/>
                <w:szCs w:val="20"/>
                <w:color w:val="auto"/>
              </w:rPr>
            </w:pPr>
            <w:r>
              <w:rPr>
                <w:rFonts w:ascii="Arial" w:cs="Arial" w:eastAsia="Arial" w:hAnsi="Arial"/>
                <w:sz w:val="14"/>
                <w:szCs w:val="14"/>
                <w:color w:val="auto"/>
              </w:rPr>
              <w:t>Cash and cash equivalents</w:t>
            </w:r>
          </w:p>
        </w:tc>
        <w:tc>
          <w:tcPr>
            <w:tcW w:w="3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600" w:type="dxa"/>
            <w:vAlign w:val="bottom"/>
            <w:gridSpan w:val="2"/>
          </w:tcPr>
          <w:p>
            <w:pPr>
              <w:jc w:val="right"/>
              <w:ind w:right="140"/>
              <w:spacing w:after="0"/>
              <w:rPr>
                <w:sz w:val="20"/>
                <w:szCs w:val="20"/>
                <w:color w:val="auto"/>
              </w:rPr>
            </w:pPr>
            <w:r>
              <w:rPr>
                <w:rFonts w:ascii="Arial" w:cs="Arial" w:eastAsia="Arial" w:hAnsi="Arial"/>
                <w:sz w:val="14"/>
                <w:szCs w:val="14"/>
                <w:color w:val="auto"/>
              </w:rPr>
              <w:t>333,223</w:t>
            </w:r>
          </w:p>
        </w:tc>
        <w:tc>
          <w:tcPr>
            <w:tcW w:w="100" w:type="dxa"/>
            <w:vAlign w:val="bottom"/>
          </w:tcPr>
          <w:p>
            <w:pPr>
              <w:spacing w:after="0"/>
              <w:rPr>
                <w:sz w:val="15"/>
                <w:szCs w:val="15"/>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20"/>
              <w:spacing w:after="0"/>
              <w:rPr>
                <w:sz w:val="20"/>
                <w:szCs w:val="20"/>
                <w:color w:val="auto"/>
              </w:rPr>
            </w:pPr>
            <w:r>
              <w:rPr>
                <w:rFonts w:ascii="Arial" w:cs="Arial" w:eastAsia="Arial" w:hAnsi="Arial"/>
                <w:sz w:val="14"/>
                <w:szCs w:val="14"/>
                <w:color w:val="auto"/>
              </w:rPr>
              <w:t>172,740</w:t>
            </w:r>
          </w:p>
        </w:tc>
        <w:tc>
          <w:tcPr>
            <w:tcW w:w="0" w:type="dxa"/>
            <w:vAlign w:val="bottom"/>
          </w:tcPr>
          <w:p>
            <w:pPr>
              <w:spacing w:after="0"/>
              <w:rPr>
                <w:sz w:val="1"/>
                <w:szCs w:val="1"/>
                <w:color w:val="auto"/>
              </w:rPr>
            </w:pPr>
          </w:p>
        </w:tc>
      </w:tr>
      <w:tr>
        <w:trPr>
          <w:trHeight w:val="176"/>
        </w:trPr>
        <w:tc>
          <w:tcPr>
            <w:tcW w:w="7700" w:type="dxa"/>
            <w:vAlign w:val="bottom"/>
          </w:tcPr>
          <w:p>
            <w:pPr>
              <w:ind w:left="220"/>
              <w:spacing w:after="0"/>
              <w:rPr>
                <w:sz w:val="20"/>
                <w:szCs w:val="20"/>
                <w:color w:val="auto"/>
              </w:rPr>
            </w:pPr>
            <w:r>
              <w:rPr>
                <w:rFonts w:ascii="Arial" w:cs="Arial" w:eastAsia="Arial" w:hAnsi="Arial"/>
                <w:sz w:val="14"/>
                <w:szCs w:val="14"/>
                <w:color w:val="auto"/>
              </w:rPr>
              <w:t>Accounts receivable, net</w:t>
            </w:r>
          </w:p>
        </w:tc>
        <w:tc>
          <w:tcPr>
            <w:tcW w:w="3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2,514,683</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4"/>
                <w:szCs w:val="14"/>
                <w:color w:val="auto"/>
              </w:rPr>
              <w:t>2,193,866</w:t>
            </w:r>
          </w:p>
        </w:tc>
        <w:tc>
          <w:tcPr>
            <w:tcW w:w="0" w:type="dxa"/>
            <w:vAlign w:val="bottom"/>
          </w:tcPr>
          <w:p>
            <w:pPr>
              <w:spacing w:after="0"/>
              <w:rPr>
                <w:sz w:val="1"/>
                <w:szCs w:val="1"/>
                <w:color w:val="auto"/>
              </w:rPr>
            </w:pPr>
          </w:p>
        </w:tc>
      </w:tr>
      <w:tr>
        <w:trPr>
          <w:trHeight w:val="176"/>
        </w:trPr>
        <w:tc>
          <w:tcPr>
            <w:tcW w:w="7700" w:type="dxa"/>
            <w:vAlign w:val="bottom"/>
          </w:tcPr>
          <w:p>
            <w:pPr>
              <w:ind w:left="220"/>
              <w:spacing w:after="0"/>
              <w:rPr>
                <w:sz w:val="20"/>
                <w:szCs w:val="20"/>
                <w:color w:val="auto"/>
              </w:rPr>
            </w:pPr>
            <w:r>
              <w:rPr>
                <w:rFonts w:ascii="Arial" w:cs="Arial" w:eastAsia="Arial" w:hAnsi="Arial"/>
                <w:sz w:val="14"/>
                <w:szCs w:val="14"/>
                <w:color w:val="auto"/>
              </w:rPr>
              <w:t>Inventories</w:t>
            </w:r>
          </w:p>
        </w:tc>
        <w:tc>
          <w:tcPr>
            <w:tcW w:w="340" w:type="dxa"/>
            <w:vAlign w:val="bottom"/>
          </w:tcPr>
          <w:p>
            <w:pPr>
              <w:spacing w:after="0"/>
              <w:rPr>
                <w:sz w:val="15"/>
                <w:szCs w:val="15"/>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4"/>
                <w:szCs w:val="14"/>
                <w:color w:val="auto"/>
              </w:rPr>
              <w:t>614,293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4"/>
                <w:szCs w:val="14"/>
                <w:color w:val="auto"/>
              </w:rPr>
              <w:t>572,313</w:t>
            </w:r>
          </w:p>
        </w:tc>
        <w:tc>
          <w:tcPr>
            <w:tcW w:w="0" w:type="dxa"/>
            <w:vAlign w:val="bottom"/>
          </w:tcPr>
          <w:p>
            <w:pPr>
              <w:spacing w:after="0"/>
              <w:rPr>
                <w:sz w:val="1"/>
                <w:szCs w:val="1"/>
                <w:color w:val="auto"/>
              </w:rPr>
            </w:pPr>
          </w:p>
        </w:tc>
      </w:tr>
      <w:tr>
        <w:trPr>
          <w:trHeight w:val="181"/>
        </w:trPr>
        <w:tc>
          <w:tcPr>
            <w:tcW w:w="7700" w:type="dxa"/>
            <w:vAlign w:val="bottom"/>
          </w:tcPr>
          <w:p>
            <w:pPr>
              <w:ind w:left="220"/>
              <w:spacing w:after="0"/>
              <w:rPr>
                <w:sz w:val="20"/>
                <w:szCs w:val="20"/>
                <w:color w:val="auto"/>
              </w:rPr>
            </w:pPr>
            <w:r>
              <w:rPr>
                <w:rFonts w:ascii="Arial" w:cs="Arial" w:eastAsia="Arial" w:hAnsi="Arial"/>
                <w:sz w:val="14"/>
                <w:szCs w:val="14"/>
                <w:color w:val="auto"/>
              </w:rPr>
              <w:t>Prepaid expenses and other current assets</w:t>
            </w:r>
          </w:p>
        </w:tc>
        <w:tc>
          <w:tcPr>
            <w:tcW w:w="340" w:type="dxa"/>
            <w:vAlign w:val="bottom"/>
          </w:tcPr>
          <w:p>
            <w:pPr>
              <w:spacing w:after="0"/>
              <w:rPr>
                <w:sz w:val="15"/>
                <w:szCs w:val="15"/>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4"/>
                <w:szCs w:val="14"/>
                <w:color w:val="auto"/>
              </w:rPr>
              <w:t>313,590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4"/>
                <w:szCs w:val="14"/>
                <w:color w:val="auto"/>
              </w:rPr>
              <w:t>342,458</w:t>
            </w:r>
          </w:p>
        </w:tc>
        <w:tc>
          <w:tcPr>
            <w:tcW w:w="0" w:type="dxa"/>
            <w:vAlign w:val="bottom"/>
          </w:tcPr>
          <w:p>
            <w:pPr>
              <w:spacing w:after="0"/>
              <w:rPr>
                <w:sz w:val="1"/>
                <w:szCs w:val="1"/>
                <w:color w:val="auto"/>
              </w:rPr>
            </w:pPr>
          </w:p>
        </w:tc>
      </w:tr>
      <w:tr>
        <w:trPr>
          <w:trHeight w:val="346"/>
        </w:trPr>
        <w:tc>
          <w:tcPr>
            <w:tcW w:w="7700" w:type="dxa"/>
            <w:vAlign w:val="bottom"/>
          </w:tcPr>
          <w:p>
            <w:pPr>
              <w:ind w:left="420"/>
              <w:spacing w:after="0"/>
              <w:rPr>
                <w:sz w:val="20"/>
                <w:szCs w:val="20"/>
                <w:color w:val="auto"/>
              </w:rPr>
            </w:pPr>
            <w:r>
              <w:rPr>
                <w:rFonts w:ascii="Arial" w:cs="Arial" w:eastAsia="Arial" w:hAnsi="Arial"/>
                <w:sz w:val="14"/>
                <w:szCs w:val="14"/>
                <w:color w:val="auto"/>
              </w:rPr>
              <w:t>Total current assets</w:t>
            </w:r>
          </w:p>
        </w:tc>
        <w:tc>
          <w:tcPr>
            <w:tcW w:w="34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3,775,789</w:t>
            </w:r>
          </w:p>
        </w:tc>
        <w:tc>
          <w:tcPr>
            <w:tcW w:w="1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3,281,377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7700" w:type="dxa"/>
            <w:vAlign w:val="bottom"/>
          </w:tcPr>
          <w:p>
            <w:pPr>
              <w:spacing w:after="0"/>
              <w:rPr>
                <w:sz w:val="20"/>
                <w:szCs w:val="20"/>
                <w:color w:val="auto"/>
              </w:rPr>
            </w:pPr>
            <w:r>
              <w:rPr>
                <w:rFonts w:ascii="Arial" w:cs="Arial" w:eastAsia="Arial" w:hAnsi="Arial"/>
                <w:sz w:val="14"/>
                <w:szCs w:val="14"/>
                <w:color w:val="auto"/>
              </w:rPr>
              <w:t>Property and equipment, net</w:t>
            </w:r>
          </w:p>
        </w:tc>
        <w:tc>
          <w:tcPr>
            <w:tcW w:w="340" w:type="dxa"/>
            <w:vAlign w:val="bottom"/>
          </w:tcPr>
          <w:p>
            <w:pPr>
              <w:spacing w:after="0"/>
              <w:rPr>
                <w:sz w:val="24"/>
                <w:szCs w:val="24"/>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4"/>
                <w:szCs w:val="14"/>
                <w:color w:val="auto"/>
              </w:rPr>
              <w:t>153,013</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4"/>
                <w:szCs w:val="14"/>
                <w:color w:val="auto"/>
              </w:rPr>
              <w:t>112,525</w:t>
            </w:r>
          </w:p>
        </w:tc>
        <w:tc>
          <w:tcPr>
            <w:tcW w:w="0" w:type="dxa"/>
            <w:vAlign w:val="bottom"/>
          </w:tcPr>
          <w:p>
            <w:pPr>
              <w:spacing w:after="0"/>
              <w:rPr>
                <w:sz w:val="1"/>
                <w:szCs w:val="1"/>
                <w:color w:val="auto"/>
              </w:rPr>
            </w:pPr>
          </w:p>
        </w:tc>
      </w:tr>
      <w:tr>
        <w:trPr>
          <w:trHeight w:val="350"/>
        </w:trPr>
        <w:tc>
          <w:tcPr>
            <w:tcW w:w="7700" w:type="dxa"/>
            <w:vAlign w:val="bottom"/>
          </w:tcPr>
          <w:p>
            <w:pPr>
              <w:spacing w:after="0"/>
              <w:rPr>
                <w:sz w:val="20"/>
                <w:szCs w:val="20"/>
                <w:color w:val="auto"/>
              </w:rPr>
            </w:pPr>
            <w:r>
              <w:rPr>
                <w:rFonts w:ascii="Arial" w:cs="Arial" w:eastAsia="Arial" w:hAnsi="Arial"/>
                <w:sz w:val="14"/>
                <w:szCs w:val="14"/>
                <w:color w:val="auto"/>
              </w:rPr>
              <w:t>Goodwill, identifiable intangible and other non-current assets</w:t>
            </w:r>
          </w:p>
        </w:tc>
        <w:tc>
          <w:tcPr>
            <w:tcW w:w="340" w:type="dxa"/>
            <w:vAlign w:val="bottom"/>
          </w:tcPr>
          <w:p>
            <w:pPr>
              <w:spacing w:after="0"/>
              <w:rPr>
                <w:sz w:val="24"/>
                <w:szCs w:val="24"/>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4"/>
                <w:szCs w:val="14"/>
                <w:color w:val="auto"/>
              </w:rPr>
              <w:t>727,598</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4"/>
                <w:szCs w:val="14"/>
                <w:color w:val="auto"/>
              </w:rPr>
              <w:t>713,849</w:t>
            </w:r>
          </w:p>
        </w:tc>
        <w:tc>
          <w:tcPr>
            <w:tcW w:w="0" w:type="dxa"/>
            <w:vAlign w:val="bottom"/>
          </w:tcPr>
          <w:p>
            <w:pPr>
              <w:spacing w:after="0"/>
              <w:rPr>
                <w:sz w:val="1"/>
                <w:szCs w:val="1"/>
                <w:color w:val="auto"/>
              </w:rPr>
            </w:pPr>
          </w:p>
        </w:tc>
      </w:tr>
      <w:tr>
        <w:trPr>
          <w:trHeight w:val="345"/>
        </w:trPr>
        <w:tc>
          <w:tcPr>
            <w:tcW w:w="7700" w:type="dxa"/>
            <w:vAlign w:val="bottom"/>
          </w:tcPr>
          <w:p>
            <w:pPr>
              <w:ind w:left="680"/>
              <w:spacing w:after="0"/>
              <w:rPr>
                <w:sz w:val="20"/>
                <w:szCs w:val="20"/>
                <w:color w:val="auto"/>
              </w:rPr>
            </w:pPr>
            <w:r>
              <w:rPr>
                <w:rFonts w:ascii="Arial" w:cs="Arial" w:eastAsia="Arial" w:hAnsi="Arial"/>
                <w:sz w:val="14"/>
                <w:szCs w:val="14"/>
                <w:color w:val="auto"/>
              </w:rPr>
              <w:t>Total assets</w:t>
            </w:r>
          </w:p>
        </w:tc>
        <w:tc>
          <w:tcPr>
            <w:tcW w:w="3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4,656,400</w:t>
            </w:r>
          </w:p>
        </w:tc>
        <w:tc>
          <w:tcPr>
            <w:tcW w:w="140" w:type="dxa"/>
            <w:vAlign w:val="bottom"/>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4,107,751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700" w:type="dxa"/>
            <w:vAlign w:val="bottom"/>
            <w:vMerge w:val="restart"/>
          </w:tcPr>
          <w:p>
            <w:pPr>
              <w:spacing w:after="0"/>
              <w:rPr>
                <w:sz w:val="20"/>
                <w:szCs w:val="20"/>
                <w:color w:val="auto"/>
              </w:rPr>
            </w:pPr>
            <w:r>
              <w:rPr>
                <w:rFonts w:ascii="Arial" w:cs="Arial" w:eastAsia="Arial" w:hAnsi="Arial"/>
                <w:sz w:val="14"/>
                <w:szCs w:val="14"/>
                <w:color w:val="auto"/>
              </w:rPr>
              <w:t>Liabilities and equity:</w:t>
            </w:r>
          </w:p>
        </w:tc>
        <w:tc>
          <w:tcPr>
            <w:tcW w:w="3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77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7700" w:type="dxa"/>
            <w:vAlign w:val="bottom"/>
          </w:tcPr>
          <w:p>
            <w:pPr>
              <w:spacing w:after="0"/>
              <w:rPr>
                <w:sz w:val="20"/>
                <w:szCs w:val="20"/>
                <w:color w:val="auto"/>
              </w:rPr>
            </w:pPr>
            <w:r>
              <w:rPr>
                <w:rFonts w:ascii="Arial" w:cs="Arial" w:eastAsia="Arial" w:hAnsi="Arial"/>
                <w:sz w:val="14"/>
                <w:szCs w:val="14"/>
                <w:color w:val="auto"/>
              </w:rPr>
              <w:t>Liabilities:</w:t>
            </w:r>
          </w:p>
        </w:tc>
        <w:tc>
          <w:tcPr>
            <w:tcW w:w="3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00" w:type="dxa"/>
            <w:vAlign w:val="bottom"/>
          </w:tcPr>
          <w:p>
            <w:pPr>
              <w:spacing w:after="0"/>
              <w:rPr>
                <w:sz w:val="20"/>
                <w:szCs w:val="20"/>
                <w:color w:val="auto"/>
              </w:rPr>
            </w:pPr>
            <w:r>
              <w:rPr>
                <w:rFonts w:ascii="Arial" w:cs="Arial" w:eastAsia="Arial" w:hAnsi="Arial"/>
                <w:sz w:val="14"/>
                <w:szCs w:val="14"/>
                <w:color w:val="auto"/>
              </w:rPr>
              <w:t>Current liabilities:</w:t>
            </w:r>
          </w:p>
        </w:tc>
        <w:tc>
          <w:tcPr>
            <w:tcW w:w="3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00" w:type="dxa"/>
            <w:vAlign w:val="bottom"/>
          </w:tcPr>
          <w:p>
            <w:pPr>
              <w:ind w:left="220"/>
              <w:spacing w:after="0"/>
              <w:rPr>
                <w:sz w:val="20"/>
                <w:szCs w:val="20"/>
                <w:color w:val="auto"/>
              </w:rPr>
            </w:pPr>
            <w:r>
              <w:rPr>
                <w:rFonts w:ascii="Arial" w:cs="Arial" w:eastAsia="Arial" w:hAnsi="Arial"/>
                <w:sz w:val="14"/>
                <w:szCs w:val="14"/>
                <w:color w:val="auto"/>
              </w:rPr>
              <w:t>Short-term debt</w:t>
            </w:r>
          </w:p>
        </w:tc>
        <w:tc>
          <w:tcPr>
            <w:tcW w:w="3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600" w:type="dxa"/>
            <w:vAlign w:val="bottom"/>
            <w:gridSpan w:val="2"/>
          </w:tcPr>
          <w:p>
            <w:pPr>
              <w:jc w:val="right"/>
              <w:ind w:right="140"/>
              <w:spacing w:after="0"/>
              <w:rPr>
                <w:sz w:val="20"/>
                <w:szCs w:val="20"/>
                <w:color w:val="auto"/>
              </w:rPr>
            </w:pPr>
            <w:r>
              <w:rPr>
                <w:rFonts w:ascii="Arial" w:cs="Arial" w:eastAsia="Arial" w:hAnsi="Arial"/>
                <w:sz w:val="14"/>
                <w:szCs w:val="14"/>
                <w:color w:val="auto"/>
              </w:rPr>
              <w:t>28,642</w:t>
            </w:r>
          </w:p>
        </w:tc>
        <w:tc>
          <w:tcPr>
            <w:tcW w:w="100" w:type="dxa"/>
            <w:vAlign w:val="bottom"/>
          </w:tcPr>
          <w:p>
            <w:pPr>
              <w:spacing w:after="0"/>
              <w:rPr>
                <w:sz w:val="15"/>
                <w:szCs w:val="15"/>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20"/>
              <w:spacing w:after="0"/>
              <w:rPr>
                <w:sz w:val="20"/>
                <w:szCs w:val="20"/>
                <w:color w:val="auto"/>
              </w:rPr>
            </w:pPr>
            <w:r>
              <w:rPr>
                <w:rFonts w:ascii="Arial" w:cs="Arial" w:eastAsia="Arial" w:hAnsi="Arial"/>
                <w:sz w:val="14"/>
                <w:szCs w:val="14"/>
                <w:color w:val="auto"/>
              </w:rPr>
              <w:t>26,065</w:t>
            </w:r>
          </w:p>
        </w:tc>
        <w:tc>
          <w:tcPr>
            <w:tcW w:w="0" w:type="dxa"/>
            <w:vAlign w:val="bottom"/>
          </w:tcPr>
          <w:p>
            <w:pPr>
              <w:spacing w:after="0"/>
              <w:rPr>
                <w:sz w:val="1"/>
                <w:szCs w:val="1"/>
                <w:color w:val="auto"/>
              </w:rPr>
            </w:pPr>
          </w:p>
        </w:tc>
      </w:tr>
      <w:tr>
        <w:trPr>
          <w:trHeight w:val="176"/>
        </w:trPr>
        <w:tc>
          <w:tcPr>
            <w:tcW w:w="7700" w:type="dxa"/>
            <w:vAlign w:val="bottom"/>
          </w:tcPr>
          <w:p>
            <w:pPr>
              <w:ind w:left="220"/>
              <w:spacing w:after="0"/>
              <w:rPr>
                <w:sz w:val="20"/>
                <w:szCs w:val="20"/>
                <w:color w:val="auto"/>
              </w:rPr>
            </w:pPr>
            <w:r>
              <w:rPr>
                <w:rFonts w:ascii="Arial" w:cs="Arial" w:eastAsia="Arial" w:hAnsi="Arial"/>
                <w:sz w:val="14"/>
                <w:szCs w:val="14"/>
                <w:color w:val="auto"/>
              </w:rPr>
              <w:t>Accounts payable</w:t>
            </w:r>
          </w:p>
        </w:tc>
        <w:tc>
          <w:tcPr>
            <w:tcW w:w="3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2,154,129</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4"/>
                <w:szCs w:val="14"/>
                <w:color w:val="auto"/>
              </w:rPr>
              <w:t>1,814,794</w:t>
            </w:r>
          </w:p>
        </w:tc>
        <w:tc>
          <w:tcPr>
            <w:tcW w:w="0" w:type="dxa"/>
            <w:vAlign w:val="bottom"/>
          </w:tcPr>
          <w:p>
            <w:pPr>
              <w:spacing w:after="0"/>
              <w:rPr>
                <w:sz w:val="1"/>
                <w:szCs w:val="1"/>
                <w:color w:val="auto"/>
              </w:rPr>
            </w:pPr>
          </w:p>
        </w:tc>
      </w:tr>
      <w:tr>
        <w:trPr>
          <w:trHeight w:val="181"/>
        </w:trPr>
        <w:tc>
          <w:tcPr>
            <w:tcW w:w="7700" w:type="dxa"/>
            <w:vAlign w:val="bottom"/>
          </w:tcPr>
          <w:p>
            <w:pPr>
              <w:ind w:left="220"/>
              <w:spacing w:after="0"/>
              <w:rPr>
                <w:sz w:val="20"/>
                <w:szCs w:val="20"/>
                <w:color w:val="auto"/>
              </w:rPr>
            </w:pPr>
            <w:r>
              <w:rPr>
                <w:rFonts w:ascii="Arial" w:cs="Arial" w:eastAsia="Arial" w:hAnsi="Arial"/>
                <w:sz w:val="14"/>
                <w:szCs w:val="14"/>
                <w:color w:val="auto"/>
              </w:rPr>
              <w:t>Accrued expenses and other current liabilities</w:t>
            </w:r>
          </w:p>
        </w:tc>
        <w:tc>
          <w:tcPr>
            <w:tcW w:w="340" w:type="dxa"/>
            <w:vAlign w:val="bottom"/>
          </w:tcPr>
          <w:p>
            <w:pPr>
              <w:spacing w:after="0"/>
              <w:rPr>
                <w:sz w:val="15"/>
                <w:szCs w:val="15"/>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4"/>
                <w:szCs w:val="14"/>
                <w:color w:val="auto"/>
              </w:rPr>
              <w:t>302,875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4"/>
                <w:szCs w:val="14"/>
                <w:color w:val="auto"/>
              </w:rPr>
              <w:t>308,439</w:t>
            </w:r>
          </w:p>
        </w:tc>
        <w:tc>
          <w:tcPr>
            <w:tcW w:w="0" w:type="dxa"/>
            <w:vAlign w:val="bottom"/>
          </w:tcPr>
          <w:p>
            <w:pPr>
              <w:spacing w:after="0"/>
              <w:rPr>
                <w:sz w:val="1"/>
                <w:szCs w:val="1"/>
                <w:color w:val="auto"/>
              </w:rPr>
            </w:pPr>
          </w:p>
        </w:tc>
      </w:tr>
      <w:tr>
        <w:trPr>
          <w:trHeight w:val="346"/>
        </w:trPr>
        <w:tc>
          <w:tcPr>
            <w:tcW w:w="7700" w:type="dxa"/>
            <w:vAlign w:val="bottom"/>
          </w:tcPr>
          <w:p>
            <w:pPr>
              <w:ind w:left="420"/>
              <w:spacing w:after="0"/>
              <w:rPr>
                <w:sz w:val="20"/>
                <w:szCs w:val="20"/>
                <w:color w:val="auto"/>
              </w:rPr>
            </w:pPr>
            <w:r>
              <w:rPr>
                <w:rFonts w:ascii="Arial" w:cs="Arial" w:eastAsia="Arial" w:hAnsi="Arial"/>
                <w:sz w:val="14"/>
                <w:szCs w:val="14"/>
                <w:color w:val="auto"/>
              </w:rPr>
              <w:t>Total current liabilities</w:t>
            </w:r>
          </w:p>
        </w:tc>
        <w:tc>
          <w:tcPr>
            <w:tcW w:w="34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2,485,646</w:t>
            </w:r>
          </w:p>
        </w:tc>
        <w:tc>
          <w:tcPr>
            <w:tcW w:w="1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2,149,298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7700" w:type="dxa"/>
            <w:vAlign w:val="bottom"/>
          </w:tcPr>
          <w:p>
            <w:pPr>
              <w:spacing w:after="0"/>
              <w:rPr>
                <w:sz w:val="20"/>
                <w:szCs w:val="20"/>
                <w:color w:val="auto"/>
              </w:rPr>
            </w:pPr>
            <w:r>
              <w:rPr>
                <w:rFonts w:ascii="Arial" w:cs="Arial" w:eastAsia="Arial" w:hAnsi="Arial"/>
                <w:sz w:val="14"/>
                <w:szCs w:val="14"/>
                <w:color w:val="auto"/>
              </w:rPr>
              <w:t>Long-term debt</w:t>
            </w:r>
          </w:p>
        </w:tc>
        <w:tc>
          <w:tcPr>
            <w:tcW w:w="340" w:type="dxa"/>
            <w:vAlign w:val="bottom"/>
          </w:tcPr>
          <w:p>
            <w:pPr>
              <w:spacing w:after="0"/>
              <w:rPr>
                <w:sz w:val="24"/>
                <w:szCs w:val="24"/>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4"/>
                <w:szCs w:val="14"/>
                <w:color w:val="auto"/>
              </w:rPr>
              <w:t>430,003</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4"/>
                <w:szCs w:val="14"/>
                <w:color w:val="auto"/>
              </w:rPr>
              <w:t>354,253</w:t>
            </w:r>
          </w:p>
        </w:tc>
        <w:tc>
          <w:tcPr>
            <w:tcW w:w="0" w:type="dxa"/>
            <w:vAlign w:val="bottom"/>
          </w:tcPr>
          <w:p>
            <w:pPr>
              <w:spacing w:after="0"/>
              <w:rPr>
                <w:sz w:val="1"/>
                <w:szCs w:val="1"/>
                <w:color w:val="auto"/>
              </w:rPr>
            </w:pPr>
          </w:p>
        </w:tc>
      </w:tr>
      <w:tr>
        <w:trPr>
          <w:trHeight w:val="181"/>
        </w:trPr>
        <w:tc>
          <w:tcPr>
            <w:tcW w:w="7700" w:type="dxa"/>
            <w:vAlign w:val="bottom"/>
          </w:tcPr>
          <w:p>
            <w:pPr>
              <w:spacing w:after="0"/>
              <w:rPr>
                <w:sz w:val="20"/>
                <w:szCs w:val="20"/>
                <w:color w:val="auto"/>
              </w:rPr>
            </w:pPr>
            <w:r>
              <w:rPr>
                <w:rFonts w:ascii="Arial" w:cs="Arial" w:eastAsia="Arial" w:hAnsi="Arial"/>
                <w:sz w:val="14"/>
                <w:szCs w:val="14"/>
                <w:color w:val="auto"/>
              </w:rPr>
              <w:t>Other long-term liabilities</w:t>
            </w:r>
          </w:p>
        </w:tc>
        <w:tc>
          <w:tcPr>
            <w:tcW w:w="340" w:type="dxa"/>
            <w:vAlign w:val="bottom"/>
          </w:tcPr>
          <w:p>
            <w:pPr>
              <w:spacing w:after="0"/>
              <w:rPr>
                <w:sz w:val="15"/>
                <w:szCs w:val="15"/>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4"/>
                <w:szCs w:val="14"/>
                <w:color w:val="auto"/>
              </w:rPr>
              <w:t>78,495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4"/>
                <w:szCs w:val="14"/>
                <w:color w:val="auto"/>
              </w:rPr>
              <w:t>62,576</w:t>
            </w:r>
          </w:p>
        </w:tc>
        <w:tc>
          <w:tcPr>
            <w:tcW w:w="0" w:type="dxa"/>
            <w:vAlign w:val="bottom"/>
          </w:tcPr>
          <w:p>
            <w:pPr>
              <w:spacing w:after="0"/>
              <w:rPr>
                <w:sz w:val="1"/>
                <w:szCs w:val="1"/>
                <w:color w:val="auto"/>
              </w:rPr>
            </w:pPr>
          </w:p>
        </w:tc>
      </w:tr>
      <w:tr>
        <w:trPr>
          <w:trHeight w:val="169"/>
        </w:trPr>
        <w:tc>
          <w:tcPr>
            <w:tcW w:w="7700" w:type="dxa"/>
            <w:vAlign w:val="bottom"/>
          </w:tcPr>
          <w:p>
            <w:pPr>
              <w:ind w:left="680"/>
              <w:spacing w:after="0"/>
              <w:rPr>
                <w:sz w:val="20"/>
                <w:szCs w:val="20"/>
                <w:color w:val="auto"/>
              </w:rPr>
            </w:pPr>
            <w:r>
              <w:rPr>
                <w:rFonts w:ascii="Arial" w:cs="Arial" w:eastAsia="Arial" w:hAnsi="Arial"/>
                <w:sz w:val="14"/>
                <w:szCs w:val="14"/>
                <w:color w:val="auto"/>
              </w:rPr>
              <w:t>Total liabilities</w:t>
            </w:r>
          </w:p>
        </w:tc>
        <w:tc>
          <w:tcPr>
            <w:tcW w:w="340" w:type="dxa"/>
            <w:vAlign w:val="bottom"/>
            <w:tcBorders>
              <w:top w:val="single" w:sz="8" w:color="auto"/>
              <w:bottom w:val="single" w:sz="8" w:color="auto"/>
            </w:tcBorders>
          </w:tcPr>
          <w:p>
            <w:pPr>
              <w:spacing w:after="0"/>
              <w:rPr>
                <w:sz w:val="14"/>
                <w:szCs w:val="14"/>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2,994,144</w:t>
            </w:r>
          </w:p>
        </w:tc>
        <w:tc>
          <w:tcPr>
            <w:tcW w:w="14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2,566,127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9"/>
        </w:trPr>
        <w:tc>
          <w:tcPr>
            <w:tcW w:w="7700" w:type="dxa"/>
            <w:vAlign w:val="bottom"/>
          </w:tcPr>
          <w:p>
            <w:pPr>
              <w:spacing w:after="0"/>
              <w:rPr>
                <w:sz w:val="20"/>
                <w:szCs w:val="20"/>
                <w:color w:val="auto"/>
              </w:rPr>
            </w:pPr>
            <w:r>
              <w:rPr>
                <w:rFonts w:ascii="Arial" w:cs="Arial" w:eastAsia="Arial" w:hAnsi="Arial"/>
                <w:sz w:val="14"/>
                <w:szCs w:val="14"/>
                <w:color w:val="auto"/>
              </w:rPr>
              <w:t>Equity:</w:t>
            </w:r>
          </w:p>
        </w:tc>
        <w:tc>
          <w:tcPr>
            <w:tcW w:w="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7700" w:type="dxa"/>
            <w:vAlign w:val="bottom"/>
          </w:tcPr>
          <w:p>
            <w:pPr>
              <w:ind w:left="220"/>
              <w:spacing w:after="0"/>
              <w:rPr>
                <w:sz w:val="20"/>
                <w:szCs w:val="20"/>
                <w:color w:val="auto"/>
              </w:rPr>
            </w:pPr>
            <w:r>
              <w:rPr>
                <w:rFonts w:ascii="Arial" w:cs="Arial" w:eastAsia="Arial" w:hAnsi="Arial"/>
                <w:sz w:val="14"/>
                <w:szCs w:val="14"/>
                <w:color w:val="auto"/>
              </w:rPr>
              <w:t>World Fuel shareholders' equity</w:t>
            </w:r>
          </w:p>
        </w:tc>
        <w:tc>
          <w:tcPr>
            <w:tcW w:w="3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1,639,732</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4"/>
                <w:szCs w:val="14"/>
                <w:color w:val="auto"/>
              </w:rPr>
              <w:t>1,517,174</w:t>
            </w:r>
          </w:p>
        </w:tc>
        <w:tc>
          <w:tcPr>
            <w:tcW w:w="0" w:type="dxa"/>
            <w:vAlign w:val="bottom"/>
          </w:tcPr>
          <w:p>
            <w:pPr>
              <w:spacing w:after="0"/>
              <w:rPr>
                <w:sz w:val="1"/>
                <w:szCs w:val="1"/>
                <w:color w:val="auto"/>
              </w:rPr>
            </w:pPr>
          </w:p>
        </w:tc>
      </w:tr>
      <w:tr>
        <w:trPr>
          <w:trHeight w:val="181"/>
        </w:trPr>
        <w:tc>
          <w:tcPr>
            <w:tcW w:w="7700" w:type="dxa"/>
            <w:vAlign w:val="bottom"/>
          </w:tcPr>
          <w:p>
            <w:pPr>
              <w:ind w:left="220"/>
              <w:spacing w:after="0"/>
              <w:rPr>
                <w:sz w:val="20"/>
                <w:szCs w:val="20"/>
                <w:color w:val="auto"/>
              </w:rPr>
            </w:pPr>
            <w:r>
              <w:rPr>
                <w:rFonts w:ascii="Arial" w:cs="Arial" w:eastAsia="Arial" w:hAnsi="Arial"/>
                <w:sz w:val="14"/>
                <w:szCs w:val="14"/>
                <w:color w:val="auto"/>
              </w:rPr>
              <w:t>Noncontrolling interest equity</w:t>
            </w:r>
          </w:p>
        </w:tc>
        <w:tc>
          <w:tcPr>
            <w:tcW w:w="340" w:type="dxa"/>
            <w:vAlign w:val="bottom"/>
          </w:tcPr>
          <w:p>
            <w:pPr>
              <w:spacing w:after="0"/>
              <w:rPr>
                <w:sz w:val="15"/>
                <w:szCs w:val="15"/>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4"/>
                <w:szCs w:val="14"/>
                <w:color w:val="auto"/>
              </w:rPr>
              <w:t>22,524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4"/>
                <w:szCs w:val="14"/>
                <w:color w:val="auto"/>
              </w:rPr>
              <w:t>24,450</w:t>
            </w:r>
          </w:p>
        </w:tc>
        <w:tc>
          <w:tcPr>
            <w:tcW w:w="0" w:type="dxa"/>
            <w:vAlign w:val="bottom"/>
          </w:tcPr>
          <w:p>
            <w:pPr>
              <w:spacing w:after="0"/>
              <w:rPr>
                <w:sz w:val="1"/>
                <w:szCs w:val="1"/>
                <w:color w:val="auto"/>
              </w:rPr>
            </w:pPr>
          </w:p>
        </w:tc>
      </w:tr>
      <w:tr>
        <w:trPr>
          <w:trHeight w:val="169"/>
        </w:trPr>
        <w:tc>
          <w:tcPr>
            <w:tcW w:w="7700" w:type="dxa"/>
            <w:vAlign w:val="bottom"/>
          </w:tcPr>
          <w:p>
            <w:pPr>
              <w:ind w:left="680"/>
              <w:spacing w:after="0"/>
              <w:rPr>
                <w:sz w:val="20"/>
                <w:szCs w:val="20"/>
                <w:color w:val="auto"/>
              </w:rPr>
            </w:pPr>
            <w:r>
              <w:rPr>
                <w:rFonts w:ascii="Arial" w:cs="Arial" w:eastAsia="Arial" w:hAnsi="Arial"/>
                <w:sz w:val="14"/>
                <w:szCs w:val="14"/>
                <w:color w:val="auto"/>
              </w:rPr>
              <w:t>Total equity</w:t>
            </w:r>
          </w:p>
        </w:tc>
        <w:tc>
          <w:tcPr>
            <w:tcW w:w="340" w:type="dxa"/>
            <w:vAlign w:val="bottom"/>
            <w:tcBorders>
              <w:top w:val="single" w:sz="8" w:color="auto"/>
              <w:bottom w:val="single" w:sz="8" w:color="auto"/>
            </w:tcBorders>
          </w:tcPr>
          <w:p>
            <w:pPr>
              <w:spacing w:after="0"/>
              <w:rPr>
                <w:sz w:val="14"/>
                <w:szCs w:val="14"/>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1,662,256</w:t>
            </w:r>
          </w:p>
        </w:tc>
        <w:tc>
          <w:tcPr>
            <w:tcW w:w="14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1,541,624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5"/>
        </w:trPr>
        <w:tc>
          <w:tcPr>
            <w:tcW w:w="7700" w:type="dxa"/>
            <w:vAlign w:val="bottom"/>
          </w:tcPr>
          <w:p>
            <w:pPr>
              <w:ind w:left="680"/>
              <w:spacing w:after="0"/>
              <w:rPr>
                <w:sz w:val="20"/>
                <w:szCs w:val="20"/>
                <w:color w:val="auto"/>
              </w:rPr>
            </w:pPr>
            <w:r>
              <w:rPr>
                <w:rFonts w:ascii="Arial" w:cs="Arial" w:eastAsia="Arial" w:hAnsi="Arial"/>
                <w:sz w:val="14"/>
                <w:szCs w:val="14"/>
                <w:color w:val="auto"/>
              </w:rPr>
              <w:t>Total liabilities and equity</w:t>
            </w:r>
          </w:p>
        </w:tc>
        <w:tc>
          <w:tcPr>
            <w:tcW w:w="3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4,656,400</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20"/>
              <w:spacing w:after="0"/>
              <w:rPr>
                <w:sz w:val="20"/>
                <w:szCs w:val="20"/>
                <w:color w:val="auto"/>
              </w:rPr>
            </w:pPr>
            <w:r>
              <w:rPr>
                <w:rFonts w:ascii="Arial" w:cs="Arial" w:eastAsia="Arial" w:hAnsi="Arial"/>
                <w:sz w:val="14"/>
                <w:szCs w:val="14"/>
                <w:color w:val="auto"/>
              </w:rPr>
              <w:t>4,107,751</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7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770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146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1440" w:type="dxa"/>
            <w:vAlign w:val="bottom"/>
            <w:tcBorders>
              <w:bottom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4"/>
          <w:szCs w:val="14"/>
          <w:b w:val="1"/>
          <w:bCs w:val="1"/>
          <w:color w:val="auto"/>
        </w:rPr>
        <w:t>WORLD FUEL SERVICES CORPORATION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 -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0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320" w:type="dxa"/>
            <w:vAlign w:val="bottom"/>
            <w:gridSpan w:val="4"/>
          </w:tcPr>
          <w:p>
            <w:pPr>
              <w:jc w:val="right"/>
              <w:ind w:right="428"/>
              <w:spacing w:after="0"/>
              <w:rPr>
                <w:sz w:val="20"/>
                <w:szCs w:val="20"/>
                <w:color w:val="auto"/>
              </w:rPr>
            </w:pPr>
            <w:r>
              <w:rPr>
                <w:rFonts w:ascii="Arial" w:cs="Arial" w:eastAsia="Arial" w:hAnsi="Arial"/>
                <w:sz w:val="14"/>
                <w:szCs w:val="14"/>
                <w:color w:val="auto"/>
              </w:rPr>
              <w:t>For the Three Months ended</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320" w:type="dxa"/>
            <w:vAlign w:val="bottom"/>
            <w:gridSpan w:val="4"/>
          </w:tcPr>
          <w:p>
            <w:pPr>
              <w:jc w:val="right"/>
              <w:ind w:right="448"/>
              <w:spacing w:after="0"/>
              <w:rPr>
                <w:sz w:val="20"/>
                <w:szCs w:val="20"/>
                <w:color w:val="auto"/>
              </w:rPr>
            </w:pPr>
            <w:r>
              <w:rPr>
                <w:rFonts w:ascii="Arial" w:cs="Arial" w:eastAsia="Arial" w:hAnsi="Arial"/>
                <w:sz w:val="14"/>
                <w:szCs w:val="14"/>
                <w:color w:val="auto"/>
              </w:rPr>
              <w:t>For the Nine Months ended</w:t>
            </w:r>
          </w:p>
        </w:tc>
      </w:tr>
      <w:tr>
        <w:trPr>
          <w:trHeight w:val="181"/>
        </w:trPr>
        <w:tc>
          <w:tcPr>
            <w:tcW w:w="60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color w:val="auto"/>
              </w:rPr>
              <w:t>September 30,</w:t>
            </w:r>
          </w:p>
        </w:tc>
        <w:tc>
          <w:tcPr>
            <w:tcW w:w="8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color w:val="auto"/>
              </w:rPr>
              <w:t>September 30,</w:t>
            </w:r>
          </w:p>
        </w:tc>
        <w:tc>
          <w:tcPr>
            <w:tcW w:w="860" w:type="dxa"/>
            <w:vAlign w:val="bottom"/>
            <w:tcBorders>
              <w:bottom w:val="single" w:sz="8" w:color="auto"/>
            </w:tcBorders>
          </w:tcPr>
          <w:p>
            <w:pPr>
              <w:spacing w:after="0"/>
              <w:rPr>
                <w:sz w:val="15"/>
                <w:szCs w:val="15"/>
                <w:color w:val="auto"/>
              </w:rPr>
            </w:pPr>
          </w:p>
        </w:tc>
      </w:tr>
      <w:tr>
        <w:trPr>
          <w:trHeight w:val="169"/>
        </w:trPr>
        <w:tc>
          <w:tcPr>
            <w:tcW w:w="60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2013</w:t>
            </w:r>
          </w:p>
        </w:tc>
        <w:tc>
          <w:tcPr>
            <w:tcW w:w="1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2012</w:t>
            </w: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2013</w:t>
            </w:r>
          </w:p>
        </w:tc>
        <w:tc>
          <w:tcPr>
            <w:tcW w:w="1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w w:val="96"/>
              </w:rPr>
              <w:t>2012</w:t>
            </w:r>
          </w:p>
        </w:tc>
      </w:tr>
      <w:tr>
        <w:trPr>
          <w:trHeight w:val="339"/>
        </w:trPr>
        <w:tc>
          <w:tcPr>
            <w:tcW w:w="6080" w:type="dxa"/>
            <w:vAlign w:val="bottom"/>
          </w:tcPr>
          <w:p>
            <w:pPr>
              <w:spacing w:after="0"/>
              <w:rPr>
                <w:sz w:val="20"/>
                <w:szCs w:val="20"/>
                <w:color w:val="auto"/>
              </w:rPr>
            </w:pPr>
            <w:r>
              <w:rPr>
                <w:rFonts w:ascii="Arial" w:cs="Arial" w:eastAsia="Arial" w:hAnsi="Arial"/>
                <w:sz w:val="14"/>
                <w:szCs w:val="14"/>
                <w:color w:val="auto"/>
              </w:rPr>
              <w:t>Cash flows from operating activities:</w:t>
            </w: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81"/>
        </w:trPr>
        <w:tc>
          <w:tcPr>
            <w:tcW w:w="6080" w:type="dxa"/>
            <w:vAlign w:val="bottom"/>
          </w:tcPr>
          <w:p>
            <w:pPr>
              <w:ind w:left="220"/>
              <w:spacing w:after="0"/>
              <w:rPr>
                <w:sz w:val="20"/>
                <w:szCs w:val="20"/>
                <w:color w:val="auto"/>
              </w:rPr>
            </w:pPr>
            <w:r>
              <w:rPr>
                <w:rFonts w:ascii="Arial" w:cs="Arial" w:eastAsia="Arial" w:hAnsi="Arial"/>
                <w:sz w:val="14"/>
                <w:szCs w:val="14"/>
                <w:color w:val="auto"/>
              </w:rPr>
              <w:t>Net income including noncontrolling interest</w:t>
            </w:r>
          </w:p>
        </w:tc>
        <w:tc>
          <w:tcPr>
            <w:tcW w:w="3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50,297</w:t>
            </w:r>
          </w:p>
        </w:tc>
        <w:tc>
          <w:tcPr>
            <w:tcW w:w="5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52,898</w:t>
            </w:r>
          </w:p>
        </w:tc>
        <w:tc>
          <w:tcPr>
            <w:tcW w:w="4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153,765</w:t>
            </w:r>
          </w:p>
        </w:tc>
        <w:tc>
          <w:tcPr>
            <w:tcW w:w="6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156,326</w:t>
            </w:r>
          </w:p>
        </w:tc>
      </w:tr>
      <w:tr>
        <w:trPr>
          <w:trHeight w:val="164"/>
        </w:trPr>
        <w:tc>
          <w:tcPr>
            <w:tcW w:w="6080" w:type="dxa"/>
            <w:vAlign w:val="bottom"/>
          </w:tcPr>
          <w:p>
            <w:pPr>
              <w:ind w:left="220"/>
              <w:spacing w:after="0"/>
              <w:rPr>
                <w:sz w:val="20"/>
                <w:szCs w:val="20"/>
                <w:color w:val="auto"/>
              </w:rPr>
            </w:pPr>
            <w:r>
              <w:rPr>
                <w:rFonts w:ascii="Arial" w:cs="Arial" w:eastAsia="Arial" w:hAnsi="Arial"/>
                <w:sz w:val="14"/>
                <w:szCs w:val="14"/>
                <w:color w:val="auto"/>
              </w:rPr>
              <w:t>Adjustments to reconcile net income including</w:t>
            </w:r>
          </w:p>
        </w:tc>
        <w:tc>
          <w:tcPr>
            <w:tcW w:w="3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r>
      <w:tr>
        <w:trPr>
          <w:trHeight w:val="176"/>
        </w:trPr>
        <w:tc>
          <w:tcPr>
            <w:tcW w:w="6080" w:type="dxa"/>
            <w:vAlign w:val="bottom"/>
          </w:tcPr>
          <w:p>
            <w:pPr>
              <w:ind w:left="280"/>
              <w:spacing w:after="0"/>
              <w:rPr>
                <w:sz w:val="20"/>
                <w:szCs w:val="20"/>
                <w:color w:val="auto"/>
              </w:rPr>
            </w:pPr>
            <w:r>
              <w:rPr>
                <w:rFonts w:ascii="Arial" w:cs="Arial" w:eastAsia="Arial" w:hAnsi="Arial"/>
                <w:sz w:val="14"/>
                <w:szCs w:val="14"/>
                <w:color w:val="auto"/>
              </w:rPr>
              <w:t>noncontrolling interest to net cash provided by</w:t>
            </w: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6"/>
        </w:trPr>
        <w:tc>
          <w:tcPr>
            <w:tcW w:w="6080" w:type="dxa"/>
            <w:vAlign w:val="bottom"/>
          </w:tcPr>
          <w:p>
            <w:pPr>
              <w:ind w:left="280"/>
              <w:spacing w:after="0"/>
              <w:rPr>
                <w:sz w:val="20"/>
                <w:szCs w:val="20"/>
                <w:color w:val="auto"/>
              </w:rPr>
            </w:pPr>
            <w:r>
              <w:rPr>
                <w:rFonts w:ascii="Arial" w:cs="Arial" w:eastAsia="Arial" w:hAnsi="Arial"/>
                <w:sz w:val="14"/>
                <w:szCs w:val="14"/>
                <w:color w:val="auto"/>
              </w:rPr>
              <w:t>operating activities:</w:t>
            </w: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6"/>
        </w:trPr>
        <w:tc>
          <w:tcPr>
            <w:tcW w:w="6080" w:type="dxa"/>
            <w:vAlign w:val="bottom"/>
          </w:tcPr>
          <w:p>
            <w:pPr>
              <w:ind w:left="480"/>
              <w:spacing w:after="0"/>
              <w:rPr>
                <w:sz w:val="20"/>
                <w:szCs w:val="20"/>
                <w:color w:val="auto"/>
              </w:rPr>
            </w:pPr>
            <w:r>
              <w:rPr>
                <w:rFonts w:ascii="Arial" w:cs="Arial" w:eastAsia="Arial" w:hAnsi="Arial"/>
                <w:sz w:val="14"/>
                <w:szCs w:val="14"/>
                <w:color w:val="auto"/>
              </w:rPr>
              <w:t>Depreciation and amortization</w:t>
            </w:r>
          </w:p>
        </w:tc>
        <w:tc>
          <w:tcPr>
            <w:tcW w:w="300" w:type="dxa"/>
            <w:vAlign w:val="bottom"/>
          </w:tcPr>
          <w:p>
            <w:pPr>
              <w:spacing w:after="0"/>
              <w:rPr>
                <w:sz w:val="15"/>
                <w:szCs w:val="15"/>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10,525</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9,132</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32,812</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26,800</w:t>
            </w:r>
          </w:p>
        </w:tc>
      </w:tr>
      <w:tr>
        <w:trPr>
          <w:trHeight w:val="176"/>
        </w:trPr>
        <w:tc>
          <w:tcPr>
            <w:tcW w:w="6080" w:type="dxa"/>
            <w:vAlign w:val="bottom"/>
          </w:tcPr>
          <w:p>
            <w:pPr>
              <w:ind w:left="480"/>
              <w:spacing w:after="0"/>
              <w:rPr>
                <w:sz w:val="20"/>
                <w:szCs w:val="20"/>
                <w:color w:val="auto"/>
              </w:rPr>
            </w:pPr>
            <w:r>
              <w:rPr>
                <w:rFonts w:ascii="Arial" w:cs="Arial" w:eastAsia="Arial" w:hAnsi="Arial"/>
                <w:sz w:val="14"/>
                <w:szCs w:val="14"/>
                <w:color w:val="auto"/>
              </w:rPr>
              <w:t>Provision for bad debt</w:t>
            </w:r>
          </w:p>
        </w:tc>
        <w:tc>
          <w:tcPr>
            <w:tcW w:w="300" w:type="dxa"/>
            <w:vAlign w:val="bottom"/>
          </w:tcPr>
          <w:p>
            <w:pPr>
              <w:spacing w:after="0"/>
              <w:rPr>
                <w:sz w:val="15"/>
                <w:szCs w:val="15"/>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1,863</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3,631</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5,675</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4,413</w:t>
            </w:r>
          </w:p>
        </w:tc>
      </w:tr>
      <w:tr>
        <w:trPr>
          <w:trHeight w:val="176"/>
        </w:trPr>
        <w:tc>
          <w:tcPr>
            <w:tcW w:w="6080" w:type="dxa"/>
            <w:vAlign w:val="bottom"/>
          </w:tcPr>
          <w:p>
            <w:pPr>
              <w:ind w:left="480"/>
              <w:spacing w:after="0"/>
              <w:rPr>
                <w:sz w:val="20"/>
                <w:szCs w:val="20"/>
                <w:color w:val="auto"/>
              </w:rPr>
            </w:pPr>
            <w:r>
              <w:rPr>
                <w:rFonts w:ascii="Arial" w:cs="Arial" w:eastAsia="Arial" w:hAnsi="Arial"/>
                <w:sz w:val="14"/>
                <w:szCs w:val="14"/>
                <w:color w:val="auto"/>
              </w:rPr>
              <w:t>Share-based payment award compensation costs</w:t>
            </w:r>
          </w:p>
        </w:tc>
        <w:tc>
          <w:tcPr>
            <w:tcW w:w="300" w:type="dxa"/>
            <w:vAlign w:val="bottom"/>
          </w:tcPr>
          <w:p>
            <w:pPr>
              <w:spacing w:after="0"/>
              <w:rPr>
                <w:sz w:val="15"/>
                <w:szCs w:val="15"/>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4,381</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4,384</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12,578</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10,341</w:t>
            </w:r>
          </w:p>
        </w:tc>
      </w:tr>
      <w:tr>
        <w:trPr>
          <w:trHeight w:val="176"/>
        </w:trPr>
        <w:tc>
          <w:tcPr>
            <w:tcW w:w="6080" w:type="dxa"/>
            <w:vAlign w:val="bottom"/>
          </w:tcPr>
          <w:p>
            <w:pPr>
              <w:ind w:left="480"/>
              <w:spacing w:after="0"/>
              <w:rPr>
                <w:sz w:val="20"/>
                <w:szCs w:val="20"/>
                <w:color w:val="auto"/>
              </w:rPr>
            </w:pPr>
            <w:r>
              <w:rPr>
                <w:rFonts w:ascii="Arial" w:cs="Arial" w:eastAsia="Arial" w:hAnsi="Arial"/>
                <w:sz w:val="14"/>
                <w:szCs w:val="14"/>
                <w:color w:val="auto"/>
              </w:rPr>
              <w:t>Other</w:t>
            </w:r>
          </w:p>
        </w:tc>
        <w:tc>
          <w:tcPr>
            <w:tcW w:w="300" w:type="dxa"/>
            <w:vAlign w:val="bottom"/>
          </w:tcPr>
          <w:p>
            <w:pPr>
              <w:spacing w:after="0"/>
              <w:rPr>
                <w:sz w:val="15"/>
                <w:szCs w:val="15"/>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(413)</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(6,462)</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(462)</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(7,485)</w:t>
            </w:r>
          </w:p>
        </w:tc>
      </w:tr>
      <w:tr>
        <w:trPr>
          <w:trHeight w:val="176"/>
        </w:trPr>
        <w:tc>
          <w:tcPr>
            <w:tcW w:w="6080" w:type="dxa"/>
            <w:vAlign w:val="bottom"/>
          </w:tcPr>
          <w:p>
            <w:pPr>
              <w:ind w:left="480"/>
              <w:spacing w:after="0"/>
              <w:rPr>
                <w:sz w:val="20"/>
                <w:szCs w:val="20"/>
                <w:color w:val="auto"/>
              </w:rPr>
            </w:pPr>
            <w:r>
              <w:rPr>
                <w:rFonts w:ascii="Arial" w:cs="Arial" w:eastAsia="Arial" w:hAnsi="Arial"/>
                <w:sz w:val="14"/>
                <w:szCs w:val="14"/>
                <w:color w:val="auto"/>
              </w:rPr>
              <w:t>Changes in cash collateral with financial counterparties</w:t>
            </w:r>
          </w:p>
        </w:tc>
        <w:tc>
          <w:tcPr>
            <w:tcW w:w="300" w:type="dxa"/>
            <w:vAlign w:val="bottom"/>
          </w:tcPr>
          <w:p>
            <w:pPr>
              <w:spacing w:after="0"/>
              <w:rPr>
                <w:sz w:val="15"/>
                <w:szCs w:val="15"/>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20,516</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134,999</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19,793</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6,941</w:t>
            </w:r>
          </w:p>
        </w:tc>
      </w:tr>
      <w:tr>
        <w:trPr>
          <w:trHeight w:val="181"/>
        </w:trPr>
        <w:tc>
          <w:tcPr>
            <w:tcW w:w="6080" w:type="dxa"/>
            <w:vAlign w:val="bottom"/>
          </w:tcPr>
          <w:p>
            <w:pPr>
              <w:ind w:left="480"/>
              <w:spacing w:after="0"/>
              <w:rPr>
                <w:sz w:val="20"/>
                <w:szCs w:val="20"/>
                <w:color w:val="auto"/>
              </w:rPr>
            </w:pPr>
            <w:r>
              <w:rPr>
                <w:rFonts w:ascii="Arial" w:cs="Arial" w:eastAsia="Arial" w:hAnsi="Arial"/>
                <w:sz w:val="14"/>
                <w:szCs w:val="14"/>
                <w:color w:val="auto"/>
              </w:rPr>
              <w:t>Changes in assets and liabilities, net of acquisitions</w:t>
            </w:r>
          </w:p>
        </w:tc>
        <w:tc>
          <w:tcPr>
            <w:tcW w:w="3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(25,712)</w:t>
            </w:r>
          </w:p>
        </w:tc>
        <w:tc>
          <w:tcPr>
            <w:tcW w:w="12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(93,388)</w:t>
            </w: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(10,414)</w:t>
            </w:r>
          </w:p>
        </w:tc>
        <w:tc>
          <w:tcPr>
            <w:tcW w:w="12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(149,065)</w:t>
            </w:r>
          </w:p>
        </w:tc>
      </w:tr>
      <w:tr>
        <w:trPr>
          <w:trHeight w:val="169"/>
        </w:trPr>
        <w:tc>
          <w:tcPr>
            <w:tcW w:w="6080" w:type="dxa"/>
            <w:vAlign w:val="bottom"/>
          </w:tcPr>
          <w:p>
            <w:pPr>
              <w:ind w:left="760"/>
              <w:spacing w:after="0"/>
              <w:rPr>
                <w:sz w:val="20"/>
                <w:szCs w:val="20"/>
                <w:color w:val="auto"/>
              </w:rPr>
            </w:pPr>
            <w:r>
              <w:rPr>
                <w:rFonts w:ascii="Arial" w:cs="Arial" w:eastAsia="Arial" w:hAnsi="Arial"/>
                <w:sz w:val="14"/>
                <w:szCs w:val="14"/>
                <w:color w:val="auto"/>
              </w:rPr>
              <w:t>Total adjustments</w:t>
            </w:r>
          </w:p>
        </w:tc>
        <w:tc>
          <w:tcPr>
            <w:tcW w:w="3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11,160</w:t>
            </w:r>
          </w:p>
        </w:tc>
        <w:tc>
          <w:tcPr>
            <w:tcW w:w="1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52,296</w:t>
            </w: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59,982</w:t>
            </w:r>
          </w:p>
        </w:tc>
        <w:tc>
          <w:tcPr>
            <w:tcW w:w="1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(108,055)</w:t>
            </w:r>
          </w:p>
        </w:tc>
      </w:tr>
      <w:tr>
        <w:trPr>
          <w:trHeight w:val="169"/>
        </w:trPr>
        <w:tc>
          <w:tcPr>
            <w:tcW w:w="6080" w:type="dxa"/>
            <w:vAlign w:val="bottom"/>
          </w:tcPr>
          <w:p>
            <w:pPr>
              <w:ind w:left="220"/>
              <w:spacing w:after="0"/>
              <w:rPr>
                <w:sz w:val="20"/>
                <w:szCs w:val="20"/>
                <w:color w:val="auto"/>
              </w:rPr>
            </w:pPr>
            <w:r>
              <w:rPr>
                <w:rFonts w:ascii="Arial" w:cs="Arial" w:eastAsia="Arial" w:hAnsi="Arial"/>
                <w:sz w:val="14"/>
                <w:szCs w:val="14"/>
                <w:color w:val="auto"/>
              </w:rPr>
              <w:t>Net cash provided by operating activities</w:t>
            </w:r>
          </w:p>
        </w:tc>
        <w:tc>
          <w:tcPr>
            <w:tcW w:w="3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61,457</w:t>
            </w:r>
          </w:p>
        </w:tc>
        <w:tc>
          <w:tcPr>
            <w:tcW w:w="1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105,194</w:t>
            </w: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213,747</w:t>
            </w:r>
          </w:p>
        </w:tc>
        <w:tc>
          <w:tcPr>
            <w:tcW w:w="1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48,271</w:t>
            </w:r>
          </w:p>
        </w:tc>
      </w:tr>
      <w:tr>
        <w:trPr>
          <w:trHeight w:val="339"/>
        </w:trPr>
        <w:tc>
          <w:tcPr>
            <w:tcW w:w="6080" w:type="dxa"/>
            <w:vAlign w:val="bottom"/>
          </w:tcPr>
          <w:p>
            <w:pPr>
              <w:spacing w:after="0"/>
              <w:rPr>
                <w:sz w:val="20"/>
                <w:szCs w:val="20"/>
                <w:color w:val="auto"/>
              </w:rPr>
            </w:pPr>
            <w:r>
              <w:rPr>
                <w:rFonts w:ascii="Arial" w:cs="Arial" w:eastAsia="Arial" w:hAnsi="Arial"/>
                <w:sz w:val="14"/>
                <w:szCs w:val="14"/>
                <w:color w:val="auto"/>
              </w:rPr>
              <w:t>Cash flows from investing activities:</w:t>
            </w: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6"/>
        </w:trPr>
        <w:tc>
          <w:tcPr>
            <w:tcW w:w="6080" w:type="dxa"/>
            <w:vAlign w:val="bottom"/>
          </w:tcPr>
          <w:p>
            <w:pPr>
              <w:ind w:left="220"/>
              <w:spacing w:after="0"/>
              <w:rPr>
                <w:sz w:val="20"/>
                <w:szCs w:val="20"/>
                <w:color w:val="auto"/>
              </w:rPr>
            </w:pPr>
            <w:r>
              <w:rPr>
                <w:rFonts w:ascii="Arial" w:cs="Arial" w:eastAsia="Arial" w:hAnsi="Arial"/>
                <w:sz w:val="14"/>
                <w:szCs w:val="14"/>
                <w:color w:val="auto"/>
              </w:rPr>
              <w:t>Acquisitions and other investments, net of cash acquired</w:t>
            </w:r>
          </w:p>
        </w:tc>
        <w:tc>
          <w:tcPr>
            <w:tcW w:w="300" w:type="dxa"/>
            <w:vAlign w:val="bottom"/>
          </w:tcPr>
          <w:p>
            <w:pPr>
              <w:spacing w:after="0"/>
              <w:rPr>
                <w:sz w:val="15"/>
                <w:szCs w:val="15"/>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(14,997)</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(42,299)</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(40,412)</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(71,337)</w:t>
            </w:r>
          </w:p>
        </w:tc>
      </w:tr>
      <w:tr>
        <w:trPr>
          <w:trHeight w:val="176"/>
        </w:trPr>
        <w:tc>
          <w:tcPr>
            <w:tcW w:w="6080" w:type="dxa"/>
            <w:vAlign w:val="bottom"/>
          </w:tcPr>
          <w:p>
            <w:pPr>
              <w:ind w:left="220"/>
              <w:spacing w:after="0"/>
              <w:rPr>
                <w:sz w:val="20"/>
                <w:szCs w:val="20"/>
                <w:color w:val="auto"/>
              </w:rPr>
            </w:pPr>
            <w:r>
              <w:rPr>
                <w:rFonts w:ascii="Arial" w:cs="Arial" w:eastAsia="Arial" w:hAnsi="Arial"/>
                <w:sz w:val="14"/>
                <w:szCs w:val="14"/>
                <w:color w:val="auto"/>
              </w:rPr>
              <w:t>Capital expenditures</w:t>
            </w:r>
          </w:p>
        </w:tc>
        <w:tc>
          <w:tcPr>
            <w:tcW w:w="300" w:type="dxa"/>
            <w:vAlign w:val="bottom"/>
          </w:tcPr>
          <w:p>
            <w:pPr>
              <w:spacing w:after="0"/>
              <w:rPr>
                <w:sz w:val="15"/>
                <w:szCs w:val="15"/>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(25,642)</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(9,170)</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(50,286)</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(18,737)</w:t>
            </w:r>
          </w:p>
        </w:tc>
      </w:tr>
      <w:tr>
        <w:trPr>
          <w:trHeight w:val="176"/>
        </w:trPr>
        <w:tc>
          <w:tcPr>
            <w:tcW w:w="6080" w:type="dxa"/>
            <w:vAlign w:val="bottom"/>
          </w:tcPr>
          <w:p>
            <w:pPr>
              <w:ind w:left="220"/>
              <w:spacing w:after="0"/>
              <w:rPr>
                <w:sz w:val="20"/>
                <w:szCs w:val="20"/>
                <w:color w:val="auto"/>
              </w:rPr>
            </w:pPr>
            <w:r>
              <w:rPr>
                <w:rFonts w:ascii="Arial" w:cs="Arial" w:eastAsia="Arial" w:hAnsi="Arial"/>
                <w:sz w:val="14"/>
                <w:szCs w:val="14"/>
                <w:color w:val="auto"/>
              </w:rPr>
              <w:t>Purchase of short-term investments</w:t>
            </w:r>
          </w:p>
        </w:tc>
        <w:tc>
          <w:tcPr>
            <w:tcW w:w="300" w:type="dxa"/>
            <w:vAlign w:val="bottom"/>
          </w:tcPr>
          <w:p>
            <w:pPr>
              <w:spacing w:after="0"/>
              <w:rPr>
                <w:sz w:val="15"/>
                <w:szCs w:val="15"/>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(21,588)</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w:t>
            </w:r>
          </w:p>
        </w:tc>
      </w:tr>
      <w:tr>
        <w:trPr>
          <w:trHeight w:val="176"/>
        </w:trPr>
        <w:tc>
          <w:tcPr>
            <w:tcW w:w="6080" w:type="dxa"/>
            <w:vAlign w:val="bottom"/>
          </w:tcPr>
          <w:p>
            <w:pPr>
              <w:ind w:left="220"/>
              <w:spacing w:after="0"/>
              <w:rPr>
                <w:sz w:val="20"/>
                <w:szCs w:val="20"/>
                <w:color w:val="auto"/>
              </w:rPr>
            </w:pPr>
            <w:r>
              <w:rPr>
                <w:rFonts w:ascii="Arial" w:cs="Arial" w:eastAsia="Arial" w:hAnsi="Arial"/>
                <w:sz w:val="14"/>
                <w:szCs w:val="14"/>
                <w:color w:val="auto"/>
              </w:rPr>
              <w:t>Proceeds from the sale of short-term investments</w:t>
            </w:r>
          </w:p>
        </w:tc>
        <w:tc>
          <w:tcPr>
            <w:tcW w:w="300" w:type="dxa"/>
            <w:vAlign w:val="bottom"/>
          </w:tcPr>
          <w:p>
            <w:pPr>
              <w:spacing w:after="0"/>
              <w:rPr>
                <w:sz w:val="15"/>
                <w:szCs w:val="15"/>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21,588</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w:t>
            </w:r>
          </w:p>
        </w:tc>
      </w:tr>
      <w:tr>
        <w:trPr>
          <w:trHeight w:val="181"/>
        </w:trPr>
        <w:tc>
          <w:tcPr>
            <w:tcW w:w="6080" w:type="dxa"/>
            <w:vAlign w:val="bottom"/>
          </w:tcPr>
          <w:p>
            <w:pPr>
              <w:ind w:left="220"/>
              <w:spacing w:after="0"/>
              <w:rPr>
                <w:sz w:val="20"/>
                <w:szCs w:val="20"/>
                <w:color w:val="auto"/>
              </w:rPr>
            </w:pPr>
            <w:r>
              <w:rPr>
                <w:rFonts w:ascii="Arial" w:cs="Arial" w:eastAsia="Arial" w:hAnsi="Arial"/>
                <w:sz w:val="14"/>
                <w:szCs w:val="14"/>
                <w:color w:val="auto"/>
              </w:rPr>
              <w:t>Other</w:t>
            </w:r>
          </w:p>
        </w:tc>
        <w:tc>
          <w:tcPr>
            <w:tcW w:w="3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(469)</w:t>
            </w:r>
          </w:p>
        </w:tc>
        <w:tc>
          <w:tcPr>
            <w:tcW w:w="12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(386)</w:t>
            </w: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(469)</w:t>
            </w:r>
          </w:p>
        </w:tc>
        <w:tc>
          <w:tcPr>
            <w:tcW w:w="12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(386)</w:t>
            </w:r>
          </w:p>
        </w:tc>
      </w:tr>
      <w:tr>
        <w:trPr>
          <w:trHeight w:val="169"/>
        </w:trPr>
        <w:tc>
          <w:tcPr>
            <w:tcW w:w="6080" w:type="dxa"/>
            <w:vAlign w:val="bottom"/>
          </w:tcPr>
          <w:p>
            <w:pPr>
              <w:ind w:left="420"/>
              <w:spacing w:after="0"/>
              <w:rPr>
                <w:sz w:val="20"/>
                <w:szCs w:val="20"/>
                <w:color w:val="auto"/>
              </w:rPr>
            </w:pPr>
            <w:r>
              <w:rPr>
                <w:rFonts w:ascii="Arial" w:cs="Arial" w:eastAsia="Arial" w:hAnsi="Arial"/>
                <w:sz w:val="14"/>
                <w:szCs w:val="14"/>
                <w:color w:val="auto"/>
              </w:rPr>
              <w:t>Net cash used in investing activities</w:t>
            </w:r>
          </w:p>
        </w:tc>
        <w:tc>
          <w:tcPr>
            <w:tcW w:w="3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(41,108)</w:t>
            </w:r>
          </w:p>
        </w:tc>
        <w:tc>
          <w:tcPr>
            <w:tcW w:w="1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(51,855)</w:t>
            </w: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(91,167)</w:t>
            </w:r>
          </w:p>
        </w:tc>
        <w:tc>
          <w:tcPr>
            <w:tcW w:w="1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(90,460)</w:t>
            </w:r>
          </w:p>
        </w:tc>
      </w:tr>
      <w:tr>
        <w:trPr>
          <w:trHeight w:val="339"/>
        </w:trPr>
        <w:tc>
          <w:tcPr>
            <w:tcW w:w="6080" w:type="dxa"/>
            <w:vAlign w:val="bottom"/>
          </w:tcPr>
          <w:p>
            <w:pPr>
              <w:spacing w:after="0"/>
              <w:rPr>
                <w:sz w:val="20"/>
                <w:szCs w:val="20"/>
                <w:color w:val="auto"/>
              </w:rPr>
            </w:pPr>
            <w:r>
              <w:rPr>
                <w:rFonts w:ascii="Arial" w:cs="Arial" w:eastAsia="Arial" w:hAnsi="Arial"/>
                <w:sz w:val="14"/>
                <w:szCs w:val="14"/>
                <w:color w:val="auto"/>
              </w:rPr>
              <w:t>Cash flows from financing activities:</w:t>
            </w: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6"/>
        </w:trPr>
        <w:tc>
          <w:tcPr>
            <w:tcW w:w="6080" w:type="dxa"/>
            <w:vAlign w:val="bottom"/>
          </w:tcPr>
          <w:p>
            <w:pPr>
              <w:ind w:left="220"/>
              <w:spacing w:after="0"/>
              <w:rPr>
                <w:sz w:val="20"/>
                <w:szCs w:val="20"/>
                <w:color w:val="auto"/>
              </w:rPr>
            </w:pPr>
            <w:r>
              <w:rPr>
                <w:rFonts w:ascii="Arial" w:cs="Arial" w:eastAsia="Arial" w:hAnsi="Arial"/>
                <w:sz w:val="14"/>
                <w:szCs w:val="14"/>
                <w:color w:val="auto"/>
              </w:rPr>
              <w:t>Borrowings (repayments) of debt, net</w:t>
            </w:r>
          </w:p>
        </w:tc>
        <w:tc>
          <w:tcPr>
            <w:tcW w:w="300" w:type="dxa"/>
            <w:vAlign w:val="bottom"/>
          </w:tcPr>
          <w:p>
            <w:pPr>
              <w:spacing w:after="0"/>
              <w:rPr>
                <w:sz w:val="15"/>
                <w:szCs w:val="15"/>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104,385</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(50,453)</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75,180</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(12,860)</w:t>
            </w:r>
          </w:p>
        </w:tc>
      </w:tr>
      <w:tr>
        <w:trPr>
          <w:trHeight w:val="176"/>
        </w:trPr>
        <w:tc>
          <w:tcPr>
            <w:tcW w:w="6080" w:type="dxa"/>
            <w:vAlign w:val="bottom"/>
          </w:tcPr>
          <w:p>
            <w:pPr>
              <w:ind w:left="220"/>
              <w:spacing w:after="0"/>
              <w:rPr>
                <w:sz w:val="20"/>
                <w:szCs w:val="20"/>
                <w:color w:val="auto"/>
              </w:rPr>
            </w:pPr>
            <w:r>
              <w:rPr>
                <w:rFonts w:ascii="Arial" w:cs="Arial" w:eastAsia="Arial" w:hAnsi="Arial"/>
                <w:sz w:val="14"/>
                <w:szCs w:val="14"/>
                <w:color w:val="auto"/>
              </w:rPr>
              <w:t>Dividends paid on common stock</w:t>
            </w:r>
          </w:p>
        </w:tc>
        <w:tc>
          <w:tcPr>
            <w:tcW w:w="300" w:type="dxa"/>
            <w:vAlign w:val="bottom"/>
          </w:tcPr>
          <w:p>
            <w:pPr>
              <w:spacing w:after="0"/>
              <w:rPr>
                <w:sz w:val="15"/>
                <w:szCs w:val="15"/>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(2,678)</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(2,669)</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(8,020)</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(8,019)</w:t>
            </w:r>
          </w:p>
        </w:tc>
      </w:tr>
      <w:tr>
        <w:trPr>
          <w:trHeight w:val="181"/>
        </w:trPr>
        <w:tc>
          <w:tcPr>
            <w:tcW w:w="6080" w:type="dxa"/>
            <w:vAlign w:val="bottom"/>
          </w:tcPr>
          <w:p>
            <w:pPr>
              <w:ind w:left="220"/>
              <w:spacing w:after="0"/>
              <w:rPr>
                <w:sz w:val="20"/>
                <w:szCs w:val="20"/>
                <w:color w:val="auto"/>
              </w:rPr>
            </w:pPr>
            <w:r>
              <w:rPr>
                <w:rFonts w:ascii="Arial" w:cs="Arial" w:eastAsia="Arial" w:hAnsi="Arial"/>
                <w:sz w:val="14"/>
                <w:szCs w:val="14"/>
                <w:color w:val="auto"/>
              </w:rPr>
              <w:t>Other</w:t>
            </w:r>
          </w:p>
        </w:tc>
        <w:tc>
          <w:tcPr>
            <w:tcW w:w="3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(22,025)</w:t>
            </w:r>
          </w:p>
        </w:tc>
        <w:tc>
          <w:tcPr>
            <w:tcW w:w="12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1,335</w:t>
            </w: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(28,431)</w:t>
            </w:r>
          </w:p>
        </w:tc>
        <w:tc>
          <w:tcPr>
            <w:tcW w:w="12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(4,612)</w:t>
            </w:r>
          </w:p>
        </w:tc>
      </w:tr>
      <w:tr>
        <w:trPr>
          <w:trHeight w:val="169"/>
        </w:trPr>
        <w:tc>
          <w:tcPr>
            <w:tcW w:w="6080" w:type="dxa"/>
            <w:vAlign w:val="bottom"/>
          </w:tcPr>
          <w:p>
            <w:pPr>
              <w:ind w:left="420"/>
              <w:spacing w:after="0"/>
              <w:rPr>
                <w:sz w:val="20"/>
                <w:szCs w:val="20"/>
                <w:color w:val="auto"/>
              </w:rPr>
            </w:pPr>
            <w:r>
              <w:rPr>
                <w:rFonts w:ascii="Arial" w:cs="Arial" w:eastAsia="Arial" w:hAnsi="Arial"/>
                <w:sz w:val="14"/>
                <w:szCs w:val="14"/>
                <w:color w:val="auto"/>
              </w:rPr>
              <w:t>Net cash provided by (used in) financing activities</w:t>
            </w:r>
          </w:p>
        </w:tc>
        <w:tc>
          <w:tcPr>
            <w:tcW w:w="3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79,682</w:t>
            </w:r>
          </w:p>
        </w:tc>
        <w:tc>
          <w:tcPr>
            <w:tcW w:w="1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(51,787)</w:t>
            </w: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38,729</w:t>
            </w:r>
          </w:p>
        </w:tc>
        <w:tc>
          <w:tcPr>
            <w:tcW w:w="1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(25,491)</w:t>
            </w:r>
          </w:p>
        </w:tc>
      </w:tr>
      <w:tr>
        <w:trPr>
          <w:trHeight w:val="339"/>
        </w:trPr>
        <w:tc>
          <w:tcPr>
            <w:tcW w:w="6080" w:type="dxa"/>
            <w:vAlign w:val="bottom"/>
          </w:tcPr>
          <w:p>
            <w:pPr>
              <w:spacing w:after="0"/>
              <w:rPr>
                <w:sz w:val="20"/>
                <w:szCs w:val="20"/>
                <w:color w:val="auto"/>
              </w:rPr>
            </w:pPr>
            <w:r>
              <w:rPr>
                <w:rFonts w:ascii="Arial" w:cs="Arial" w:eastAsia="Arial" w:hAnsi="Arial"/>
                <w:sz w:val="14"/>
                <w:szCs w:val="14"/>
                <w:color w:val="auto"/>
              </w:rPr>
              <w:t>Effect of exchange rate changes on cash and</w:t>
            </w: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81"/>
        </w:trPr>
        <w:tc>
          <w:tcPr>
            <w:tcW w:w="6080" w:type="dxa"/>
            <w:vAlign w:val="bottom"/>
          </w:tcPr>
          <w:p>
            <w:pPr>
              <w:ind w:left="80"/>
              <w:spacing w:after="0"/>
              <w:rPr>
                <w:sz w:val="20"/>
                <w:szCs w:val="20"/>
                <w:color w:val="auto"/>
              </w:rPr>
            </w:pPr>
            <w:r>
              <w:rPr>
                <w:rFonts w:ascii="Arial" w:cs="Arial" w:eastAsia="Arial" w:hAnsi="Arial"/>
                <w:sz w:val="14"/>
                <w:szCs w:val="14"/>
                <w:color w:val="auto"/>
              </w:rPr>
              <w:t>cash equivalents</w:t>
            </w:r>
          </w:p>
        </w:tc>
        <w:tc>
          <w:tcPr>
            <w:tcW w:w="3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712</w:t>
            </w:r>
          </w:p>
        </w:tc>
        <w:tc>
          <w:tcPr>
            <w:tcW w:w="12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1,173</w:t>
            </w: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(826)</w:t>
            </w:r>
          </w:p>
        </w:tc>
        <w:tc>
          <w:tcPr>
            <w:tcW w:w="12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1,666</w:t>
            </w:r>
          </w:p>
        </w:tc>
      </w:tr>
      <w:tr>
        <w:trPr>
          <w:trHeight w:val="346"/>
        </w:trPr>
        <w:tc>
          <w:tcPr>
            <w:tcW w:w="6080" w:type="dxa"/>
            <w:vAlign w:val="bottom"/>
          </w:tcPr>
          <w:p>
            <w:pPr>
              <w:spacing w:after="0"/>
              <w:rPr>
                <w:sz w:val="20"/>
                <w:szCs w:val="20"/>
                <w:color w:val="auto"/>
              </w:rPr>
            </w:pPr>
            <w:r>
              <w:rPr>
                <w:rFonts w:ascii="Arial" w:cs="Arial" w:eastAsia="Arial" w:hAnsi="Arial"/>
                <w:sz w:val="14"/>
                <w:szCs w:val="14"/>
                <w:color w:val="auto"/>
              </w:rPr>
              <w:t>Net increase (decrease) in cash and cash equivalents</w:t>
            </w:r>
          </w:p>
        </w:tc>
        <w:tc>
          <w:tcPr>
            <w:tcW w:w="300" w:type="dxa"/>
            <w:vAlign w:val="bottom"/>
          </w:tcPr>
          <w:p>
            <w:pPr>
              <w:spacing w:after="0"/>
              <w:rPr>
                <w:sz w:val="24"/>
                <w:szCs w:val="24"/>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100,743</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2,725</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160,483</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(66,014)</w:t>
            </w:r>
          </w:p>
        </w:tc>
      </w:tr>
      <w:tr>
        <w:trPr>
          <w:trHeight w:val="350"/>
        </w:trPr>
        <w:tc>
          <w:tcPr>
            <w:tcW w:w="6080" w:type="dxa"/>
            <w:vAlign w:val="bottom"/>
          </w:tcPr>
          <w:p>
            <w:pPr>
              <w:spacing w:after="0"/>
              <w:rPr>
                <w:sz w:val="20"/>
                <w:szCs w:val="20"/>
                <w:color w:val="auto"/>
              </w:rPr>
            </w:pPr>
            <w:r>
              <w:rPr>
                <w:rFonts w:ascii="Arial" w:cs="Arial" w:eastAsia="Arial" w:hAnsi="Arial"/>
                <w:sz w:val="14"/>
                <w:szCs w:val="14"/>
                <w:color w:val="auto"/>
              </w:rPr>
              <w:t>Cash and cash equivalents, as of beginning of period</w:t>
            </w:r>
          </w:p>
        </w:tc>
        <w:tc>
          <w:tcPr>
            <w:tcW w:w="3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232,480</w:t>
            </w:r>
          </w:p>
        </w:tc>
        <w:tc>
          <w:tcPr>
            <w:tcW w:w="1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136,676</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172,740</w:t>
            </w:r>
          </w:p>
        </w:tc>
        <w:tc>
          <w:tcPr>
            <w:tcW w:w="12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205,415</w:t>
            </w:r>
          </w:p>
        </w:tc>
      </w:tr>
      <w:tr>
        <w:trPr>
          <w:trHeight w:val="345"/>
        </w:trPr>
        <w:tc>
          <w:tcPr>
            <w:tcW w:w="6080" w:type="dxa"/>
            <w:vAlign w:val="bottom"/>
          </w:tcPr>
          <w:p>
            <w:pPr>
              <w:spacing w:after="0"/>
              <w:rPr>
                <w:sz w:val="20"/>
                <w:szCs w:val="20"/>
                <w:color w:val="auto"/>
              </w:rPr>
            </w:pPr>
            <w:r>
              <w:rPr>
                <w:rFonts w:ascii="Arial" w:cs="Arial" w:eastAsia="Arial" w:hAnsi="Arial"/>
                <w:sz w:val="14"/>
                <w:szCs w:val="14"/>
                <w:color w:val="auto"/>
              </w:rPr>
              <w:t>Cash and cash equivalents, as of end of period</w:t>
            </w:r>
          </w:p>
        </w:tc>
        <w:tc>
          <w:tcPr>
            <w:tcW w:w="3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333,223</w:t>
            </w:r>
          </w:p>
        </w:tc>
        <w:tc>
          <w:tcPr>
            <w:tcW w:w="5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139,401</w:t>
            </w:r>
          </w:p>
        </w:tc>
        <w:tc>
          <w:tcPr>
            <w:tcW w:w="4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333,223</w:t>
            </w:r>
          </w:p>
        </w:tc>
        <w:tc>
          <w:tcPr>
            <w:tcW w:w="6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139,401</w:t>
            </w:r>
          </w:p>
        </w:tc>
      </w:tr>
      <w:tr>
        <w:trPr>
          <w:trHeight w:val="20"/>
        </w:trPr>
        <w:tc>
          <w:tcPr>
            <w:tcW w:w="60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291"/>
        </w:trPr>
        <w:tc>
          <w:tcPr>
            <w:tcW w:w="60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r>
      <w:tr>
        <w:trPr>
          <w:trHeight w:val="21"/>
        </w:trPr>
        <w:tc>
          <w:tcPr>
            <w:tcW w:w="6080" w:type="dxa"/>
            <w:vAlign w:val="bottom"/>
            <w:tcBorders>
              <w:bottom w:val="single" w:sz="8" w:color="EEEEEE"/>
            </w:tcBorders>
          </w:tcPr>
          <w:p>
            <w:pPr>
              <w:spacing w:after="0" w:line="20" w:lineRule="exact"/>
              <w:rPr>
                <w:sz w:val="1"/>
                <w:szCs w:val="1"/>
                <w:color w:val="auto"/>
              </w:rPr>
            </w:pPr>
          </w:p>
        </w:tc>
        <w:tc>
          <w:tcPr>
            <w:tcW w:w="300" w:type="dxa"/>
            <w:vAlign w:val="bottom"/>
            <w:tcBorders>
              <w:bottom w:val="single" w:sz="8" w:color="EEEEEE"/>
            </w:tcBorders>
          </w:tcPr>
          <w:p>
            <w:pPr>
              <w:spacing w:after="0" w:line="20" w:lineRule="exact"/>
              <w:rPr>
                <w:sz w:val="1"/>
                <w:szCs w:val="1"/>
                <w:color w:val="auto"/>
              </w:rPr>
            </w:pPr>
          </w:p>
        </w:tc>
        <w:tc>
          <w:tcPr>
            <w:tcW w:w="92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440" w:type="dxa"/>
            <w:vAlign w:val="bottom"/>
            <w:tcBorders>
              <w:bottom w:val="single" w:sz="8" w:color="EEEEEE"/>
            </w:tcBorders>
          </w:tcPr>
          <w:p>
            <w:pPr>
              <w:spacing w:after="0" w:line="20" w:lineRule="exact"/>
              <w:rPr>
                <w:sz w:val="1"/>
                <w:szCs w:val="1"/>
                <w:color w:val="auto"/>
              </w:rPr>
            </w:pPr>
          </w:p>
        </w:tc>
        <w:tc>
          <w:tcPr>
            <w:tcW w:w="84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84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500" w:type="dxa"/>
            <w:vAlign w:val="bottom"/>
            <w:tcBorders>
              <w:bottom w:val="single" w:sz="8" w:color="EEEEEE"/>
            </w:tcBorders>
          </w:tcPr>
          <w:p>
            <w:pPr>
              <w:spacing w:after="0" w:line="20" w:lineRule="exact"/>
              <w:rPr>
                <w:sz w:val="1"/>
                <w:szCs w:val="1"/>
                <w:color w:val="auto"/>
              </w:rPr>
            </w:pPr>
          </w:p>
        </w:tc>
        <w:tc>
          <w:tcPr>
            <w:tcW w:w="86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4"/>
          <w:szCs w:val="14"/>
          <w:b w:val="1"/>
          <w:bCs w:val="1"/>
          <w:color w:val="auto"/>
        </w:rPr>
        <w:t>WORLD FUEL SERVICES CORPORATION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RECONCILIATION OF GAAP TO NON-GAAP FINANCIAL MEASURES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 - IN THOUSANDS, EXCEPT PER SHARE DATA)</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000" w:type="dxa"/>
            <w:vAlign w:val="bottom"/>
          </w:tcPr>
          <w:p>
            <w:pPr>
              <w:spacing w:after="0"/>
              <w:rPr>
                <w:sz w:val="15"/>
                <w:szCs w:val="15"/>
                <w:color w:val="auto"/>
              </w:rPr>
            </w:pPr>
          </w:p>
        </w:tc>
        <w:tc>
          <w:tcPr>
            <w:tcW w:w="2220" w:type="dxa"/>
            <w:vAlign w:val="bottom"/>
            <w:gridSpan w:val="4"/>
          </w:tcPr>
          <w:p>
            <w:pPr>
              <w:jc w:val="right"/>
              <w:spacing w:after="0"/>
              <w:rPr>
                <w:sz w:val="20"/>
                <w:szCs w:val="20"/>
                <w:color w:val="auto"/>
              </w:rPr>
            </w:pPr>
            <w:r>
              <w:rPr>
                <w:rFonts w:ascii="Arial" w:cs="Arial" w:eastAsia="Arial" w:hAnsi="Arial"/>
                <w:sz w:val="14"/>
                <w:szCs w:val="14"/>
                <w:color w:val="auto"/>
              </w:rPr>
              <w:t>For the Three Months ended</w:t>
            </w: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380" w:type="dxa"/>
            <w:vAlign w:val="bottom"/>
            <w:gridSpan w:val="5"/>
          </w:tcPr>
          <w:p>
            <w:pPr>
              <w:jc w:val="right"/>
              <w:ind w:right="560"/>
              <w:spacing w:after="0"/>
              <w:rPr>
                <w:sz w:val="20"/>
                <w:szCs w:val="20"/>
                <w:color w:val="auto"/>
              </w:rPr>
            </w:pPr>
            <w:r>
              <w:rPr>
                <w:rFonts w:ascii="Arial" w:cs="Arial" w:eastAsia="Arial" w:hAnsi="Arial"/>
                <w:sz w:val="14"/>
                <w:szCs w:val="14"/>
                <w:color w:val="auto"/>
              </w:rPr>
              <w:t>For the Nine Months ended</w:t>
            </w:r>
          </w:p>
        </w:tc>
      </w:tr>
      <w:tr>
        <w:trPr>
          <w:trHeight w:val="181"/>
        </w:trPr>
        <w:tc>
          <w:tcPr>
            <w:tcW w:w="600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right"/>
              <w:ind w:right="408"/>
              <w:spacing w:after="0"/>
              <w:rPr>
                <w:sz w:val="20"/>
                <w:szCs w:val="20"/>
                <w:color w:val="auto"/>
              </w:rPr>
            </w:pPr>
            <w:r>
              <w:rPr>
                <w:rFonts w:ascii="Arial" w:cs="Arial" w:eastAsia="Arial" w:hAnsi="Arial"/>
                <w:sz w:val="14"/>
                <w:szCs w:val="14"/>
                <w:color w:val="auto"/>
              </w:rPr>
              <w:t>September 30,</w:t>
            </w:r>
          </w:p>
        </w:tc>
        <w:tc>
          <w:tcPr>
            <w:tcW w:w="4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September 30,</w:t>
            </w:r>
          </w:p>
        </w:tc>
        <w:tc>
          <w:tcPr>
            <w:tcW w:w="8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69"/>
        </w:trPr>
        <w:tc>
          <w:tcPr>
            <w:tcW w:w="600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2013</w:t>
            </w:r>
          </w:p>
        </w:tc>
        <w:tc>
          <w:tcPr>
            <w:tcW w:w="4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2012</w:t>
            </w:r>
          </w:p>
        </w:tc>
        <w:tc>
          <w:tcPr>
            <w:tcW w:w="4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2013</w:t>
            </w:r>
          </w:p>
        </w:tc>
        <w:tc>
          <w:tcPr>
            <w:tcW w:w="1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2012</w:t>
            </w:r>
          </w:p>
        </w:tc>
        <w:tc>
          <w:tcPr>
            <w:tcW w:w="20" w:type="dxa"/>
            <w:vAlign w:val="bottom"/>
          </w:tcPr>
          <w:p>
            <w:pPr>
              <w:spacing w:after="0"/>
              <w:rPr>
                <w:sz w:val="14"/>
                <w:szCs w:val="14"/>
                <w:color w:val="auto"/>
              </w:rPr>
            </w:pPr>
          </w:p>
        </w:tc>
      </w:tr>
      <w:tr>
        <w:trPr>
          <w:trHeight w:val="346"/>
        </w:trPr>
        <w:tc>
          <w:tcPr>
            <w:tcW w:w="6000" w:type="dxa"/>
            <w:vAlign w:val="bottom"/>
          </w:tcPr>
          <w:p>
            <w:pPr>
              <w:spacing w:after="0"/>
              <w:rPr>
                <w:sz w:val="20"/>
                <w:szCs w:val="20"/>
                <w:color w:val="auto"/>
              </w:rPr>
            </w:pPr>
            <w:r>
              <w:rPr>
                <w:rFonts w:ascii="Arial" w:cs="Arial" w:eastAsia="Arial" w:hAnsi="Arial"/>
                <w:sz w:val="14"/>
                <w:szCs w:val="14"/>
                <w:color w:val="auto"/>
              </w:rPr>
              <w:t>Non-GAAP financial measures and reconciliation:</w:t>
            </w: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1"/>
        </w:trPr>
        <w:tc>
          <w:tcPr>
            <w:tcW w:w="6000" w:type="dxa"/>
            <w:vAlign w:val="bottom"/>
          </w:tcPr>
          <w:p>
            <w:pPr>
              <w:spacing w:after="0"/>
              <w:rPr>
                <w:sz w:val="20"/>
                <w:szCs w:val="20"/>
                <w:color w:val="auto"/>
              </w:rPr>
            </w:pPr>
            <w:r>
              <w:rPr>
                <w:rFonts w:ascii="Arial" w:cs="Arial" w:eastAsia="Arial" w:hAnsi="Arial"/>
                <w:sz w:val="14"/>
                <w:szCs w:val="14"/>
                <w:color w:val="auto"/>
              </w:rPr>
              <w:t>GAAP net income attributable to World Fuel</w:t>
            </w:r>
          </w:p>
        </w:tc>
        <w:tc>
          <w:tcPr>
            <w:tcW w:w="800" w:type="dxa"/>
            <w:vAlign w:val="bottom"/>
          </w:tcPr>
          <w:p>
            <w:pPr>
              <w:jc w:val="right"/>
              <w:ind w:right="548"/>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w w:val="97"/>
              </w:rPr>
              <w:t>51,472</w:t>
            </w:r>
          </w:p>
        </w:tc>
        <w:tc>
          <w:tcPr>
            <w:tcW w:w="160" w:type="dxa"/>
            <w:vAlign w:val="bottom"/>
          </w:tcPr>
          <w:p>
            <w:pPr>
              <w:spacing w:after="0"/>
              <w:rPr>
                <w:sz w:val="24"/>
                <w:szCs w:val="24"/>
                <w:color w:val="auto"/>
              </w:rPr>
            </w:pPr>
          </w:p>
        </w:tc>
        <w:tc>
          <w:tcPr>
            <w:tcW w:w="820" w:type="dxa"/>
            <w:vAlign w:val="bottom"/>
          </w:tcPr>
          <w:p>
            <w:pPr>
              <w:jc w:val="right"/>
              <w:ind w:right="568"/>
              <w:spacing w:after="0"/>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80"/>
              <w:spacing w:after="0"/>
              <w:rPr>
                <w:sz w:val="20"/>
                <w:szCs w:val="20"/>
                <w:color w:val="auto"/>
              </w:rPr>
            </w:pPr>
            <w:r>
              <w:rPr>
                <w:rFonts w:ascii="Arial" w:cs="Arial" w:eastAsia="Arial" w:hAnsi="Arial"/>
                <w:sz w:val="14"/>
                <w:szCs w:val="14"/>
                <w:color w:val="auto"/>
                <w:w w:val="97"/>
              </w:rPr>
              <w:t>51,494</w:t>
            </w:r>
          </w:p>
        </w:tc>
        <w:tc>
          <w:tcPr>
            <w:tcW w:w="3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151,213</w:t>
            </w:r>
          </w:p>
        </w:tc>
        <w:tc>
          <w:tcPr>
            <w:tcW w:w="48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0"/>
              <w:spacing w:after="0"/>
              <w:rPr>
                <w:sz w:val="20"/>
                <w:szCs w:val="20"/>
                <w:color w:val="auto"/>
              </w:rPr>
            </w:pPr>
            <w:r>
              <w:rPr>
                <w:rFonts w:ascii="Arial" w:cs="Arial" w:eastAsia="Arial" w:hAnsi="Arial"/>
                <w:sz w:val="14"/>
                <w:szCs w:val="14"/>
                <w:color w:val="auto"/>
              </w:rPr>
              <w:t>146,509</w:t>
            </w:r>
          </w:p>
        </w:tc>
      </w:tr>
      <w:tr>
        <w:trPr>
          <w:trHeight w:val="219"/>
        </w:trPr>
        <w:tc>
          <w:tcPr>
            <w:tcW w:w="6000" w:type="dxa"/>
            <w:vAlign w:val="bottom"/>
          </w:tcPr>
          <w:p>
            <w:pPr>
              <w:ind w:left="180"/>
              <w:spacing w:after="0" w:line="219" w:lineRule="exact"/>
              <w:rPr>
                <w:sz w:val="20"/>
                <w:szCs w:val="20"/>
                <w:color w:val="auto"/>
              </w:rPr>
            </w:pPr>
            <w:r>
              <w:rPr>
                <w:rFonts w:ascii="Arial" w:cs="Arial" w:eastAsia="Arial" w:hAnsi="Arial"/>
                <w:sz w:val="14"/>
                <w:szCs w:val="14"/>
                <w:color w:val="auto"/>
              </w:rPr>
              <w:t xml:space="preserve">Share-based compensation expense, net of income taxes </w:t>
            </w:r>
            <w:r>
              <w:rPr>
                <w:rFonts w:ascii="Arial" w:cs="Arial" w:eastAsia="Arial" w:hAnsi="Arial"/>
                <w:sz w:val="23"/>
                <w:szCs w:val="23"/>
                <w:color w:val="auto"/>
                <w:vertAlign w:val="superscript"/>
              </w:rPr>
              <w:t>(1)</w:t>
            </w:r>
          </w:p>
        </w:tc>
        <w:tc>
          <w:tcPr>
            <w:tcW w:w="8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2,909</w:t>
            </w: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4"/>
                <w:szCs w:val="14"/>
                <w:color w:val="auto"/>
              </w:rPr>
              <w:t>2,475</w:t>
            </w:r>
          </w:p>
        </w:tc>
        <w:tc>
          <w:tcPr>
            <w:tcW w:w="32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8,370</w:t>
            </w:r>
          </w:p>
        </w:tc>
        <w:tc>
          <w:tcPr>
            <w:tcW w:w="48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4"/>
                <w:szCs w:val="14"/>
                <w:color w:val="auto"/>
              </w:rPr>
              <w:t>6,583</w:t>
            </w:r>
          </w:p>
        </w:tc>
      </w:tr>
      <w:tr>
        <w:trPr>
          <w:trHeight w:val="211"/>
        </w:trPr>
        <w:tc>
          <w:tcPr>
            <w:tcW w:w="6000" w:type="dxa"/>
            <w:vAlign w:val="bottom"/>
          </w:tcPr>
          <w:p>
            <w:pPr>
              <w:ind w:left="180"/>
              <w:spacing w:after="0" w:line="211" w:lineRule="exact"/>
              <w:rPr>
                <w:sz w:val="20"/>
                <w:szCs w:val="20"/>
                <w:color w:val="auto"/>
              </w:rPr>
            </w:pPr>
            <w:r>
              <w:rPr>
                <w:rFonts w:ascii="Arial" w:cs="Arial" w:eastAsia="Arial" w:hAnsi="Arial"/>
                <w:sz w:val="14"/>
                <w:szCs w:val="14"/>
                <w:color w:val="auto"/>
              </w:rPr>
              <w:t xml:space="preserve">Intangible asset amortization expense, net of income taxes </w:t>
            </w:r>
            <w:r>
              <w:rPr>
                <w:rFonts w:ascii="Arial" w:cs="Arial" w:eastAsia="Arial" w:hAnsi="Arial"/>
                <w:sz w:val="23"/>
                <w:szCs w:val="23"/>
                <w:color w:val="auto"/>
                <w:vertAlign w:val="superscript"/>
              </w:rPr>
              <w:t>(2)</w:t>
            </w:r>
          </w:p>
        </w:tc>
        <w:tc>
          <w:tcPr>
            <w:tcW w:w="8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3,501</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4"/>
                <w:szCs w:val="14"/>
                <w:color w:val="auto"/>
              </w:rPr>
              <w:t>3,953</w:t>
            </w:r>
          </w:p>
        </w:tc>
        <w:tc>
          <w:tcPr>
            <w:tcW w:w="3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10,809</w:t>
            </w:r>
          </w:p>
        </w:tc>
        <w:tc>
          <w:tcPr>
            <w:tcW w:w="4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4"/>
                <w:szCs w:val="14"/>
                <w:color w:val="auto"/>
              </w:rPr>
              <w:t>10,537</w:t>
            </w:r>
          </w:p>
        </w:tc>
      </w:tr>
      <w:tr>
        <w:trPr>
          <w:trHeight w:val="169"/>
        </w:trPr>
        <w:tc>
          <w:tcPr>
            <w:tcW w:w="6000" w:type="dxa"/>
            <w:vAlign w:val="bottom"/>
          </w:tcPr>
          <w:p>
            <w:pPr>
              <w:spacing w:after="0"/>
              <w:rPr>
                <w:sz w:val="20"/>
                <w:szCs w:val="20"/>
                <w:color w:val="auto"/>
              </w:rPr>
            </w:pPr>
            <w:r>
              <w:rPr>
                <w:rFonts w:ascii="Arial" w:cs="Arial" w:eastAsia="Arial" w:hAnsi="Arial"/>
                <w:sz w:val="14"/>
                <w:szCs w:val="14"/>
                <w:color w:val="auto"/>
              </w:rPr>
              <w:t>Non-GAAP net income attributable to World Fuel</w:t>
            </w:r>
          </w:p>
        </w:tc>
        <w:tc>
          <w:tcPr>
            <w:tcW w:w="80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4"/>
                <w:szCs w:val="14"/>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7"/>
              </w:rPr>
              <w:t>57,882</w:t>
            </w:r>
          </w:p>
        </w:tc>
        <w:tc>
          <w:tcPr>
            <w:tcW w:w="160" w:type="dxa"/>
            <w:vAlign w:val="bottom"/>
          </w:tcPr>
          <w:p>
            <w:pPr>
              <w:spacing w:after="0"/>
              <w:rPr>
                <w:sz w:val="14"/>
                <w:szCs w:val="14"/>
                <w:color w:val="auto"/>
              </w:rPr>
            </w:pPr>
          </w:p>
        </w:tc>
        <w:tc>
          <w:tcPr>
            <w:tcW w:w="820" w:type="dxa"/>
            <w:vAlign w:val="bottom"/>
            <w:tcBorders>
              <w:top w:val="single" w:sz="8" w:color="auto"/>
              <w:bottom w:val="single" w:sz="8" w:color="auto"/>
            </w:tcBorders>
          </w:tcPr>
          <w:p>
            <w:pPr>
              <w:jc w:val="right"/>
              <w:ind w:right="568"/>
              <w:spacing w:after="0"/>
              <w:rPr>
                <w:sz w:val="20"/>
                <w:szCs w:val="20"/>
                <w:color w:val="auto"/>
              </w:rPr>
            </w:pPr>
            <w:r>
              <w:rPr>
                <w:rFonts w:ascii="Arial" w:cs="Arial" w:eastAsia="Arial" w:hAnsi="Arial"/>
                <w:sz w:val="14"/>
                <w:szCs w:val="14"/>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7"/>
              </w:rPr>
              <w:t>57,922</w:t>
            </w:r>
          </w:p>
        </w:tc>
        <w:tc>
          <w:tcPr>
            <w:tcW w:w="80" w:type="dxa"/>
            <w:vAlign w:val="bottom"/>
          </w:tcPr>
          <w:p>
            <w:pPr>
              <w:spacing w:after="0"/>
              <w:rPr>
                <w:sz w:val="14"/>
                <w:szCs w:val="14"/>
                <w:color w:val="auto"/>
              </w:rPr>
            </w:pPr>
          </w:p>
        </w:tc>
        <w:tc>
          <w:tcPr>
            <w:tcW w:w="3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170,392</w:t>
            </w:r>
          </w:p>
        </w:tc>
        <w:tc>
          <w:tcPr>
            <w:tcW w:w="120" w:type="dxa"/>
            <w:vAlign w:val="bottom"/>
          </w:tcPr>
          <w:p>
            <w:pPr>
              <w:spacing w:after="0"/>
              <w:rPr>
                <w:sz w:val="14"/>
                <w:szCs w:val="14"/>
                <w:color w:val="auto"/>
              </w:rPr>
            </w:pPr>
          </w:p>
        </w:tc>
        <w:tc>
          <w:tcPr>
            <w:tcW w:w="48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163,629</w:t>
            </w:r>
          </w:p>
        </w:tc>
        <w:tc>
          <w:tcPr>
            <w:tcW w:w="20" w:type="dxa"/>
            <w:vAlign w:val="bottom"/>
          </w:tcPr>
          <w:p>
            <w:pPr>
              <w:spacing w:after="0"/>
              <w:rPr>
                <w:sz w:val="14"/>
                <w:szCs w:val="14"/>
                <w:color w:val="auto"/>
              </w:rPr>
            </w:pPr>
          </w:p>
        </w:tc>
      </w:tr>
      <w:tr>
        <w:trPr>
          <w:trHeight w:val="20"/>
        </w:trPr>
        <w:tc>
          <w:tcPr>
            <w:tcW w:w="60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3"/>
        </w:trPr>
        <w:tc>
          <w:tcPr>
            <w:tcW w:w="6000" w:type="dxa"/>
            <w:vAlign w:val="bottom"/>
          </w:tcPr>
          <w:p>
            <w:pPr>
              <w:spacing w:after="0"/>
              <w:rPr>
                <w:sz w:val="20"/>
                <w:szCs w:val="20"/>
                <w:color w:val="auto"/>
              </w:rPr>
            </w:pPr>
            <w:r>
              <w:rPr>
                <w:rFonts w:ascii="Arial" w:cs="Arial" w:eastAsia="Arial" w:hAnsi="Arial"/>
                <w:sz w:val="14"/>
                <w:szCs w:val="14"/>
                <w:color w:val="auto"/>
              </w:rPr>
              <w:t>GAAP diluted earnings per common share</w:t>
            </w:r>
          </w:p>
        </w:tc>
        <w:tc>
          <w:tcPr>
            <w:tcW w:w="800" w:type="dxa"/>
            <w:vAlign w:val="bottom"/>
          </w:tcPr>
          <w:p>
            <w:pPr>
              <w:jc w:val="right"/>
              <w:ind w:right="548"/>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0.72</w:t>
            </w:r>
          </w:p>
        </w:tc>
        <w:tc>
          <w:tcPr>
            <w:tcW w:w="160" w:type="dxa"/>
            <w:vAlign w:val="bottom"/>
          </w:tcPr>
          <w:p>
            <w:pPr>
              <w:spacing w:after="0"/>
              <w:rPr>
                <w:sz w:val="24"/>
                <w:szCs w:val="24"/>
                <w:color w:val="auto"/>
              </w:rPr>
            </w:pPr>
          </w:p>
        </w:tc>
        <w:tc>
          <w:tcPr>
            <w:tcW w:w="820" w:type="dxa"/>
            <w:vAlign w:val="bottom"/>
          </w:tcPr>
          <w:p>
            <w:pPr>
              <w:jc w:val="right"/>
              <w:ind w:right="568"/>
              <w:spacing w:after="0"/>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80"/>
              <w:spacing w:after="0"/>
              <w:rPr>
                <w:sz w:val="20"/>
                <w:szCs w:val="20"/>
                <w:color w:val="auto"/>
              </w:rPr>
            </w:pPr>
            <w:r>
              <w:rPr>
                <w:rFonts w:ascii="Arial" w:cs="Arial" w:eastAsia="Arial" w:hAnsi="Arial"/>
                <w:sz w:val="14"/>
                <w:szCs w:val="14"/>
                <w:color w:val="auto"/>
              </w:rPr>
              <w:t>0.72</w:t>
            </w:r>
          </w:p>
        </w:tc>
        <w:tc>
          <w:tcPr>
            <w:tcW w:w="3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2.10</w:t>
            </w:r>
          </w:p>
        </w:tc>
        <w:tc>
          <w:tcPr>
            <w:tcW w:w="48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0"/>
              <w:spacing w:after="0"/>
              <w:rPr>
                <w:sz w:val="20"/>
                <w:szCs w:val="20"/>
                <w:color w:val="auto"/>
              </w:rPr>
            </w:pPr>
            <w:r>
              <w:rPr>
                <w:rFonts w:ascii="Arial" w:cs="Arial" w:eastAsia="Arial" w:hAnsi="Arial"/>
                <w:sz w:val="14"/>
                <w:szCs w:val="14"/>
                <w:color w:val="auto"/>
              </w:rPr>
              <w:t>2.04</w:t>
            </w:r>
          </w:p>
        </w:tc>
      </w:tr>
      <w:tr>
        <w:trPr>
          <w:trHeight w:val="219"/>
        </w:trPr>
        <w:tc>
          <w:tcPr>
            <w:tcW w:w="6000" w:type="dxa"/>
            <w:vAlign w:val="bottom"/>
          </w:tcPr>
          <w:p>
            <w:pPr>
              <w:ind w:left="180"/>
              <w:spacing w:after="0" w:line="219" w:lineRule="exact"/>
              <w:rPr>
                <w:sz w:val="20"/>
                <w:szCs w:val="20"/>
                <w:color w:val="auto"/>
              </w:rPr>
            </w:pPr>
            <w:r>
              <w:rPr>
                <w:rFonts w:ascii="Arial" w:cs="Arial" w:eastAsia="Arial" w:hAnsi="Arial"/>
                <w:sz w:val="14"/>
                <w:szCs w:val="14"/>
                <w:color w:val="auto"/>
              </w:rPr>
              <w:t xml:space="preserve">Share-based compensation expense, net of income taxes </w:t>
            </w:r>
            <w:r>
              <w:rPr>
                <w:rFonts w:ascii="Arial" w:cs="Arial" w:eastAsia="Arial" w:hAnsi="Arial"/>
                <w:sz w:val="23"/>
                <w:szCs w:val="23"/>
                <w:color w:val="auto"/>
                <w:vertAlign w:val="superscript"/>
              </w:rPr>
              <w:t>(1)</w:t>
            </w:r>
          </w:p>
        </w:tc>
        <w:tc>
          <w:tcPr>
            <w:tcW w:w="8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0.04</w:t>
            </w: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4"/>
                <w:szCs w:val="14"/>
                <w:color w:val="auto"/>
              </w:rPr>
              <w:t>0.03</w:t>
            </w:r>
          </w:p>
        </w:tc>
        <w:tc>
          <w:tcPr>
            <w:tcW w:w="32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0.12</w:t>
            </w:r>
          </w:p>
        </w:tc>
        <w:tc>
          <w:tcPr>
            <w:tcW w:w="48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4"/>
                <w:szCs w:val="14"/>
                <w:color w:val="auto"/>
              </w:rPr>
              <w:t>0.09</w:t>
            </w:r>
          </w:p>
        </w:tc>
      </w:tr>
      <w:tr>
        <w:trPr>
          <w:trHeight w:val="211"/>
        </w:trPr>
        <w:tc>
          <w:tcPr>
            <w:tcW w:w="6000" w:type="dxa"/>
            <w:vAlign w:val="bottom"/>
          </w:tcPr>
          <w:p>
            <w:pPr>
              <w:ind w:left="180"/>
              <w:spacing w:after="0" w:line="211" w:lineRule="exact"/>
              <w:rPr>
                <w:sz w:val="20"/>
                <w:szCs w:val="20"/>
                <w:color w:val="auto"/>
              </w:rPr>
            </w:pPr>
            <w:r>
              <w:rPr>
                <w:rFonts w:ascii="Arial" w:cs="Arial" w:eastAsia="Arial" w:hAnsi="Arial"/>
                <w:sz w:val="14"/>
                <w:szCs w:val="14"/>
                <w:color w:val="auto"/>
              </w:rPr>
              <w:t xml:space="preserve">Intangible asset amortization expense, net of income taxes </w:t>
            </w:r>
            <w:r>
              <w:rPr>
                <w:rFonts w:ascii="Arial" w:cs="Arial" w:eastAsia="Arial" w:hAnsi="Arial"/>
                <w:sz w:val="23"/>
                <w:szCs w:val="23"/>
                <w:color w:val="auto"/>
                <w:vertAlign w:val="superscript"/>
              </w:rPr>
              <w:t>(2)</w:t>
            </w:r>
          </w:p>
        </w:tc>
        <w:tc>
          <w:tcPr>
            <w:tcW w:w="8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0.05</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4"/>
                <w:szCs w:val="14"/>
                <w:color w:val="auto"/>
              </w:rPr>
              <w:t>0.06</w:t>
            </w:r>
          </w:p>
        </w:tc>
        <w:tc>
          <w:tcPr>
            <w:tcW w:w="3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0.15</w:t>
            </w:r>
          </w:p>
        </w:tc>
        <w:tc>
          <w:tcPr>
            <w:tcW w:w="4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4"/>
                <w:szCs w:val="14"/>
                <w:color w:val="auto"/>
              </w:rPr>
              <w:t>0.15</w:t>
            </w:r>
          </w:p>
        </w:tc>
      </w:tr>
      <w:tr>
        <w:trPr>
          <w:trHeight w:val="169"/>
        </w:trPr>
        <w:tc>
          <w:tcPr>
            <w:tcW w:w="6000" w:type="dxa"/>
            <w:vAlign w:val="bottom"/>
          </w:tcPr>
          <w:p>
            <w:pPr>
              <w:spacing w:after="0"/>
              <w:rPr>
                <w:sz w:val="20"/>
                <w:szCs w:val="20"/>
                <w:color w:val="auto"/>
              </w:rPr>
            </w:pPr>
            <w:r>
              <w:rPr>
                <w:rFonts w:ascii="Arial" w:cs="Arial" w:eastAsia="Arial" w:hAnsi="Arial"/>
                <w:sz w:val="14"/>
                <w:szCs w:val="14"/>
                <w:color w:val="auto"/>
              </w:rPr>
              <w:t>Non-GAAP diluted earnings per common share</w:t>
            </w:r>
          </w:p>
        </w:tc>
        <w:tc>
          <w:tcPr>
            <w:tcW w:w="80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4"/>
                <w:szCs w:val="14"/>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0.81</w:t>
            </w:r>
          </w:p>
        </w:tc>
        <w:tc>
          <w:tcPr>
            <w:tcW w:w="160" w:type="dxa"/>
            <w:vAlign w:val="bottom"/>
          </w:tcPr>
          <w:p>
            <w:pPr>
              <w:spacing w:after="0"/>
              <w:rPr>
                <w:sz w:val="14"/>
                <w:szCs w:val="14"/>
                <w:color w:val="auto"/>
              </w:rPr>
            </w:pPr>
          </w:p>
        </w:tc>
        <w:tc>
          <w:tcPr>
            <w:tcW w:w="820" w:type="dxa"/>
            <w:vAlign w:val="bottom"/>
            <w:tcBorders>
              <w:top w:val="single" w:sz="8" w:color="auto"/>
              <w:bottom w:val="single" w:sz="8" w:color="auto"/>
            </w:tcBorders>
          </w:tcPr>
          <w:p>
            <w:pPr>
              <w:jc w:val="right"/>
              <w:ind w:right="568"/>
              <w:spacing w:after="0"/>
              <w:rPr>
                <w:sz w:val="20"/>
                <w:szCs w:val="20"/>
                <w:color w:val="auto"/>
              </w:rPr>
            </w:pPr>
            <w:r>
              <w:rPr>
                <w:rFonts w:ascii="Arial" w:cs="Arial" w:eastAsia="Arial" w:hAnsi="Arial"/>
                <w:sz w:val="14"/>
                <w:szCs w:val="14"/>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0.81</w:t>
            </w:r>
          </w:p>
        </w:tc>
        <w:tc>
          <w:tcPr>
            <w:tcW w:w="80" w:type="dxa"/>
            <w:vAlign w:val="bottom"/>
          </w:tcPr>
          <w:p>
            <w:pPr>
              <w:spacing w:after="0"/>
              <w:rPr>
                <w:sz w:val="14"/>
                <w:szCs w:val="14"/>
                <w:color w:val="auto"/>
              </w:rPr>
            </w:pPr>
          </w:p>
        </w:tc>
        <w:tc>
          <w:tcPr>
            <w:tcW w:w="3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2.37</w:t>
            </w:r>
          </w:p>
        </w:tc>
        <w:tc>
          <w:tcPr>
            <w:tcW w:w="120" w:type="dxa"/>
            <w:vAlign w:val="bottom"/>
          </w:tcPr>
          <w:p>
            <w:pPr>
              <w:spacing w:after="0"/>
              <w:rPr>
                <w:sz w:val="14"/>
                <w:szCs w:val="14"/>
                <w:color w:val="auto"/>
              </w:rPr>
            </w:pPr>
          </w:p>
        </w:tc>
        <w:tc>
          <w:tcPr>
            <w:tcW w:w="48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2.28</w:t>
            </w:r>
          </w:p>
        </w:tc>
        <w:tc>
          <w:tcPr>
            <w:tcW w:w="20" w:type="dxa"/>
            <w:vAlign w:val="bottom"/>
          </w:tcPr>
          <w:p>
            <w:pPr>
              <w:spacing w:after="0"/>
              <w:rPr>
                <w:sz w:val="14"/>
                <w:szCs w:val="14"/>
                <w:color w:val="auto"/>
              </w:rPr>
            </w:pPr>
          </w:p>
        </w:tc>
      </w:tr>
      <w:tr>
        <w:trPr>
          <w:trHeight w:val="20"/>
        </w:trPr>
        <w:tc>
          <w:tcPr>
            <w:tcW w:w="60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46" w:lineRule="exact"/>
        <w:rPr>
          <w:sz w:val="20"/>
          <w:szCs w:val="20"/>
          <w:color w:val="auto"/>
        </w:rPr>
      </w:pPr>
    </w:p>
    <w:p>
      <w:pPr>
        <w:ind w:left="180" w:right="280" w:hanging="172"/>
        <w:spacing w:after="0" w:line="253" w:lineRule="auto"/>
        <w:tabs>
          <w:tab w:leader="none" w:pos="180" w:val="left"/>
        </w:tabs>
        <w:numPr>
          <w:ilvl w:val="0"/>
          <w:numId w:val="1"/>
        </w:numPr>
        <w:rPr>
          <w:rFonts w:ascii="Arial" w:cs="Arial" w:eastAsia="Arial" w:hAnsi="Arial"/>
          <w:sz w:val="14"/>
          <w:szCs w:val="14"/>
          <w:color w:val="auto"/>
        </w:rPr>
      </w:pPr>
      <w:r>
        <w:rPr>
          <w:rFonts w:ascii="Arial" w:cs="Arial" w:eastAsia="Arial" w:hAnsi="Arial"/>
          <w:sz w:val="14"/>
          <w:szCs w:val="14"/>
          <w:color w:val="auto"/>
        </w:rPr>
        <w:t>The pre-tax amount of share-based compensation expense was $4,381 and $3,592 for the three months ended September 30, 2013 and 2012, respectively, and $12,578 and $9,549 for the nine months ended September 30, 2013 and 2012, respectively.</w:t>
      </w:r>
    </w:p>
    <w:p>
      <w:pPr>
        <w:spacing w:after="0" w:line="160" w:lineRule="exact"/>
        <w:rPr>
          <w:rFonts w:ascii="Arial" w:cs="Arial" w:eastAsia="Arial" w:hAnsi="Arial"/>
          <w:sz w:val="14"/>
          <w:szCs w:val="14"/>
          <w:color w:val="auto"/>
        </w:rPr>
      </w:pPr>
    </w:p>
    <w:p>
      <w:pPr>
        <w:ind w:left="180" w:right="60" w:hanging="172"/>
        <w:spacing w:after="0" w:line="253" w:lineRule="auto"/>
        <w:tabs>
          <w:tab w:leader="none" w:pos="180" w:val="left"/>
        </w:tabs>
        <w:numPr>
          <w:ilvl w:val="0"/>
          <w:numId w:val="1"/>
        </w:numPr>
        <w:rPr>
          <w:rFonts w:ascii="Arial" w:cs="Arial" w:eastAsia="Arial" w:hAnsi="Arial"/>
          <w:sz w:val="14"/>
          <w:szCs w:val="14"/>
          <w:color w:val="auto"/>
        </w:rPr>
      </w:pPr>
      <w:r>
        <w:rPr>
          <w:rFonts w:ascii="Arial" w:cs="Arial" w:eastAsia="Arial" w:hAnsi="Arial"/>
          <w:sz w:val="14"/>
          <w:szCs w:val="14"/>
          <w:color w:val="auto"/>
        </w:rPr>
        <w:t>The pre-tax amount of intangible asset amortization expense was $5,471 and $4,633 for the three months ended September 30, 2013 and 2012, respectively, and $16,910 and $13,177 for the nine months ended September 30, 2013 and 2012,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178435</wp:posOffset>
            </wp:positionV>
            <wp:extent cx="7272020" cy="596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4"/>
          <w:szCs w:val="14"/>
          <w:b w:val="1"/>
          <w:bCs w:val="1"/>
          <w:color w:val="auto"/>
        </w:rPr>
        <w:t>WORLD FUEL SERVICES CORPORATION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BUSINESS SEGMENTS INFORMATION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 -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180" w:type="dxa"/>
            <w:vAlign w:val="bottom"/>
            <w:gridSpan w:val="5"/>
          </w:tcPr>
          <w:p>
            <w:pPr>
              <w:jc w:val="right"/>
              <w:ind w:right="1060"/>
              <w:spacing w:after="0"/>
              <w:rPr>
                <w:sz w:val="20"/>
                <w:szCs w:val="20"/>
                <w:color w:val="auto"/>
              </w:rPr>
            </w:pPr>
            <w:r>
              <w:rPr>
                <w:rFonts w:ascii="Arial" w:cs="Arial" w:eastAsia="Arial" w:hAnsi="Arial"/>
                <w:sz w:val="14"/>
                <w:szCs w:val="14"/>
                <w:color w:val="auto"/>
              </w:rPr>
              <w:t>For the Three Months ended</w:t>
            </w:r>
          </w:p>
        </w:tc>
        <w:tc>
          <w:tcPr>
            <w:tcW w:w="420" w:type="dxa"/>
            <w:vAlign w:val="bottom"/>
          </w:tcPr>
          <w:p>
            <w:pPr>
              <w:spacing w:after="0"/>
              <w:rPr>
                <w:sz w:val="15"/>
                <w:szCs w:val="15"/>
                <w:color w:val="auto"/>
              </w:rPr>
            </w:pPr>
          </w:p>
        </w:tc>
        <w:tc>
          <w:tcPr>
            <w:tcW w:w="3020" w:type="dxa"/>
            <w:vAlign w:val="bottom"/>
            <w:gridSpan w:val="5"/>
          </w:tcPr>
          <w:p>
            <w:pPr>
              <w:jc w:val="right"/>
              <w:ind w:right="940"/>
              <w:spacing w:after="0"/>
              <w:rPr>
                <w:sz w:val="20"/>
                <w:szCs w:val="20"/>
                <w:color w:val="auto"/>
              </w:rPr>
            </w:pPr>
            <w:r>
              <w:rPr>
                <w:rFonts w:ascii="Arial" w:cs="Arial" w:eastAsia="Arial" w:hAnsi="Arial"/>
                <w:sz w:val="14"/>
                <w:szCs w:val="14"/>
                <w:color w:val="auto"/>
              </w:rPr>
              <w:t>For the Nine Months ended</w:t>
            </w:r>
          </w:p>
        </w:tc>
        <w:tc>
          <w:tcPr>
            <w:tcW w:w="0" w:type="dxa"/>
            <w:vAlign w:val="bottom"/>
          </w:tcPr>
          <w:p>
            <w:pPr>
              <w:spacing w:after="0"/>
              <w:rPr>
                <w:sz w:val="1"/>
                <w:szCs w:val="1"/>
                <w:color w:val="auto"/>
              </w:rPr>
            </w:pPr>
          </w:p>
        </w:tc>
      </w:tr>
      <w:tr>
        <w:trPr>
          <w:trHeight w:val="181"/>
        </w:trPr>
        <w:tc>
          <w:tcPr>
            <w:tcW w:w="438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4"/>
                <w:szCs w:val="14"/>
                <w:color w:val="auto"/>
              </w:rPr>
              <w:t>September 30,</w:t>
            </w:r>
          </w:p>
        </w:tc>
        <w:tc>
          <w:tcPr>
            <w:tcW w:w="11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color w:val="auto"/>
              </w:rPr>
              <w:t>September 30,</w:t>
            </w:r>
          </w:p>
        </w:tc>
        <w:tc>
          <w:tcPr>
            <w:tcW w:w="11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3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color w:val="auto"/>
              </w:rPr>
              <w:t>2013</w:t>
            </w:r>
          </w:p>
        </w:tc>
        <w:tc>
          <w:tcPr>
            <w:tcW w:w="14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color w:val="auto"/>
              </w:rPr>
              <w:t>2012</w:t>
            </w:r>
          </w:p>
        </w:tc>
        <w:tc>
          <w:tcPr>
            <w:tcW w:w="1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color w:val="auto"/>
              </w:rPr>
              <w:t>2013</w:t>
            </w:r>
          </w:p>
        </w:tc>
        <w:tc>
          <w:tcPr>
            <w:tcW w:w="12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color w:val="auto"/>
              </w:rPr>
              <w:t>2012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380" w:type="dxa"/>
            <w:vAlign w:val="bottom"/>
          </w:tcPr>
          <w:p>
            <w:pPr>
              <w:spacing w:after="0"/>
              <w:rPr>
                <w:sz w:val="20"/>
                <w:szCs w:val="20"/>
                <w:color w:val="auto"/>
              </w:rPr>
            </w:pPr>
            <w:r>
              <w:rPr>
                <w:rFonts w:ascii="Arial" w:cs="Arial" w:eastAsia="Arial" w:hAnsi="Arial"/>
                <w:sz w:val="14"/>
                <w:szCs w:val="14"/>
                <w:color w:val="auto"/>
              </w:rPr>
              <w:t>Revenue:</w:t>
            </w:r>
          </w:p>
        </w:tc>
        <w:tc>
          <w:tcPr>
            <w:tcW w:w="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380" w:type="dxa"/>
            <w:vAlign w:val="bottom"/>
          </w:tcPr>
          <w:p>
            <w:pPr>
              <w:ind w:left="140"/>
              <w:spacing w:after="0"/>
              <w:rPr>
                <w:sz w:val="20"/>
                <w:szCs w:val="20"/>
                <w:color w:val="auto"/>
              </w:rPr>
            </w:pPr>
            <w:r>
              <w:rPr>
                <w:rFonts w:ascii="Arial" w:cs="Arial" w:eastAsia="Arial" w:hAnsi="Arial"/>
                <w:sz w:val="14"/>
                <w:szCs w:val="14"/>
                <w:color w:val="auto"/>
              </w:rPr>
              <w:t>Aviation segment</w:t>
            </w:r>
          </w:p>
        </w:tc>
        <w:tc>
          <w:tcPr>
            <w:tcW w:w="44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4,179,018</w:t>
            </w:r>
          </w:p>
        </w:tc>
        <w:tc>
          <w:tcPr>
            <w:tcW w:w="140" w:type="dxa"/>
            <w:vAlign w:val="bottom"/>
          </w:tcPr>
          <w:p>
            <w:pPr>
              <w:spacing w:after="0"/>
              <w:rPr>
                <w:sz w:val="15"/>
                <w:szCs w:val="15"/>
                <w:color w:val="auto"/>
              </w:rPr>
            </w:pPr>
          </w:p>
        </w:tc>
        <w:tc>
          <w:tcPr>
            <w:tcW w:w="48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3,823,338</w:t>
            </w:r>
          </w:p>
        </w:tc>
        <w:tc>
          <w:tcPr>
            <w:tcW w:w="42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320" w:type="dxa"/>
            <w:vAlign w:val="bottom"/>
            <w:gridSpan w:val="2"/>
          </w:tcPr>
          <w:p>
            <w:pPr>
              <w:jc w:val="right"/>
              <w:ind w:right="120"/>
              <w:spacing w:after="0"/>
              <w:rPr>
                <w:sz w:val="20"/>
                <w:szCs w:val="20"/>
                <w:color w:val="auto"/>
              </w:rPr>
            </w:pPr>
            <w:r>
              <w:rPr>
                <w:rFonts w:ascii="Arial" w:cs="Arial" w:eastAsia="Arial" w:hAnsi="Arial"/>
                <w:sz w:val="14"/>
                <w:szCs w:val="14"/>
                <w:color w:val="auto"/>
              </w:rPr>
              <w:t>11,854,676</w:t>
            </w:r>
          </w:p>
        </w:tc>
        <w:tc>
          <w:tcPr>
            <w:tcW w:w="54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0"/>
              <w:spacing w:after="0"/>
              <w:rPr>
                <w:sz w:val="20"/>
                <w:szCs w:val="20"/>
                <w:color w:val="auto"/>
              </w:rPr>
            </w:pPr>
            <w:r>
              <w:rPr>
                <w:rFonts w:ascii="Arial" w:cs="Arial" w:eastAsia="Arial" w:hAnsi="Arial"/>
                <w:sz w:val="14"/>
                <w:szCs w:val="14"/>
                <w:color w:val="auto"/>
              </w:rPr>
              <w:t>10,782,756</w:t>
            </w:r>
          </w:p>
        </w:tc>
        <w:tc>
          <w:tcPr>
            <w:tcW w:w="0" w:type="dxa"/>
            <w:vAlign w:val="bottom"/>
          </w:tcPr>
          <w:p>
            <w:pPr>
              <w:spacing w:after="0"/>
              <w:rPr>
                <w:sz w:val="1"/>
                <w:szCs w:val="1"/>
                <w:color w:val="auto"/>
              </w:rPr>
            </w:pPr>
          </w:p>
        </w:tc>
      </w:tr>
      <w:tr>
        <w:trPr>
          <w:trHeight w:val="176"/>
        </w:trPr>
        <w:tc>
          <w:tcPr>
            <w:tcW w:w="4380" w:type="dxa"/>
            <w:vAlign w:val="bottom"/>
          </w:tcPr>
          <w:p>
            <w:pPr>
              <w:ind w:left="140"/>
              <w:spacing w:after="0"/>
              <w:rPr>
                <w:sz w:val="20"/>
                <w:szCs w:val="20"/>
                <w:color w:val="auto"/>
              </w:rPr>
            </w:pPr>
            <w:r>
              <w:rPr>
                <w:rFonts w:ascii="Arial" w:cs="Arial" w:eastAsia="Arial" w:hAnsi="Arial"/>
                <w:sz w:val="14"/>
                <w:szCs w:val="14"/>
                <w:color w:val="auto"/>
              </w:rPr>
              <w:t>Marine segment</w:t>
            </w:r>
          </w:p>
        </w:tc>
        <w:tc>
          <w:tcPr>
            <w:tcW w:w="44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3,575,777</w:t>
            </w: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3,630,094</w:t>
            </w:r>
          </w:p>
        </w:tc>
        <w:tc>
          <w:tcPr>
            <w:tcW w:w="420" w:type="dxa"/>
            <w:vAlign w:val="bottom"/>
          </w:tcPr>
          <w:p>
            <w:pPr>
              <w:spacing w:after="0"/>
              <w:rPr>
                <w:sz w:val="15"/>
                <w:szCs w:val="15"/>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4"/>
                <w:szCs w:val="14"/>
                <w:color w:val="auto"/>
              </w:rPr>
              <w:t>11,260,025</w:t>
            </w:r>
          </w:p>
        </w:tc>
        <w:tc>
          <w:tcPr>
            <w:tcW w:w="540" w:type="dxa"/>
            <w:vAlign w:val="bottom"/>
          </w:tcPr>
          <w:p>
            <w:pPr>
              <w:spacing w:after="0"/>
              <w:rPr>
                <w:sz w:val="15"/>
                <w:szCs w:val="15"/>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4"/>
                <w:szCs w:val="14"/>
                <w:color w:val="auto"/>
              </w:rPr>
              <w:t>11,301,429</w:t>
            </w:r>
          </w:p>
        </w:tc>
        <w:tc>
          <w:tcPr>
            <w:tcW w:w="0" w:type="dxa"/>
            <w:vAlign w:val="bottom"/>
          </w:tcPr>
          <w:p>
            <w:pPr>
              <w:spacing w:after="0"/>
              <w:rPr>
                <w:sz w:val="1"/>
                <w:szCs w:val="1"/>
                <w:color w:val="auto"/>
              </w:rPr>
            </w:pPr>
          </w:p>
        </w:tc>
      </w:tr>
      <w:tr>
        <w:trPr>
          <w:trHeight w:val="181"/>
        </w:trPr>
        <w:tc>
          <w:tcPr>
            <w:tcW w:w="4380" w:type="dxa"/>
            <w:vAlign w:val="bottom"/>
          </w:tcPr>
          <w:p>
            <w:pPr>
              <w:ind w:left="140"/>
              <w:spacing w:after="0"/>
              <w:rPr>
                <w:sz w:val="20"/>
                <w:szCs w:val="20"/>
                <w:color w:val="auto"/>
              </w:rPr>
            </w:pPr>
            <w:r>
              <w:rPr>
                <w:rFonts w:ascii="Arial" w:cs="Arial" w:eastAsia="Arial" w:hAnsi="Arial"/>
                <w:sz w:val="14"/>
                <w:szCs w:val="14"/>
                <w:color w:val="auto"/>
              </w:rPr>
              <w:t>Land segment</w:t>
            </w:r>
          </w:p>
        </w:tc>
        <w:tc>
          <w:tcPr>
            <w:tcW w:w="44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2,738,866</w:t>
            </w: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2,458,241</w:t>
            </w:r>
          </w:p>
        </w:tc>
        <w:tc>
          <w:tcPr>
            <w:tcW w:w="4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8,042,593</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4"/>
                <w:szCs w:val="14"/>
                <w:color w:val="auto"/>
              </w:rPr>
              <w:t>6,925,340</w:t>
            </w:r>
          </w:p>
        </w:tc>
        <w:tc>
          <w:tcPr>
            <w:tcW w:w="0" w:type="dxa"/>
            <w:vAlign w:val="bottom"/>
          </w:tcPr>
          <w:p>
            <w:pPr>
              <w:spacing w:after="0"/>
              <w:rPr>
                <w:sz w:val="1"/>
                <w:szCs w:val="1"/>
                <w:color w:val="auto"/>
              </w:rPr>
            </w:pPr>
          </w:p>
        </w:tc>
      </w:tr>
      <w:tr>
        <w:trPr>
          <w:trHeight w:val="169"/>
        </w:trPr>
        <w:tc>
          <w:tcPr>
            <w:tcW w:w="4380" w:type="dxa"/>
            <w:vAlign w:val="bottom"/>
          </w:tcPr>
          <w:p>
            <w:pPr>
              <w:spacing w:after="0"/>
              <w:rPr>
                <w:sz w:val="14"/>
                <w:szCs w:val="14"/>
                <w:color w:val="auto"/>
              </w:rPr>
            </w:pPr>
          </w:p>
        </w:tc>
        <w:tc>
          <w:tcPr>
            <w:tcW w:w="44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10,493,661</w:t>
            </w:r>
          </w:p>
        </w:tc>
        <w:tc>
          <w:tcPr>
            <w:tcW w:w="140" w:type="dxa"/>
            <w:vAlign w:val="bottom"/>
          </w:tcPr>
          <w:p>
            <w:pPr>
              <w:spacing w:after="0"/>
              <w:rPr>
                <w:sz w:val="14"/>
                <w:szCs w:val="14"/>
                <w:color w:val="auto"/>
              </w:rPr>
            </w:pPr>
          </w:p>
        </w:tc>
        <w:tc>
          <w:tcPr>
            <w:tcW w:w="48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9,911,673</w:t>
            </w:r>
          </w:p>
        </w:tc>
        <w:tc>
          <w:tcPr>
            <w:tcW w:w="140" w:type="dxa"/>
            <w:vAlign w:val="bottom"/>
          </w:tcPr>
          <w:p>
            <w:pPr>
              <w:spacing w:after="0"/>
              <w:rPr>
                <w:sz w:val="14"/>
                <w:szCs w:val="14"/>
                <w:color w:val="auto"/>
              </w:rPr>
            </w:pPr>
          </w:p>
        </w:tc>
        <w:tc>
          <w:tcPr>
            <w:tcW w:w="42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31,157,294</w:t>
            </w:r>
          </w:p>
        </w:tc>
        <w:tc>
          <w:tcPr>
            <w:tcW w:w="120" w:type="dxa"/>
            <w:vAlign w:val="bottom"/>
          </w:tcPr>
          <w:p>
            <w:pPr>
              <w:spacing w:after="0"/>
              <w:rPr>
                <w:sz w:val="14"/>
                <w:szCs w:val="14"/>
                <w:color w:val="auto"/>
              </w:rPr>
            </w:pPr>
          </w:p>
        </w:tc>
        <w:tc>
          <w:tcPr>
            <w:tcW w:w="54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29,009,525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380" w:type="dxa"/>
            <w:vAlign w:val="bottom"/>
            <w:vMerge w:val="restart"/>
          </w:tcPr>
          <w:p>
            <w:pPr>
              <w:spacing w:after="0"/>
              <w:rPr>
                <w:sz w:val="20"/>
                <w:szCs w:val="20"/>
                <w:color w:val="auto"/>
              </w:rPr>
            </w:pPr>
            <w:r>
              <w:rPr>
                <w:rFonts w:ascii="Arial" w:cs="Arial" w:eastAsia="Arial" w:hAnsi="Arial"/>
                <w:sz w:val="14"/>
                <w:szCs w:val="14"/>
                <w:color w:val="auto"/>
              </w:rPr>
              <w:t>Gross profit:</w:t>
            </w:r>
          </w:p>
        </w:tc>
        <w:tc>
          <w:tcPr>
            <w:tcW w:w="4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438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4380" w:type="dxa"/>
            <w:vAlign w:val="bottom"/>
          </w:tcPr>
          <w:p>
            <w:pPr>
              <w:ind w:left="140"/>
              <w:spacing w:after="0"/>
              <w:rPr>
                <w:sz w:val="20"/>
                <w:szCs w:val="20"/>
                <w:color w:val="auto"/>
              </w:rPr>
            </w:pPr>
            <w:r>
              <w:rPr>
                <w:rFonts w:ascii="Arial" w:cs="Arial" w:eastAsia="Arial" w:hAnsi="Arial"/>
                <w:sz w:val="14"/>
                <w:szCs w:val="14"/>
                <w:color w:val="auto"/>
              </w:rPr>
              <w:t>Aviation segment</w:t>
            </w:r>
          </w:p>
        </w:tc>
        <w:tc>
          <w:tcPr>
            <w:tcW w:w="44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89,758</w:t>
            </w:r>
          </w:p>
        </w:tc>
        <w:tc>
          <w:tcPr>
            <w:tcW w:w="140" w:type="dxa"/>
            <w:vAlign w:val="bottom"/>
          </w:tcPr>
          <w:p>
            <w:pPr>
              <w:spacing w:after="0"/>
              <w:rPr>
                <w:sz w:val="15"/>
                <w:szCs w:val="15"/>
                <w:color w:val="auto"/>
              </w:rPr>
            </w:pPr>
          </w:p>
        </w:tc>
        <w:tc>
          <w:tcPr>
            <w:tcW w:w="48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84,197</w:t>
            </w:r>
          </w:p>
        </w:tc>
        <w:tc>
          <w:tcPr>
            <w:tcW w:w="42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320" w:type="dxa"/>
            <w:vAlign w:val="bottom"/>
            <w:gridSpan w:val="2"/>
          </w:tcPr>
          <w:p>
            <w:pPr>
              <w:jc w:val="right"/>
              <w:ind w:right="120"/>
              <w:spacing w:after="0"/>
              <w:rPr>
                <w:sz w:val="20"/>
                <w:szCs w:val="20"/>
                <w:color w:val="auto"/>
              </w:rPr>
            </w:pPr>
            <w:r>
              <w:rPr>
                <w:rFonts w:ascii="Arial" w:cs="Arial" w:eastAsia="Arial" w:hAnsi="Arial"/>
                <w:sz w:val="14"/>
                <w:szCs w:val="14"/>
                <w:color w:val="auto"/>
              </w:rPr>
              <w:t>242,783</w:t>
            </w:r>
          </w:p>
        </w:tc>
        <w:tc>
          <w:tcPr>
            <w:tcW w:w="54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0"/>
              <w:spacing w:after="0"/>
              <w:rPr>
                <w:sz w:val="20"/>
                <w:szCs w:val="20"/>
                <w:color w:val="auto"/>
              </w:rPr>
            </w:pPr>
            <w:r>
              <w:rPr>
                <w:rFonts w:ascii="Arial" w:cs="Arial" w:eastAsia="Arial" w:hAnsi="Arial"/>
                <w:sz w:val="14"/>
                <w:szCs w:val="14"/>
                <w:color w:val="auto"/>
              </w:rPr>
              <w:t>218,282</w:t>
            </w:r>
          </w:p>
        </w:tc>
        <w:tc>
          <w:tcPr>
            <w:tcW w:w="0" w:type="dxa"/>
            <w:vAlign w:val="bottom"/>
          </w:tcPr>
          <w:p>
            <w:pPr>
              <w:spacing w:after="0"/>
              <w:rPr>
                <w:sz w:val="1"/>
                <w:szCs w:val="1"/>
                <w:color w:val="auto"/>
              </w:rPr>
            </w:pPr>
          </w:p>
        </w:tc>
      </w:tr>
      <w:tr>
        <w:trPr>
          <w:trHeight w:val="176"/>
        </w:trPr>
        <w:tc>
          <w:tcPr>
            <w:tcW w:w="4380" w:type="dxa"/>
            <w:vAlign w:val="bottom"/>
          </w:tcPr>
          <w:p>
            <w:pPr>
              <w:ind w:left="140"/>
              <w:spacing w:after="0"/>
              <w:rPr>
                <w:sz w:val="20"/>
                <w:szCs w:val="20"/>
                <w:color w:val="auto"/>
              </w:rPr>
            </w:pPr>
            <w:r>
              <w:rPr>
                <w:rFonts w:ascii="Arial" w:cs="Arial" w:eastAsia="Arial" w:hAnsi="Arial"/>
                <w:sz w:val="14"/>
                <w:szCs w:val="14"/>
                <w:color w:val="auto"/>
              </w:rPr>
              <w:t>Marine segment</w:t>
            </w:r>
          </w:p>
        </w:tc>
        <w:tc>
          <w:tcPr>
            <w:tcW w:w="44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40,223</w:t>
            </w: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53,960</w:t>
            </w:r>
          </w:p>
        </w:tc>
        <w:tc>
          <w:tcPr>
            <w:tcW w:w="420" w:type="dxa"/>
            <w:vAlign w:val="bottom"/>
          </w:tcPr>
          <w:p>
            <w:pPr>
              <w:spacing w:after="0"/>
              <w:rPr>
                <w:sz w:val="15"/>
                <w:szCs w:val="15"/>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4"/>
                <w:szCs w:val="14"/>
                <w:color w:val="auto"/>
              </w:rPr>
              <w:t>134,237</w:t>
            </w:r>
          </w:p>
        </w:tc>
        <w:tc>
          <w:tcPr>
            <w:tcW w:w="540" w:type="dxa"/>
            <w:vAlign w:val="bottom"/>
          </w:tcPr>
          <w:p>
            <w:pPr>
              <w:spacing w:after="0"/>
              <w:rPr>
                <w:sz w:val="15"/>
                <w:szCs w:val="15"/>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4"/>
                <w:szCs w:val="14"/>
                <w:color w:val="auto"/>
              </w:rPr>
              <w:t>160,785</w:t>
            </w:r>
          </w:p>
        </w:tc>
        <w:tc>
          <w:tcPr>
            <w:tcW w:w="0" w:type="dxa"/>
            <w:vAlign w:val="bottom"/>
          </w:tcPr>
          <w:p>
            <w:pPr>
              <w:spacing w:after="0"/>
              <w:rPr>
                <w:sz w:val="1"/>
                <w:szCs w:val="1"/>
                <w:color w:val="auto"/>
              </w:rPr>
            </w:pPr>
          </w:p>
        </w:tc>
      </w:tr>
      <w:tr>
        <w:trPr>
          <w:trHeight w:val="181"/>
        </w:trPr>
        <w:tc>
          <w:tcPr>
            <w:tcW w:w="4380" w:type="dxa"/>
            <w:vAlign w:val="bottom"/>
          </w:tcPr>
          <w:p>
            <w:pPr>
              <w:ind w:left="140"/>
              <w:spacing w:after="0"/>
              <w:rPr>
                <w:sz w:val="20"/>
                <w:szCs w:val="20"/>
                <w:color w:val="auto"/>
              </w:rPr>
            </w:pPr>
            <w:r>
              <w:rPr>
                <w:rFonts w:ascii="Arial" w:cs="Arial" w:eastAsia="Arial" w:hAnsi="Arial"/>
                <w:sz w:val="14"/>
                <w:szCs w:val="14"/>
                <w:color w:val="auto"/>
              </w:rPr>
              <w:t>Land segment</w:t>
            </w:r>
          </w:p>
        </w:tc>
        <w:tc>
          <w:tcPr>
            <w:tcW w:w="44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56,360</w:t>
            </w: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42,595</w:t>
            </w:r>
          </w:p>
        </w:tc>
        <w:tc>
          <w:tcPr>
            <w:tcW w:w="420" w:type="dxa"/>
            <w:vAlign w:val="bottom"/>
          </w:tcPr>
          <w:p>
            <w:pPr>
              <w:spacing w:after="0"/>
              <w:rPr>
                <w:sz w:val="15"/>
                <w:szCs w:val="15"/>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4"/>
                <w:szCs w:val="14"/>
                <w:color w:val="auto"/>
              </w:rPr>
              <w:t>180,158</w:t>
            </w:r>
          </w:p>
        </w:tc>
        <w:tc>
          <w:tcPr>
            <w:tcW w:w="540" w:type="dxa"/>
            <w:vAlign w:val="bottom"/>
          </w:tcPr>
          <w:p>
            <w:pPr>
              <w:spacing w:after="0"/>
              <w:rPr>
                <w:sz w:val="15"/>
                <w:szCs w:val="15"/>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4"/>
                <w:szCs w:val="14"/>
                <w:color w:val="auto"/>
              </w:rPr>
              <w:t>131,043</w:t>
            </w:r>
          </w:p>
        </w:tc>
        <w:tc>
          <w:tcPr>
            <w:tcW w:w="0" w:type="dxa"/>
            <w:vAlign w:val="bottom"/>
          </w:tcPr>
          <w:p>
            <w:pPr>
              <w:spacing w:after="0"/>
              <w:rPr>
                <w:sz w:val="1"/>
                <w:szCs w:val="1"/>
                <w:color w:val="auto"/>
              </w:rPr>
            </w:pPr>
          </w:p>
        </w:tc>
      </w:tr>
      <w:tr>
        <w:trPr>
          <w:trHeight w:val="169"/>
        </w:trPr>
        <w:tc>
          <w:tcPr>
            <w:tcW w:w="4380" w:type="dxa"/>
            <w:vAlign w:val="bottom"/>
          </w:tcPr>
          <w:p>
            <w:pPr>
              <w:spacing w:after="0"/>
              <w:rPr>
                <w:sz w:val="14"/>
                <w:szCs w:val="14"/>
                <w:color w:val="auto"/>
              </w:rPr>
            </w:pPr>
          </w:p>
        </w:tc>
        <w:tc>
          <w:tcPr>
            <w:tcW w:w="44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186,341</w:t>
            </w:r>
          </w:p>
        </w:tc>
        <w:tc>
          <w:tcPr>
            <w:tcW w:w="140" w:type="dxa"/>
            <w:vAlign w:val="bottom"/>
          </w:tcPr>
          <w:p>
            <w:pPr>
              <w:spacing w:after="0"/>
              <w:rPr>
                <w:sz w:val="14"/>
                <w:szCs w:val="14"/>
                <w:color w:val="auto"/>
              </w:rPr>
            </w:pPr>
          </w:p>
        </w:tc>
        <w:tc>
          <w:tcPr>
            <w:tcW w:w="48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180,752</w:t>
            </w:r>
          </w:p>
        </w:tc>
        <w:tc>
          <w:tcPr>
            <w:tcW w:w="140" w:type="dxa"/>
            <w:vAlign w:val="bottom"/>
          </w:tcPr>
          <w:p>
            <w:pPr>
              <w:spacing w:after="0"/>
              <w:rPr>
                <w:sz w:val="14"/>
                <w:szCs w:val="14"/>
                <w:color w:val="auto"/>
              </w:rPr>
            </w:pPr>
          </w:p>
        </w:tc>
        <w:tc>
          <w:tcPr>
            <w:tcW w:w="42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557,178</w:t>
            </w:r>
          </w:p>
        </w:tc>
        <w:tc>
          <w:tcPr>
            <w:tcW w:w="120" w:type="dxa"/>
            <w:vAlign w:val="bottom"/>
          </w:tcPr>
          <w:p>
            <w:pPr>
              <w:spacing w:after="0"/>
              <w:rPr>
                <w:sz w:val="14"/>
                <w:szCs w:val="14"/>
                <w:color w:val="auto"/>
              </w:rPr>
            </w:pPr>
          </w:p>
        </w:tc>
        <w:tc>
          <w:tcPr>
            <w:tcW w:w="54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510,110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380" w:type="dxa"/>
            <w:vAlign w:val="bottom"/>
            <w:vMerge w:val="restart"/>
          </w:tcPr>
          <w:p>
            <w:pPr>
              <w:spacing w:after="0"/>
              <w:rPr>
                <w:sz w:val="20"/>
                <w:szCs w:val="20"/>
                <w:color w:val="auto"/>
              </w:rPr>
            </w:pPr>
            <w:r>
              <w:rPr>
                <w:rFonts w:ascii="Arial" w:cs="Arial" w:eastAsia="Arial" w:hAnsi="Arial"/>
                <w:sz w:val="14"/>
                <w:szCs w:val="14"/>
                <w:color w:val="auto"/>
              </w:rPr>
              <w:t>Income from operations:</w:t>
            </w:r>
          </w:p>
        </w:tc>
        <w:tc>
          <w:tcPr>
            <w:tcW w:w="4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438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4380" w:type="dxa"/>
            <w:vAlign w:val="bottom"/>
          </w:tcPr>
          <w:p>
            <w:pPr>
              <w:ind w:left="140"/>
              <w:spacing w:after="0"/>
              <w:rPr>
                <w:sz w:val="20"/>
                <w:szCs w:val="20"/>
                <w:color w:val="auto"/>
              </w:rPr>
            </w:pPr>
            <w:r>
              <w:rPr>
                <w:rFonts w:ascii="Arial" w:cs="Arial" w:eastAsia="Arial" w:hAnsi="Arial"/>
                <w:sz w:val="14"/>
                <w:szCs w:val="14"/>
                <w:color w:val="auto"/>
              </w:rPr>
              <w:t>Aviation segment</w:t>
            </w:r>
          </w:p>
        </w:tc>
        <w:tc>
          <w:tcPr>
            <w:tcW w:w="44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41,002</w:t>
            </w:r>
          </w:p>
        </w:tc>
        <w:tc>
          <w:tcPr>
            <w:tcW w:w="140" w:type="dxa"/>
            <w:vAlign w:val="bottom"/>
          </w:tcPr>
          <w:p>
            <w:pPr>
              <w:spacing w:after="0"/>
              <w:rPr>
                <w:sz w:val="15"/>
                <w:szCs w:val="15"/>
                <w:color w:val="auto"/>
              </w:rPr>
            </w:pPr>
          </w:p>
        </w:tc>
        <w:tc>
          <w:tcPr>
            <w:tcW w:w="48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39,808</w:t>
            </w:r>
          </w:p>
        </w:tc>
        <w:tc>
          <w:tcPr>
            <w:tcW w:w="42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320" w:type="dxa"/>
            <w:vAlign w:val="bottom"/>
            <w:gridSpan w:val="2"/>
          </w:tcPr>
          <w:p>
            <w:pPr>
              <w:jc w:val="right"/>
              <w:ind w:right="120"/>
              <w:spacing w:after="0"/>
              <w:rPr>
                <w:sz w:val="20"/>
                <w:szCs w:val="20"/>
                <w:color w:val="auto"/>
              </w:rPr>
            </w:pPr>
            <w:r>
              <w:rPr>
                <w:rFonts w:ascii="Arial" w:cs="Arial" w:eastAsia="Arial" w:hAnsi="Arial"/>
                <w:sz w:val="14"/>
                <w:szCs w:val="14"/>
                <w:color w:val="auto"/>
              </w:rPr>
              <w:t>109,755</w:t>
            </w:r>
          </w:p>
        </w:tc>
        <w:tc>
          <w:tcPr>
            <w:tcW w:w="54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0"/>
              <w:spacing w:after="0"/>
              <w:rPr>
                <w:sz w:val="20"/>
                <w:szCs w:val="20"/>
                <w:color w:val="auto"/>
              </w:rPr>
            </w:pPr>
            <w:r>
              <w:rPr>
                <w:rFonts w:ascii="Arial" w:cs="Arial" w:eastAsia="Arial" w:hAnsi="Arial"/>
                <w:sz w:val="14"/>
                <w:szCs w:val="14"/>
                <w:color w:val="auto"/>
              </w:rPr>
              <w:t>92,601</w:t>
            </w:r>
          </w:p>
        </w:tc>
        <w:tc>
          <w:tcPr>
            <w:tcW w:w="0" w:type="dxa"/>
            <w:vAlign w:val="bottom"/>
          </w:tcPr>
          <w:p>
            <w:pPr>
              <w:spacing w:after="0"/>
              <w:rPr>
                <w:sz w:val="1"/>
                <w:szCs w:val="1"/>
                <w:color w:val="auto"/>
              </w:rPr>
            </w:pPr>
          </w:p>
        </w:tc>
      </w:tr>
      <w:tr>
        <w:trPr>
          <w:trHeight w:val="176"/>
        </w:trPr>
        <w:tc>
          <w:tcPr>
            <w:tcW w:w="4380" w:type="dxa"/>
            <w:vAlign w:val="bottom"/>
          </w:tcPr>
          <w:p>
            <w:pPr>
              <w:ind w:left="140"/>
              <w:spacing w:after="0"/>
              <w:rPr>
                <w:sz w:val="20"/>
                <w:szCs w:val="20"/>
                <w:color w:val="auto"/>
              </w:rPr>
            </w:pPr>
            <w:r>
              <w:rPr>
                <w:rFonts w:ascii="Arial" w:cs="Arial" w:eastAsia="Arial" w:hAnsi="Arial"/>
                <w:sz w:val="14"/>
                <w:szCs w:val="14"/>
                <w:color w:val="auto"/>
              </w:rPr>
              <w:t>Marine segment</w:t>
            </w:r>
          </w:p>
        </w:tc>
        <w:tc>
          <w:tcPr>
            <w:tcW w:w="44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17,019</w:t>
            </w: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27,296</w:t>
            </w:r>
          </w:p>
        </w:tc>
        <w:tc>
          <w:tcPr>
            <w:tcW w:w="420" w:type="dxa"/>
            <w:vAlign w:val="bottom"/>
          </w:tcPr>
          <w:p>
            <w:pPr>
              <w:spacing w:after="0"/>
              <w:rPr>
                <w:sz w:val="15"/>
                <w:szCs w:val="15"/>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4"/>
                <w:szCs w:val="14"/>
                <w:color w:val="auto"/>
              </w:rPr>
              <w:t>56,340</w:t>
            </w:r>
          </w:p>
        </w:tc>
        <w:tc>
          <w:tcPr>
            <w:tcW w:w="540" w:type="dxa"/>
            <w:vAlign w:val="bottom"/>
          </w:tcPr>
          <w:p>
            <w:pPr>
              <w:spacing w:after="0"/>
              <w:rPr>
                <w:sz w:val="15"/>
                <w:szCs w:val="15"/>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4"/>
                <w:szCs w:val="14"/>
                <w:color w:val="auto"/>
              </w:rPr>
              <w:t>82,672</w:t>
            </w:r>
          </w:p>
        </w:tc>
        <w:tc>
          <w:tcPr>
            <w:tcW w:w="0" w:type="dxa"/>
            <w:vAlign w:val="bottom"/>
          </w:tcPr>
          <w:p>
            <w:pPr>
              <w:spacing w:after="0"/>
              <w:rPr>
                <w:sz w:val="1"/>
                <w:szCs w:val="1"/>
                <w:color w:val="auto"/>
              </w:rPr>
            </w:pPr>
          </w:p>
        </w:tc>
      </w:tr>
      <w:tr>
        <w:trPr>
          <w:trHeight w:val="181"/>
        </w:trPr>
        <w:tc>
          <w:tcPr>
            <w:tcW w:w="4380" w:type="dxa"/>
            <w:vAlign w:val="bottom"/>
          </w:tcPr>
          <w:p>
            <w:pPr>
              <w:ind w:left="140"/>
              <w:spacing w:after="0"/>
              <w:rPr>
                <w:sz w:val="20"/>
                <w:szCs w:val="20"/>
                <w:color w:val="auto"/>
              </w:rPr>
            </w:pPr>
            <w:r>
              <w:rPr>
                <w:rFonts w:ascii="Arial" w:cs="Arial" w:eastAsia="Arial" w:hAnsi="Arial"/>
                <w:sz w:val="14"/>
                <w:szCs w:val="14"/>
                <w:color w:val="auto"/>
              </w:rPr>
              <w:t>Land segment</w:t>
            </w:r>
          </w:p>
        </w:tc>
        <w:tc>
          <w:tcPr>
            <w:tcW w:w="44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15,106</w:t>
            </w: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18,185</w:t>
            </w:r>
          </w:p>
        </w:tc>
        <w:tc>
          <w:tcPr>
            <w:tcW w:w="420" w:type="dxa"/>
            <w:vAlign w:val="bottom"/>
          </w:tcPr>
          <w:p>
            <w:pPr>
              <w:spacing w:after="0"/>
              <w:rPr>
                <w:sz w:val="15"/>
                <w:szCs w:val="15"/>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4"/>
                <w:szCs w:val="14"/>
                <w:color w:val="auto"/>
              </w:rPr>
              <w:t>63,608</w:t>
            </w:r>
          </w:p>
        </w:tc>
        <w:tc>
          <w:tcPr>
            <w:tcW w:w="540" w:type="dxa"/>
            <w:vAlign w:val="bottom"/>
          </w:tcPr>
          <w:p>
            <w:pPr>
              <w:spacing w:after="0"/>
              <w:rPr>
                <w:sz w:val="15"/>
                <w:szCs w:val="15"/>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4"/>
                <w:szCs w:val="14"/>
                <w:color w:val="auto"/>
              </w:rPr>
              <w:t>62,737</w:t>
            </w:r>
          </w:p>
        </w:tc>
        <w:tc>
          <w:tcPr>
            <w:tcW w:w="0" w:type="dxa"/>
            <w:vAlign w:val="bottom"/>
          </w:tcPr>
          <w:p>
            <w:pPr>
              <w:spacing w:after="0"/>
              <w:rPr>
                <w:sz w:val="1"/>
                <w:szCs w:val="1"/>
                <w:color w:val="auto"/>
              </w:rPr>
            </w:pPr>
          </w:p>
        </w:tc>
      </w:tr>
      <w:tr>
        <w:trPr>
          <w:trHeight w:val="164"/>
        </w:trPr>
        <w:tc>
          <w:tcPr>
            <w:tcW w:w="438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73,127</w:t>
            </w:r>
          </w:p>
        </w:tc>
        <w:tc>
          <w:tcPr>
            <w:tcW w:w="140" w:type="dxa"/>
            <w:vAlign w:val="bottom"/>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85,289</w:t>
            </w:r>
          </w:p>
        </w:tc>
        <w:tc>
          <w:tcPr>
            <w:tcW w:w="140" w:type="dxa"/>
            <w:vAlign w:val="bottom"/>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229,703</w:t>
            </w:r>
          </w:p>
        </w:tc>
        <w:tc>
          <w:tcPr>
            <w:tcW w:w="120" w:type="dxa"/>
            <w:vAlign w:val="bottom"/>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238,010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4380" w:type="dxa"/>
            <w:vAlign w:val="bottom"/>
          </w:tcPr>
          <w:p>
            <w:pPr>
              <w:ind w:left="140"/>
              <w:spacing w:after="0"/>
              <w:rPr>
                <w:sz w:val="20"/>
                <w:szCs w:val="20"/>
                <w:color w:val="auto"/>
              </w:rPr>
            </w:pPr>
            <w:r>
              <w:rPr>
                <w:rFonts w:ascii="Arial" w:cs="Arial" w:eastAsia="Arial" w:hAnsi="Arial"/>
                <w:sz w:val="14"/>
                <w:szCs w:val="14"/>
                <w:color w:val="auto"/>
              </w:rPr>
              <w:t>Corporate overhead - unallocated</w:t>
            </w:r>
          </w:p>
        </w:tc>
        <w:tc>
          <w:tcPr>
            <w:tcW w:w="44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8,924</w:t>
            </w: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14,241</w:t>
            </w:r>
          </w:p>
        </w:tc>
        <w:tc>
          <w:tcPr>
            <w:tcW w:w="420" w:type="dxa"/>
            <w:vAlign w:val="bottom"/>
          </w:tcPr>
          <w:p>
            <w:pPr>
              <w:spacing w:after="0"/>
              <w:rPr>
                <w:sz w:val="15"/>
                <w:szCs w:val="15"/>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4"/>
                <w:szCs w:val="14"/>
                <w:color w:val="auto"/>
              </w:rPr>
              <w:t>29,823</w:t>
            </w:r>
          </w:p>
        </w:tc>
        <w:tc>
          <w:tcPr>
            <w:tcW w:w="540" w:type="dxa"/>
            <w:vAlign w:val="bottom"/>
          </w:tcPr>
          <w:p>
            <w:pPr>
              <w:spacing w:after="0"/>
              <w:rPr>
                <w:sz w:val="15"/>
                <w:szCs w:val="15"/>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4"/>
                <w:szCs w:val="14"/>
                <w:color w:val="auto"/>
              </w:rPr>
              <w:t>35,348</w:t>
            </w:r>
          </w:p>
        </w:tc>
        <w:tc>
          <w:tcPr>
            <w:tcW w:w="0" w:type="dxa"/>
            <w:vAlign w:val="bottom"/>
          </w:tcPr>
          <w:p>
            <w:pPr>
              <w:spacing w:after="0"/>
              <w:rPr>
                <w:sz w:val="1"/>
                <w:szCs w:val="1"/>
                <w:color w:val="auto"/>
              </w:rPr>
            </w:pPr>
          </w:p>
        </w:tc>
      </w:tr>
      <w:tr>
        <w:trPr>
          <w:trHeight w:val="169"/>
        </w:trPr>
        <w:tc>
          <w:tcPr>
            <w:tcW w:w="4380" w:type="dxa"/>
            <w:vAlign w:val="bottom"/>
          </w:tcPr>
          <w:p>
            <w:pPr>
              <w:spacing w:after="0"/>
              <w:rPr>
                <w:sz w:val="14"/>
                <w:szCs w:val="14"/>
                <w:color w:val="auto"/>
              </w:rPr>
            </w:pPr>
          </w:p>
        </w:tc>
        <w:tc>
          <w:tcPr>
            <w:tcW w:w="44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64,203</w:t>
            </w:r>
          </w:p>
        </w:tc>
        <w:tc>
          <w:tcPr>
            <w:tcW w:w="140" w:type="dxa"/>
            <w:vAlign w:val="bottom"/>
          </w:tcPr>
          <w:p>
            <w:pPr>
              <w:spacing w:after="0"/>
              <w:rPr>
                <w:sz w:val="14"/>
                <w:szCs w:val="14"/>
                <w:color w:val="auto"/>
              </w:rPr>
            </w:pPr>
          </w:p>
        </w:tc>
        <w:tc>
          <w:tcPr>
            <w:tcW w:w="48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71,048</w:t>
            </w:r>
          </w:p>
        </w:tc>
        <w:tc>
          <w:tcPr>
            <w:tcW w:w="140" w:type="dxa"/>
            <w:vAlign w:val="bottom"/>
          </w:tcPr>
          <w:p>
            <w:pPr>
              <w:spacing w:after="0"/>
              <w:rPr>
                <w:sz w:val="14"/>
                <w:szCs w:val="14"/>
                <w:color w:val="auto"/>
              </w:rPr>
            </w:pPr>
          </w:p>
        </w:tc>
        <w:tc>
          <w:tcPr>
            <w:tcW w:w="42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199,880</w:t>
            </w:r>
          </w:p>
        </w:tc>
        <w:tc>
          <w:tcPr>
            <w:tcW w:w="120" w:type="dxa"/>
            <w:vAlign w:val="bottom"/>
          </w:tcPr>
          <w:p>
            <w:pPr>
              <w:spacing w:after="0"/>
              <w:rPr>
                <w:sz w:val="14"/>
                <w:szCs w:val="14"/>
                <w:color w:val="auto"/>
              </w:rPr>
            </w:pPr>
          </w:p>
        </w:tc>
        <w:tc>
          <w:tcPr>
            <w:tcW w:w="54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202,662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0"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World Fuel Services Corporation</w:t>
      </w:r>
    </w:p>
    <w:p>
      <w:pPr>
        <w:spacing w:after="0" w:line="230" w:lineRule="auto"/>
        <w:rPr>
          <w:sz w:val="20"/>
          <w:szCs w:val="20"/>
          <w:color w:val="auto"/>
        </w:rPr>
      </w:pPr>
      <w:r>
        <w:rPr>
          <w:rFonts w:ascii="Arial" w:cs="Arial" w:eastAsia="Arial" w:hAnsi="Arial"/>
          <w:sz w:val="22"/>
          <w:szCs w:val="22"/>
          <w:color w:val="auto"/>
        </w:rPr>
        <w:t>Ira M. Birns, 305-428-8000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Executive Vice President &amp; Chief Financial Officer</w:t>
      </w:r>
    </w:p>
    <w:sectPr>
      <w:pgSz w:w="11900" w:h="16838" w:orient="portrait"/>
      <w:cols w:equalWidth="0" w:num="1">
        <w:col w:w="11420"/>
      </w:cols>
      <w:pgMar w:left="240" w:top="30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2019-12-05T22:41:48Z</dcterms:created>
  <dcterms:modified xsi:type="dcterms:W3CDTF">2019-12-05T22:41:48Z</dcterms:modified>
</cp:coreProperties>
</file>