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Lake Robert Alexander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00" w:type="dxa"/>
            <w:vAlign w:val="bottom"/>
            <w:vMerge w:val="continue"/>
          </w:tcPr>
          <w:p>
            <w:pPr>
              <w:spacing w:after="0"/>
              <w:rPr>
                <w:sz w:val="6"/>
                <w:szCs w:val="6"/>
                <w:color w:val="auto"/>
              </w:rPr>
            </w:pPr>
          </w:p>
        </w:tc>
        <w:tc>
          <w:tcPr>
            <w:tcW w:w="1420" w:type="dxa"/>
            <w:vAlign w:val="bottom"/>
            <w:vMerge w:val="restart"/>
          </w:tcPr>
          <w:p>
            <w:pPr>
              <w:ind w:left="12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9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EVP, Chf. Legal Officer, CoSec</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02/10/2020</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02/10/2020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772</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39.2</w:t>
            </w:r>
            <w:r>
              <w:rPr>
                <w:rFonts w:ascii="Arial" w:cs="Arial" w:eastAsia="Arial" w:hAnsi="Arial"/>
                <w:sz w:val="22"/>
                <w:szCs w:val="22"/>
                <w:color w:val="008000"/>
                <w:w w:val="92"/>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49,350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2,740 shares of restricted stock held by the reporting person vested and settled on February 10, 2020. The issuer withheld the reported shares to cover the reporting person's tax liability associated with these shares of restricted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shown is the closing price for the issuer's common stock on the NYSE on February 10, 2020.</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Amy A. Quintana,</w:t>
            </w:r>
          </w:p>
        </w:tc>
        <w:tc>
          <w:tcPr>
            <w:tcW w:w="6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02/12/2020</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7820"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2020-02-12T17:14:55Z</dcterms:created>
  <dcterms:modified xsi:type="dcterms:W3CDTF">2020-02-12T17:14:55Z</dcterms:modified>
</cp:coreProperties>
</file>