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February 2, 2017</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6"/>
              </w:rPr>
              <w:t>Florida</w:t>
            </w:r>
          </w:p>
        </w:tc>
        <w:tc>
          <w:tcPr>
            <w:tcW w:w="4640" w:type="dxa"/>
            <w:vAlign w:val="bottom"/>
          </w:tcPr>
          <w:p>
            <w:pPr>
              <w:jc w:val="center"/>
              <w:ind w:left="7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214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2140" w:type="dxa"/>
            <w:vAlign w:val="bottom"/>
          </w:tcPr>
          <w:p>
            <w:pPr>
              <w:spacing w:after="0"/>
              <w:rPr>
                <w:sz w:val="24"/>
                <w:szCs w:val="24"/>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w:t>
            </w:r>
          </w:p>
        </w:tc>
        <w:tc>
          <w:tcPr>
            <w:tcW w:w="258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98"/>
              </w:rPr>
              <w:t>Miami, FL</w:t>
            </w: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3" w:right="3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13" w:lineRule="exact"/>
        <w:rPr>
          <w:sz w:val="20"/>
          <w:szCs w:val="20"/>
          <w:color w:val="auto"/>
        </w:rPr>
      </w:pPr>
    </w:p>
    <w:p>
      <w:pPr>
        <w:jc w:val="both"/>
        <w:ind w:firstLine="405"/>
        <w:spacing w:after="0"/>
        <w:rPr>
          <w:sz w:val="20"/>
          <w:szCs w:val="20"/>
          <w:color w:val="auto"/>
        </w:rPr>
      </w:pPr>
      <w:r>
        <w:rPr>
          <w:rFonts w:ascii="Arial" w:cs="Arial" w:eastAsia="Arial" w:hAnsi="Arial"/>
          <w:sz w:val="22"/>
          <w:szCs w:val="22"/>
          <w:color w:val="auto"/>
        </w:rPr>
        <w:t>On February 2, 2017, World Fuel Services Corporation (the “Company”) issued a press release announcing that a conference call has been scheduled on Tuesday, February 14, 2017 at 5:00PM Eastern Time to discuss the fourth quarter and year-end 2016 results. A copy of the press release is attached hereto as Exhibit 99.1.</w:t>
      </w:r>
    </w:p>
    <w:p>
      <w:pPr>
        <w:spacing w:after="0" w:line="18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398"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80" w:type="dxa"/>
            <w:vAlign w:val="bottom"/>
          </w:tcPr>
          <w:p>
            <w:pPr>
              <w:ind w:left="700"/>
              <w:spacing w:after="0"/>
              <w:rPr>
                <w:sz w:val="20"/>
                <w:szCs w:val="20"/>
                <w:color w:val="auto"/>
              </w:rPr>
            </w:pPr>
            <w:r>
              <w:rPr>
                <w:rFonts w:ascii="Arial" w:cs="Arial" w:eastAsia="Arial" w:hAnsi="Arial"/>
                <w:sz w:val="18"/>
                <w:szCs w:val="18"/>
                <w:color w:val="auto"/>
              </w:rPr>
              <w:t>(d)</w:t>
            </w:r>
          </w:p>
        </w:tc>
        <w:tc>
          <w:tcPr>
            <w:tcW w:w="1100" w:type="dxa"/>
            <w:vAlign w:val="bottom"/>
            <w:gridSpan w:val="2"/>
          </w:tcPr>
          <w:p>
            <w:pPr>
              <w:spacing w:after="0"/>
              <w:rPr>
                <w:sz w:val="20"/>
                <w:szCs w:val="20"/>
                <w:color w:val="auto"/>
              </w:rPr>
            </w:pPr>
            <w:r>
              <w:rPr>
                <w:rFonts w:ascii="Arial" w:cs="Arial" w:eastAsia="Arial" w:hAnsi="Arial"/>
                <w:sz w:val="18"/>
                <w:szCs w:val="18"/>
                <w:color w:val="auto"/>
              </w:rPr>
              <w:t>Exhibits</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40" w:type="dxa"/>
            <w:vAlign w:val="bottom"/>
          </w:tcPr>
          <w:p>
            <w:pPr>
              <w:spacing w:after="0"/>
              <w:rPr>
                <w:sz w:val="20"/>
                <w:szCs w:val="20"/>
                <w:color w:val="auto"/>
              </w:rPr>
            </w:pPr>
          </w:p>
        </w:tc>
      </w:tr>
      <w:tr>
        <w:trPr>
          <w:trHeight w:val="446"/>
        </w:trPr>
        <w:tc>
          <w:tcPr>
            <w:tcW w:w="1380" w:type="dxa"/>
            <w:vAlign w:val="bottom"/>
          </w:tcPr>
          <w:p>
            <w:pPr>
              <w:spacing w:after="0"/>
              <w:rPr>
                <w:sz w:val="24"/>
                <w:szCs w:val="24"/>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Exhibit No.</w:t>
            </w:r>
          </w:p>
        </w:tc>
        <w:tc>
          <w:tcPr>
            <w:tcW w:w="8940" w:type="dxa"/>
            <w:vAlign w:val="bottom"/>
            <w:gridSpan w:val="3"/>
          </w:tcPr>
          <w:p>
            <w:pPr>
              <w:ind w:left="260"/>
              <w:spacing w:after="0"/>
              <w:rPr>
                <w:sz w:val="20"/>
                <w:szCs w:val="20"/>
                <w:color w:val="auto"/>
              </w:rPr>
            </w:pPr>
            <w:r>
              <w:rPr>
                <w:rFonts w:ascii="Arial" w:cs="Arial" w:eastAsia="Arial" w:hAnsi="Arial"/>
                <w:sz w:val="18"/>
                <w:szCs w:val="18"/>
                <w:color w:val="auto"/>
              </w:rPr>
              <w:t>Description</w:t>
            </w:r>
          </w:p>
        </w:tc>
      </w:tr>
      <w:tr>
        <w:trPr>
          <w:trHeight w:val="20"/>
        </w:trPr>
        <w:tc>
          <w:tcPr>
            <w:tcW w:w="1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r>
      <w:tr>
        <w:trPr>
          <w:trHeight w:val="507"/>
        </w:trPr>
        <w:tc>
          <w:tcPr>
            <w:tcW w:w="138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99.1</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Press Release, dated February 2, 2017.</w:t>
            </w:r>
          </w:p>
        </w:tc>
      </w:tr>
      <w:tr>
        <w:trPr>
          <w:trHeight w:val="230"/>
        </w:trPr>
        <w:tc>
          <w:tcPr>
            <w:tcW w:w="138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7840" w:type="dxa"/>
            <w:vAlign w:val="bottom"/>
            <w:tcBorders>
              <w:bottom w:val="single" w:sz="8" w:color="9A9A9A"/>
            </w:tcBorders>
          </w:tcPr>
          <w:p>
            <w:pPr>
              <w:spacing w:after="0"/>
              <w:rPr>
                <w:sz w:val="19"/>
                <w:szCs w:val="19"/>
                <w:color w:val="auto"/>
              </w:rPr>
            </w:pPr>
          </w:p>
        </w:tc>
      </w:tr>
      <w:tr>
        <w:trPr>
          <w:trHeight w:val="21"/>
        </w:trPr>
        <w:tc>
          <w:tcPr>
            <w:tcW w:w="138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78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February 2, 2017</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752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February 2, 2017.</w:t>
      </w:r>
    </w:p>
    <w:p>
      <w:pPr>
        <w:sectPr>
          <w:pgSz w:w="11900" w:h="16838" w:orient="portrait"/>
          <w:cols w:equalWidth="0" w:num="1">
            <w:col w:w="10219"/>
          </w:cols>
          <w:pgMar w:left="240" w:top="118" w:right="1440" w:bottom="1440" w:gutter="0" w:footer="0" w:header="0"/>
        </w:sectPr>
      </w:pPr>
    </w:p>
    <w:bookmarkStart w:id="4" w:name="page5"/>
    <w:bookmarkEnd w:id="4"/>
    <w:p>
      <w:pPr>
        <w:ind w:left="10300"/>
        <w:spacing w:after="0"/>
        <w:rPr>
          <w:sz w:val="20"/>
          <w:szCs w:val="20"/>
          <w:color w:val="auto"/>
        </w:rPr>
      </w:pPr>
      <w:r>
        <w:rPr>
          <w:rFonts w:ascii="Arial" w:cs="Arial" w:eastAsia="Arial" w:hAnsi="Arial"/>
          <w:sz w:val="19"/>
          <w:szCs w:val="19"/>
          <w:b w:val="1"/>
          <w:bCs w:val="1"/>
          <w:color w:val="auto"/>
        </w:rPr>
        <w:t>Exhibit 99.1</w:t>
      </w:r>
    </w:p>
    <w:p>
      <w:pPr>
        <w:spacing w:after="0" w:line="241" w:lineRule="exact"/>
        <w:rPr>
          <w:sz w:val="20"/>
          <w:szCs w:val="20"/>
          <w:color w:val="auto"/>
        </w:rPr>
      </w:pPr>
    </w:p>
    <w:p>
      <w:pPr>
        <w:ind w:left="940"/>
        <w:spacing w:after="0"/>
        <w:rPr>
          <w:sz w:val="20"/>
          <w:szCs w:val="20"/>
          <w:color w:val="auto"/>
        </w:rPr>
      </w:pPr>
      <w:r>
        <w:rPr>
          <w:rFonts w:ascii="Arial" w:cs="Arial" w:eastAsia="Arial" w:hAnsi="Arial"/>
          <w:sz w:val="21"/>
          <w:szCs w:val="21"/>
          <w:b w:val="1"/>
          <w:bCs w:val="1"/>
          <w:color w:val="auto"/>
        </w:rPr>
        <w:t>World Fuel Services Corporation to Host Fourth Quarter and Full Year 2016 Earnings Conference Call</w:t>
      </w:r>
    </w:p>
    <w:p>
      <w:pPr>
        <w:spacing w:after="0" w:line="224" w:lineRule="exact"/>
        <w:rPr>
          <w:sz w:val="20"/>
          <w:szCs w:val="20"/>
          <w:color w:val="auto"/>
        </w:rPr>
      </w:pPr>
    </w:p>
    <w:p>
      <w:pPr>
        <w:ind w:right="40"/>
        <w:spacing w:after="0" w:line="258" w:lineRule="auto"/>
        <w:rPr>
          <w:sz w:val="20"/>
          <w:szCs w:val="20"/>
          <w:color w:val="auto"/>
        </w:rPr>
      </w:pPr>
      <w:r>
        <w:rPr>
          <w:rFonts w:ascii="Arial" w:cs="Arial" w:eastAsia="Arial" w:hAnsi="Arial"/>
          <w:sz w:val="21"/>
          <w:szCs w:val="21"/>
          <w:color w:val="auto"/>
        </w:rPr>
        <w:t>MIAMI--(BUSINESS WIRE)--February 2, 2017--World Fuel Services Corporation (NYSE:INT) invites you to participate in a conference call with its management team on Tuesday, February 14, 2017 at 5:00PM Eastern Time to discuss the Company’s fourth quarter and full year results, which it plans to release after the market closes on the same date.</w:t>
      </w:r>
    </w:p>
    <w:p>
      <w:pPr>
        <w:spacing w:after="0" w:line="167" w:lineRule="exact"/>
        <w:rPr>
          <w:sz w:val="20"/>
          <w:szCs w:val="20"/>
          <w:color w:val="auto"/>
        </w:rPr>
      </w:pPr>
    </w:p>
    <w:p>
      <w:pPr>
        <w:ind w:right="40"/>
        <w:spacing w:after="0" w:line="258" w:lineRule="auto"/>
        <w:rPr>
          <w:sz w:val="20"/>
          <w:szCs w:val="20"/>
          <w:color w:val="auto"/>
        </w:rPr>
      </w:pPr>
      <w:r>
        <w:rPr>
          <w:rFonts w:ascii="Arial" w:cs="Arial" w:eastAsia="Arial" w:hAnsi="Arial"/>
          <w:sz w:val="21"/>
          <w:szCs w:val="21"/>
          <w:color w:val="auto"/>
        </w:rPr>
        <w:t>The live conference call will be accessible by telephone at (800) 698-6127 (within the United States and Canada) or (312) 281-2958 (International). Audio replay of the call will be available through February 28, 2017. The replay numbers are: (800) 633-8284 (within the United States and Canada) and (402) 977-9140 (International). The call ID is 21843507.</w:t>
      </w:r>
    </w:p>
    <w:p>
      <w:pPr>
        <w:spacing w:after="0" w:line="167" w:lineRule="exact"/>
        <w:rPr>
          <w:sz w:val="20"/>
          <w:szCs w:val="20"/>
          <w:color w:val="auto"/>
        </w:rPr>
      </w:pPr>
    </w:p>
    <w:p>
      <w:pPr>
        <w:ind w:right="60"/>
        <w:spacing w:after="0" w:line="258" w:lineRule="auto"/>
        <w:rPr>
          <w:sz w:val="20"/>
          <w:szCs w:val="20"/>
          <w:color w:val="auto"/>
        </w:rPr>
      </w:pPr>
      <w:r>
        <w:rPr>
          <w:rFonts w:ascii="Arial" w:cs="Arial" w:eastAsia="Arial" w:hAnsi="Arial"/>
          <w:sz w:val="21"/>
          <w:szCs w:val="21"/>
          <w:color w:val="auto"/>
        </w:rPr>
        <w:t xml:space="preserve">The conference call will also be available via live webcast. The live webcast may be accessed by visiting the Company’s website at </w:t>
      </w:r>
      <w:r>
        <w:rPr>
          <w:rFonts w:ascii="Arial" w:cs="Arial" w:eastAsia="Arial" w:hAnsi="Arial"/>
          <w:sz w:val="21"/>
          <w:szCs w:val="21"/>
          <w:u w:val="single" w:color="auto"/>
          <w:color w:val="auto"/>
        </w:rPr>
        <w:t>www.wfscorp.com</w:t>
      </w:r>
      <w:r>
        <w:rPr>
          <w:rFonts w:ascii="Arial" w:cs="Arial" w:eastAsia="Arial" w:hAnsi="Arial"/>
          <w:sz w:val="21"/>
          <w:szCs w:val="21"/>
          <w:color w:val="auto"/>
        </w:rPr>
        <w:t xml:space="preserve"> and clicking on the webcast icon. An archive of the webcast will be available on the Company’s website two hours after the completion of the live call and will remain available until February 28, 2017.</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Headquartered in Miami, Florida, World Fuel Services is a global fuel logistics, transaction and payment processing company, principally engaged in the distribution of fuel and related products and services in the aviation, marine and land transportation industries. World Fuel Services sells fuel and delivers services to its clients at more than 8,000 locations in more than 200 countries and territories worldwide.</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and government accounts. The company also offers transaction management services which consist of card payment solutions and merchant processing services to customers in the aviation, marine and land transportation industries. For more information, call 305-428-8000 or visit </w:t>
      </w:r>
      <w:r>
        <w:rPr>
          <w:rFonts w:ascii="Arial" w:cs="Arial" w:eastAsia="Arial" w:hAnsi="Arial"/>
          <w:sz w:val="19"/>
          <w:szCs w:val="19"/>
          <w:u w:val="single" w:color="auto"/>
          <w:color w:val="auto"/>
        </w:rPr>
        <w:t>www.wfscorp.com</w:t>
      </w:r>
      <w:r>
        <w:rPr>
          <w:rFonts w:ascii="Arial" w:cs="Arial" w:eastAsia="Arial" w:hAnsi="Arial"/>
          <w:sz w:val="19"/>
          <w:szCs w:val="19"/>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w:t>
      </w:r>
    </w:p>
    <w:p>
      <w:pPr>
        <w:spacing w:after="0" w:line="231" w:lineRule="auto"/>
        <w:rPr>
          <w:sz w:val="20"/>
          <w:szCs w:val="20"/>
          <w:color w:val="auto"/>
        </w:rPr>
      </w:pPr>
      <w:r>
        <w:rPr>
          <w:rFonts w:ascii="Arial" w:cs="Arial" w:eastAsia="Arial" w:hAnsi="Arial"/>
          <w:sz w:val="22"/>
          <w:szCs w:val="22"/>
          <w:color w:val="auto"/>
        </w:rPr>
        <w:t>Executive Vice President &amp; 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Glenn Klevitz, Vice President &amp; Assistant Treasurer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305-428-8000</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2019-12-05T13:02:38Z</dcterms:created>
  <dcterms:modified xsi:type="dcterms:W3CDTF">2019-12-05T13:02:38Z</dcterms:modified>
</cp:coreProperties>
</file>