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7100" w:type="dxa"/>
            <w:vAlign w:val="bottom"/>
            <w:gridSpan w:val="3"/>
          </w:tcPr>
          <w:p>
            <w:pPr>
              <w:jc w:val="center"/>
              <w:ind w:left="273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6"/>
              </w:rPr>
              <w:t>Florida</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(State or other jurisdiction of</w:t>
            </w: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8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incorporation)</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80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Miami, Florida</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828"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jc w:val="both"/>
        <w:ind w:firstLine="308"/>
        <w:spacing w:after="0" w:line="251" w:lineRule="auto"/>
        <w:rPr>
          <w:sz w:val="20"/>
          <w:szCs w:val="20"/>
          <w:color w:val="auto"/>
        </w:rPr>
      </w:pPr>
      <w:r>
        <w:rPr>
          <w:rFonts w:ascii="Arial" w:cs="Arial" w:eastAsia="Arial" w:hAnsi="Arial"/>
          <w:sz w:val="22"/>
          <w:szCs w:val="22"/>
          <w:color w:val="auto"/>
        </w:rPr>
        <w:t>The following information is provided pursuant to Item 7.01 of Form 8-K, “Regulation FD Disclosure” and Item 2.02 of Form 8-K, “Results of Operations and Financial Condition.”</w:t>
      </w:r>
    </w:p>
    <w:p>
      <w:pPr>
        <w:spacing w:after="0" w:line="173" w:lineRule="exact"/>
        <w:rPr>
          <w:sz w:val="20"/>
          <w:szCs w:val="20"/>
          <w:color w:val="auto"/>
        </w:rPr>
      </w:pPr>
    </w:p>
    <w:p>
      <w:pPr>
        <w:jc w:val="both"/>
        <w:ind w:firstLine="317"/>
        <w:spacing w:after="0" w:line="251" w:lineRule="auto"/>
        <w:rPr>
          <w:sz w:val="20"/>
          <w:szCs w:val="20"/>
          <w:color w:val="auto"/>
        </w:rPr>
      </w:pPr>
      <w:r>
        <w:rPr>
          <w:rFonts w:ascii="Arial" w:cs="Arial" w:eastAsia="Arial" w:hAnsi="Arial"/>
          <w:sz w:val="22"/>
          <w:szCs w:val="22"/>
          <w:color w:val="auto"/>
        </w:rPr>
        <w:t>On April 30, 2013, World Fuel Services Corporation issued a press release reporting its financial results for the first quarter of 2013. A copy of the press release is attached hereto as Exhibit 99.1.</w:t>
      </w:r>
    </w:p>
    <w:p>
      <w:pPr>
        <w:spacing w:after="0" w:line="173" w:lineRule="exact"/>
        <w:rPr>
          <w:sz w:val="20"/>
          <w:szCs w:val="20"/>
          <w:color w:val="auto"/>
        </w:rPr>
      </w:pPr>
    </w:p>
    <w:p>
      <w:pPr>
        <w:jc w:val="both"/>
        <w:ind w:firstLine="343"/>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  Exhibits</w:t>
      </w:r>
    </w:p>
    <w:p>
      <w:pPr>
        <w:spacing w:after="0" w:line="275"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40" w:lineRule="exact"/>
        <w:rPr>
          <w:sz w:val="20"/>
          <w:szCs w:val="20"/>
          <w:color w:val="auto"/>
        </w:rPr>
      </w:pPr>
    </w:p>
    <w:p>
      <w:pPr>
        <w:ind w:left="1460"/>
        <w:spacing w:after="0"/>
        <w:tabs>
          <w:tab w:leader="none" w:pos="2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April 30, 2013</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April 30, 2013.</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Reports First Quarter Results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--Generated Operating Cash Flow of $110 Million in the First Quarter--</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MIAMI--(BUSINESS WIRE)--April 30, 2013--World Fuel Services Corporation (NYSE: INT), a leading global fuel logistics company, principally engaged in the marketing, sale and distribution of aviation, marine and land fuel products and related services, today reported first quarter net income of $48.7 million or $0.68 diluted earnings per share compared to $46.4 million or $0.65 diluted earnings per share in the first quarter of 2012. Non-GAAP net income and diluted earnings per share for the first quarter, which exclude share-based compensation and amortization of acquired intangible assets, were $55.0 million and $0.77, respectively, compared to $52.9 million and $0.74 in 2012.</w:t>
      </w:r>
    </w:p>
    <w:p>
      <w:pPr>
        <w:spacing w:after="0" w:line="177" w:lineRule="exact"/>
        <w:rPr>
          <w:sz w:val="20"/>
          <w:szCs w:val="20"/>
          <w:color w:val="auto"/>
        </w:rPr>
      </w:pPr>
    </w:p>
    <w:p>
      <w:pPr>
        <w:jc w:val="both"/>
        <w:ind w:right="200"/>
        <w:spacing w:after="0" w:line="258" w:lineRule="auto"/>
        <w:rPr>
          <w:sz w:val="20"/>
          <w:szCs w:val="20"/>
          <w:color w:val="auto"/>
        </w:rPr>
      </w:pPr>
      <w:r>
        <w:rPr>
          <w:rFonts w:ascii="Arial" w:cs="Arial" w:eastAsia="Arial" w:hAnsi="Arial"/>
          <w:sz w:val="21"/>
          <w:szCs w:val="21"/>
          <w:color w:val="auto"/>
        </w:rPr>
        <w:t>“We are pleased with our overall performance in the first quarter despite continuous headwinds we face in our marine segment,” stated Michael J. Kasbar, president and chief executive officer of World Fuel Services Corporation. “We continue to perform well in this uncertain global environment, while pursuing additional growth opportunities.”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company’s aviation segment generated gross profit of $77.0 million, an increase of $700 thousand or 1% sequentially, and an increase of $12.1 million or 19% year-over-year. The company’s marine segment generated gross profit of $41.7 million, a decrease of $5.6 million or 12% sequentially and $13.4 million or 24% year-over-year. The company’s land segment posted gross profit of $63.7 million, an increase of $23.9 million or 60% sequentially and $26.5 million or 71% year-over-year.</w:t>
      </w:r>
    </w:p>
    <w:p>
      <w:pPr>
        <w:spacing w:after="0" w:line="143"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“We generated $110 million in operating cash flow in the first quarter, our second consecutive quarter of positive operating cash flow, further strengthening our financial profile,” said Ira M. Birns, executive vice president and chief financial officer. “Our solid cash flow performance combined with our continued focus on driving operating efficiencies should enhance profitability, while providing greater liquidity to support organic growth and strategic investment opportunities.”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This information includes non-GAAP net income and non-GAAP diluted earnings per share. The non-GAAP financial measures exclude costs associated with share-based compensation and amortization of acquired intangible, primarily because we do not believe they are reflective of the company’s core operating results. We believe that these non-GAAP financial measures, when considered in conjunction with our financial information prepared in accordance with GAAP, are useful for investors to evaluate our core operating results and trends.</w:t>
      </w:r>
    </w:p>
    <w:p>
      <w:pPr>
        <w:spacing w:after="0" w:line="151"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Non-GAAP financial measures should not be considered in isolation from, or as a substitute for, financial information prepared in accordance with GAAP. In addition, our presentation of non-GAAP net income and non-GAAP diluted earnings per share may not be comparable to the presentation of such metrics by other companies. Investors are encouraged to review the reconciliation of these non-GAAP measures to their most directly comparable GAAP financial measure. A reconciliation of GAAP to non-GAAP results has been provided in the financial statement tables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With the exception of historical information in this news release, this document includes forward-looking statements within the meaning of the Private Securities Litigation Reform Act of 1995, including statements regarding our expectations of opportunities for growth and strategic investments, our ability to operate in an uncertain global environment, as well as our expectation about our profitability and liquidity. These forward-looking statements are qualified in their entirety by cautionary statements and risk factor disclosures contained in the company’s Securities and Exchange Commission (“SEC”) filings, including the company’s Annual Report on Form 10-K filed with the SEC on February 21, 2013. Actual results may differ materially from any forward-looking statements due to risks and uncertainties, including, but not limited to: our ability to effectively integrate and derive benefits from acquired businesses, our ability to capitalize on new market opportunities,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w w:val="93"/>
              </w:rPr>
              <w:t>For the Three Months ended</w:t>
            </w:r>
          </w:p>
        </w:tc>
        <w:tc>
          <w:tcPr>
            <w:tcW w:w="1160" w:type="dxa"/>
            <w:vAlign w:val="bottom"/>
          </w:tcPr>
          <w:p>
            <w:pPr>
              <w:spacing w:after="0"/>
              <w:rPr>
                <w:sz w:val="15"/>
                <w:szCs w:val="15"/>
                <w:color w:val="auto"/>
              </w:rPr>
            </w:pPr>
          </w:p>
        </w:tc>
      </w:tr>
      <w:tr>
        <w:trPr>
          <w:trHeight w:val="181"/>
        </w:trPr>
        <w:tc>
          <w:tcPr>
            <w:tcW w:w="73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color w:val="auto"/>
              </w:rPr>
              <w:t>March 31,</w:t>
            </w:r>
          </w:p>
        </w:tc>
        <w:tc>
          <w:tcPr>
            <w:tcW w:w="1160" w:type="dxa"/>
            <w:vAlign w:val="bottom"/>
            <w:tcBorders>
              <w:bottom w:val="single" w:sz="8" w:color="auto"/>
            </w:tcBorders>
          </w:tcPr>
          <w:p>
            <w:pPr>
              <w:spacing w:after="0"/>
              <w:rPr>
                <w:sz w:val="15"/>
                <w:szCs w:val="15"/>
                <w:color w:val="auto"/>
              </w:rPr>
            </w:pPr>
          </w:p>
        </w:tc>
      </w:tr>
      <w:tr>
        <w:trPr>
          <w:trHeight w:val="169"/>
        </w:trPr>
        <w:tc>
          <w:tcPr>
            <w:tcW w:w="73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2012</w:t>
            </w:r>
          </w:p>
        </w:tc>
      </w:tr>
      <w:tr>
        <w:trPr>
          <w:trHeight w:val="515"/>
        </w:trPr>
        <w:tc>
          <w:tcPr>
            <w:tcW w:w="7340" w:type="dxa"/>
            <w:vAlign w:val="bottom"/>
          </w:tcPr>
          <w:p>
            <w:pPr>
              <w:ind w:left="80"/>
              <w:spacing w:after="0"/>
              <w:rPr>
                <w:sz w:val="20"/>
                <w:szCs w:val="20"/>
                <w:color w:val="auto"/>
              </w:rPr>
            </w:pPr>
            <w:r>
              <w:rPr>
                <w:rFonts w:ascii="Arial" w:cs="Arial" w:eastAsia="Arial" w:hAnsi="Arial"/>
                <w:sz w:val="14"/>
                <w:szCs w:val="14"/>
                <w:color w:val="auto"/>
              </w:rPr>
              <w:t>Revenue</w:t>
            </w:r>
          </w:p>
        </w:tc>
        <w:tc>
          <w:tcPr>
            <w:tcW w:w="11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w w:val="94"/>
              </w:rPr>
              <w:t>10,184,029</w:t>
            </w:r>
          </w:p>
        </w:tc>
        <w:tc>
          <w:tcPr>
            <w:tcW w:w="90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9,479,055</w:t>
            </w:r>
          </w:p>
        </w:tc>
      </w:tr>
      <w:tr>
        <w:trPr>
          <w:trHeight w:val="181"/>
        </w:trPr>
        <w:tc>
          <w:tcPr>
            <w:tcW w:w="7340" w:type="dxa"/>
            <w:vAlign w:val="bottom"/>
          </w:tcPr>
          <w:p>
            <w:pPr>
              <w:ind w:left="80"/>
              <w:spacing w:after="0"/>
              <w:rPr>
                <w:sz w:val="20"/>
                <w:szCs w:val="20"/>
                <w:color w:val="auto"/>
              </w:rPr>
            </w:pPr>
            <w:r>
              <w:rPr>
                <w:rFonts w:ascii="Arial" w:cs="Arial" w:eastAsia="Arial" w:hAnsi="Arial"/>
                <w:sz w:val="14"/>
                <w:szCs w:val="14"/>
                <w:color w:val="auto"/>
              </w:rPr>
              <w:t>Cost of revenue</w:t>
            </w:r>
          </w:p>
        </w:tc>
        <w:tc>
          <w:tcPr>
            <w:tcW w:w="1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10,001,650</w:t>
            </w: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9,321,820</w:t>
            </w:r>
          </w:p>
        </w:tc>
      </w:tr>
      <w:tr>
        <w:trPr>
          <w:trHeight w:val="345"/>
        </w:trPr>
        <w:tc>
          <w:tcPr>
            <w:tcW w:w="7340" w:type="dxa"/>
            <w:vAlign w:val="bottom"/>
          </w:tcPr>
          <w:p>
            <w:pPr>
              <w:ind w:left="380"/>
              <w:spacing w:after="0"/>
              <w:rPr>
                <w:sz w:val="20"/>
                <w:szCs w:val="20"/>
                <w:color w:val="auto"/>
              </w:rPr>
            </w:pPr>
            <w:r>
              <w:rPr>
                <w:rFonts w:ascii="Arial" w:cs="Arial" w:eastAsia="Arial" w:hAnsi="Arial"/>
                <w:sz w:val="14"/>
                <w:szCs w:val="14"/>
                <w:color w:val="auto"/>
              </w:rPr>
              <w:t>Gross profit</w:t>
            </w: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182,379</w:t>
            </w:r>
          </w:p>
        </w:tc>
        <w:tc>
          <w:tcPr>
            <w:tcW w:w="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157,235</w:t>
            </w:r>
          </w:p>
        </w:tc>
      </w:tr>
      <w:tr>
        <w:trPr>
          <w:trHeight w:val="339"/>
        </w:trPr>
        <w:tc>
          <w:tcPr>
            <w:tcW w:w="7340" w:type="dxa"/>
            <w:vAlign w:val="bottom"/>
          </w:tcPr>
          <w:p>
            <w:pPr>
              <w:spacing w:after="0"/>
              <w:rPr>
                <w:sz w:val="20"/>
                <w:szCs w:val="20"/>
                <w:color w:val="auto"/>
              </w:rPr>
            </w:pPr>
            <w:r>
              <w:rPr>
                <w:rFonts w:ascii="Arial" w:cs="Arial" w:eastAsia="Arial" w:hAnsi="Arial"/>
                <w:sz w:val="14"/>
                <w:szCs w:val="14"/>
                <w:color w:val="auto"/>
              </w:rPr>
              <w:t>Operating expenses:</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7340" w:type="dxa"/>
            <w:vAlign w:val="bottom"/>
          </w:tcPr>
          <w:p>
            <w:pPr>
              <w:ind w:left="180"/>
              <w:spacing w:after="0"/>
              <w:rPr>
                <w:sz w:val="20"/>
                <w:szCs w:val="20"/>
                <w:color w:val="auto"/>
              </w:rPr>
            </w:pPr>
            <w:r>
              <w:rPr>
                <w:rFonts w:ascii="Arial" w:cs="Arial" w:eastAsia="Arial" w:hAnsi="Arial"/>
                <w:sz w:val="14"/>
                <w:szCs w:val="14"/>
                <w:color w:val="auto"/>
              </w:rPr>
              <w:t>Compensation and employee benefits</w:t>
            </w:r>
          </w:p>
        </w:tc>
        <w:tc>
          <w:tcPr>
            <w:tcW w:w="118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69,429</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54,527</w:t>
            </w:r>
          </w:p>
        </w:tc>
      </w:tr>
      <w:tr>
        <w:trPr>
          <w:trHeight w:val="176"/>
        </w:trPr>
        <w:tc>
          <w:tcPr>
            <w:tcW w:w="734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118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1,103</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141</w:t>
            </w:r>
          </w:p>
        </w:tc>
      </w:tr>
      <w:tr>
        <w:trPr>
          <w:trHeight w:val="181"/>
        </w:trPr>
        <w:tc>
          <w:tcPr>
            <w:tcW w:w="734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1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44,906</w:t>
            </w: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43,311</w:t>
            </w:r>
          </w:p>
        </w:tc>
      </w:tr>
      <w:tr>
        <w:trPr>
          <w:trHeight w:val="345"/>
        </w:trPr>
        <w:tc>
          <w:tcPr>
            <w:tcW w:w="7340" w:type="dxa"/>
            <w:vAlign w:val="bottom"/>
          </w:tcPr>
          <w:p>
            <w:pPr>
              <w:ind w:left="440"/>
              <w:spacing w:after="0"/>
              <w:rPr>
                <w:sz w:val="20"/>
                <w:szCs w:val="20"/>
                <w:color w:val="auto"/>
              </w:rPr>
            </w:pPr>
            <w:r>
              <w:rPr>
                <w:rFonts w:ascii="Arial" w:cs="Arial" w:eastAsia="Arial" w:hAnsi="Arial"/>
                <w:sz w:val="14"/>
                <w:szCs w:val="14"/>
                <w:color w:val="auto"/>
              </w:rPr>
              <w:t>Total operating expenses</w:t>
            </w: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115,438</w:t>
            </w:r>
          </w:p>
        </w:tc>
        <w:tc>
          <w:tcPr>
            <w:tcW w:w="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97,979</w:t>
            </w:r>
          </w:p>
        </w:tc>
      </w:tr>
      <w:tr>
        <w:trPr>
          <w:trHeight w:val="339"/>
        </w:trPr>
        <w:tc>
          <w:tcPr>
            <w:tcW w:w="7340" w:type="dxa"/>
            <w:vAlign w:val="bottom"/>
          </w:tcPr>
          <w:p>
            <w:pPr>
              <w:ind w:left="440"/>
              <w:spacing w:after="0"/>
              <w:rPr>
                <w:sz w:val="20"/>
                <w:szCs w:val="20"/>
                <w:color w:val="auto"/>
              </w:rPr>
            </w:pPr>
            <w:r>
              <w:rPr>
                <w:rFonts w:ascii="Arial" w:cs="Arial" w:eastAsia="Arial" w:hAnsi="Arial"/>
                <w:sz w:val="14"/>
                <w:szCs w:val="14"/>
                <w:color w:val="auto"/>
              </w:rPr>
              <w:t>Income from operations</w:t>
            </w:r>
          </w:p>
        </w:tc>
        <w:tc>
          <w:tcPr>
            <w:tcW w:w="11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66,941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59,256</w:t>
            </w:r>
          </w:p>
        </w:tc>
      </w:tr>
      <w:tr>
        <w:trPr>
          <w:trHeight w:val="181"/>
        </w:trPr>
        <w:tc>
          <w:tcPr>
            <w:tcW w:w="7340" w:type="dxa"/>
            <w:vAlign w:val="bottom"/>
          </w:tcPr>
          <w:p>
            <w:pPr>
              <w:ind w:left="80"/>
              <w:spacing w:after="0"/>
              <w:rPr>
                <w:sz w:val="20"/>
                <w:szCs w:val="20"/>
                <w:color w:val="auto"/>
              </w:rPr>
            </w:pPr>
            <w:r>
              <w:rPr>
                <w:rFonts w:ascii="Arial" w:cs="Arial" w:eastAsia="Arial" w:hAnsi="Arial"/>
                <w:sz w:val="14"/>
                <w:szCs w:val="14"/>
                <w:color w:val="auto"/>
              </w:rPr>
              <w:t>Non-operating expenses, net</w:t>
            </w:r>
          </w:p>
        </w:tc>
        <w:tc>
          <w:tcPr>
            <w:tcW w:w="1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(3,539)</w:t>
            </w: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(4,095)</w:t>
            </w:r>
          </w:p>
        </w:tc>
      </w:tr>
      <w:tr>
        <w:trPr>
          <w:trHeight w:val="339"/>
        </w:trPr>
        <w:tc>
          <w:tcPr>
            <w:tcW w:w="7340" w:type="dxa"/>
            <w:vAlign w:val="bottom"/>
          </w:tcPr>
          <w:p>
            <w:pPr>
              <w:ind w:left="80"/>
              <w:spacing w:after="0"/>
              <w:rPr>
                <w:sz w:val="20"/>
                <w:szCs w:val="20"/>
                <w:color w:val="auto"/>
              </w:rPr>
            </w:pPr>
            <w:r>
              <w:rPr>
                <w:rFonts w:ascii="Arial" w:cs="Arial" w:eastAsia="Arial" w:hAnsi="Arial"/>
                <w:sz w:val="14"/>
                <w:szCs w:val="14"/>
                <w:color w:val="auto"/>
              </w:rPr>
              <w:t>Income before income taxes</w:t>
            </w:r>
          </w:p>
        </w:tc>
        <w:tc>
          <w:tcPr>
            <w:tcW w:w="11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63,402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55,161</w:t>
            </w:r>
          </w:p>
        </w:tc>
      </w:tr>
      <w:tr>
        <w:trPr>
          <w:trHeight w:val="181"/>
        </w:trPr>
        <w:tc>
          <w:tcPr>
            <w:tcW w:w="7340" w:type="dxa"/>
            <w:vAlign w:val="bottom"/>
          </w:tcPr>
          <w:p>
            <w:pPr>
              <w:ind w:left="80"/>
              <w:spacing w:after="0"/>
              <w:rPr>
                <w:sz w:val="20"/>
                <w:szCs w:val="20"/>
                <w:color w:val="auto"/>
              </w:rPr>
            </w:pPr>
            <w:r>
              <w:rPr>
                <w:rFonts w:ascii="Arial" w:cs="Arial" w:eastAsia="Arial" w:hAnsi="Arial"/>
                <w:sz w:val="14"/>
                <w:szCs w:val="14"/>
                <w:color w:val="auto"/>
              </w:rPr>
              <w:t>Provision for income taxes</w:t>
            </w:r>
          </w:p>
        </w:tc>
        <w:tc>
          <w:tcPr>
            <w:tcW w:w="1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12,291</w:t>
            </w: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6,615</w:t>
            </w:r>
          </w:p>
        </w:tc>
      </w:tr>
      <w:tr>
        <w:trPr>
          <w:trHeight w:val="339"/>
        </w:trPr>
        <w:tc>
          <w:tcPr>
            <w:tcW w:w="7340" w:type="dxa"/>
            <w:vAlign w:val="bottom"/>
          </w:tcPr>
          <w:p>
            <w:pPr>
              <w:ind w:left="80"/>
              <w:spacing w:after="0"/>
              <w:rPr>
                <w:sz w:val="20"/>
                <w:szCs w:val="20"/>
                <w:color w:val="auto"/>
              </w:rPr>
            </w:pPr>
            <w:r>
              <w:rPr>
                <w:rFonts w:ascii="Arial" w:cs="Arial" w:eastAsia="Arial" w:hAnsi="Arial"/>
                <w:sz w:val="14"/>
                <w:szCs w:val="14"/>
                <w:color w:val="auto"/>
              </w:rPr>
              <w:t>Net income including noncontrolling interest</w:t>
            </w:r>
          </w:p>
        </w:tc>
        <w:tc>
          <w:tcPr>
            <w:tcW w:w="11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51,111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48,546</w:t>
            </w:r>
          </w:p>
        </w:tc>
      </w:tr>
      <w:tr>
        <w:trPr>
          <w:trHeight w:val="181"/>
        </w:trPr>
        <w:tc>
          <w:tcPr>
            <w:tcW w:w="7340" w:type="dxa"/>
            <w:vAlign w:val="bottom"/>
          </w:tcPr>
          <w:p>
            <w:pPr>
              <w:ind w:left="80"/>
              <w:spacing w:after="0"/>
              <w:rPr>
                <w:sz w:val="20"/>
                <w:szCs w:val="20"/>
                <w:color w:val="auto"/>
              </w:rPr>
            </w:pPr>
            <w:r>
              <w:rPr>
                <w:rFonts w:ascii="Arial" w:cs="Arial" w:eastAsia="Arial" w:hAnsi="Arial"/>
                <w:sz w:val="14"/>
                <w:szCs w:val="14"/>
                <w:color w:val="auto"/>
              </w:rPr>
              <w:t>Net income attributable to noncontrolling interest</w:t>
            </w:r>
          </w:p>
        </w:tc>
        <w:tc>
          <w:tcPr>
            <w:tcW w:w="1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2,386</w:t>
            </w: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2,131</w:t>
            </w:r>
          </w:p>
        </w:tc>
      </w:tr>
      <w:tr>
        <w:trPr>
          <w:trHeight w:val="345"/>
        </w:trPr>
        <w:tc>
          <w:tcPr>
            <w:tcW w:w="7340" w:type="dxa"/>
            <w:vAlign w:val="bottom"/>
          </w:tcPr>
          <w:p>
            <w:pPr>
              <w:ind w:left="80"/>
              <w:spacing w:after="0"/>
              <w:rPr>
                <w:sz w:val="20"/>
                <w:szCs w:val="20"/>
                <w:color w:val="auto"/>
              </w:rPr>
            </w:pPr>
            <w:r>
              <w:rPr>
                <w:rFonts w:ascii="Arial" w:cs="Arial" w:eastAsia="Arial" w:hAnsi="Arial"/>
                <w:sz w:val="14"/>
                <w:szCs w:val="14"/>
                <w:color w:val="auto"/>
              </w:rPr>
              <w:t>Net income attributable to World Fuel</w:t>
            </w:r>
          </w:p>
        </w:tc>
        <w:tc>
          <w:tcPr>
            <w:tcW w:w="11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48,725</w:t>
            </w:r>
          </w:p>
        </w:tc>
        <w:tc>
          <w:tcPr>
            <w:tcW w:w="160" w:type="dxa"/>
            <w:vAlign w:val="bottom"/>
          </w:tcPr>
          <w:p>
            <w:pPr>
              <w:spacing w:after="0"/>
              <w:rPr>
                <w:sz w:val="24"/>
                <w:szCs w:val="24"/>
                <w:color w:val="auto"/>
              </w:rPr>
            </w:pPr>
          </w:p>
        </w:tc>
        <w:tc>
          <w:tcPr>
            <w:tcW w:w="7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46,415</w:t>
            </w: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32"/>
        </w:trPr>
        <w:tc>
          <w:tcPr>
            <w:tcW w:w="7340" w:type="dxa"/>
            <w:vAlign w:val="bottom"/>
          </w:tcPr>
          <w:p>
            <w:pPr>
              <w:ind w:left="80"/>
              <w:spacing w:after="0"/>
              <w:rPr>
                <w:sz w:val="20"/>
                <w:szCs w:val="20"/>
                <w:color w:val="auto"/>
              </w:rPr>
            </w:pPr>
            <w:r>
              <w:rPr>
                <w:rFonts w:ascii="Arial" w:cs="Arial" w:eastAsia="Arial" w:hAnsi="Arial"/>
                <w:sz w:val="14"/>
                <w:szCs w:val="14"/>
                <w:color w:val="auto"/>
              </w:rPr>
              <w:t>Basic earnings per common share</w:t>
            </w:r>
          </w:p>
        </w:tc>
        <w:tc>
          <w:tcPr>
            <w:tcW w:w="11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0.68</w:t>
            </w:r>
          </w:p>
        </w:tc>
        <w:tc>
          <w:tcPr>
            <w:tcW w:w="90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0.65</w:t>
            </w:r>
          </w:p>
        </w:tc>
      </w:tr>
      <w:tr>
        <w:trPr>
          <w:trHeight w:val="20"/>
        </w:trPr>
        <w:tc>
          <w:tcPr>
            <w:tcW w:w="7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7340" w:type="dxa"/>
            <w:vAlign w:val="bottom"/>
          </w:tcPr>
          <w:p>
            <w:pPr>
              <w:ind w:left="80"/>
              <w:spacing w:after="0"/>
              <w:rPr>
                <w:sz w:val="20"/>
                <w:szCs w:val="20"/>
                <w:color w:val="auto"/>
              </w:rPr>
            </w:pPr>
            <w:r>
              <w:rPr>
                <w:rFonts w:ascii="Arial" w:cs="Arial" w:eastAsia="Arial" w:hAnsi="Arial"/>
                <w:sz w:val="14"/>
                <w:szCs w:val="14"/>
                <w:color w:val="auto"/>
              </w:rPr>
              <w:t>Basic weighted average common shares</w:t>
            </w: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71,288</w:t>
            </w:r>
          </w:p>
        </w:tc>
        <w:tc>
          <w:tcPr>
            <w:tcW w:w="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70,998</w:t>
            </w: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32"/>
        </w:trPr>
        <w:tc>
          <w:tcPr>
            <w:tcW w:w="7340" w:type="dxa"/>
            <w:vAlign w:val="bottom"/>
          </w:tcPr>
          <w:p>
            <w:pPr>
              <w:ind w:left="80"/>
              <w:spacing w:after="0"/>
              <w:rPr>
                <w:sz w:val="20"/>
                <w:szCs w:val="20"/>
                <w:color w:val="auto"/>
              </w:rPr>
            </w:pPr>
            <w:r>
              <w:rPr>
                <w:rFonts w:ascii="Arial" w:cs="Arial" w:eastAsia="Arial" w:hAnsi="Arial"/>
                <w:sz w:val="14"/>
                <w:szCs w:val="14"/>
                <w:color w:val="auto"/>
              </w:rPr>
              <w:t>Diluted earnings per common share</w:t>
            </w:r>
          </w:p>
        </w:tc>
        <w:tc>
          <w:tcPr>
            <w:tcW w:w="11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0.68</w:t>
            </w:r>
          </w:p>
        </w:tc>
        <w:tc>
          <w:tcPr>
            <w:tcW w:w="90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0.65</w:t>
            </w:r>
          </w:p>
        </w:tc>
      </w:tr>
      <w:tr>
        <w:trPr>
          <w:trHeight w:val="20"/>
        </w:trPr>
        <w:tc>
          <w:tcPr>
            <w:tcW w:w="7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7340" w:type="dxa"/>
            <w:vAlign w:val="bottom"/>
          </w:tcPr>
          <w:p>
            <w:pPr>
              <w:ind w:left="80"/>
              <w:spacing w:after="0"/>
              <w:rPr>
                <w:sz w:val="20"/>
                <w:szCs w:val="20"/>
                <w:color w:val="auto"/>
              </w:rPr>
            </w:pPr>
            <w:r>
              <w:rPr>
                <w:rFonts w:ascii="Arial" w:cs="Arial" w:eastAsia="Arial" w:hAnsi="Arial"/>
                <w:sz w:val="14"/>
                <w:szCs w:val="14"/>
                <w:color w:val="auto"/>
              </w:rPr>
              <w:t>Diluted weighted average common shares</w:t>
            </w: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71,999</w:t>
            </w:r>
          </w:p>
        </w:tc>
        <w:tc>
          <w:tcPr>
            <w:tcW w:w="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71,774</w:t>
            </w: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6"/>
        </w:trPr>
        <w:tc>
          <w:tcPr>
            <w:tcW w:w="7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21"/>
        </w:trPr>
        <w:tc>
          <w:tcPr>
            <w:tcW w:w="73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As of</w:t>
            </w:r>
          </w:p>
        </w:tc>
        <w:tc>
          <w:tcPr>
            <w:tcW w:w="1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right"/>
              <w:ind w:right="448"/>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980" w:type="dxa"/>
            <w:vAlign w:val="bottom"/>
          </w:tcPr>
          <w:p>
            <w:pPr>
              <w:ind w:left="80"/>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159,600</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172,740</w:t>
            </w:r>
          </w:p>
        </w:tc>
        <w:tc>
          <w:tcPr>
            <w:tcW w:w="0" w:type="dxa"/>
            <w:vAlign w:val="bottom"/>
          </w:tcPr>
          <w:p>
            <w:pPr>
              <w:spacing w:after="0"/>
              <w:rPr>
                <w:sz w:val="1"/>
                <w:szCs w:val="1"/>
                <w:color w:val="auto"/>
              </w:rPr>
            </w:pPr>
          </w:p>
        </w:tc>
      </w:tr>
      <w:tr>
        <w:trPr>
          <w:trHeight w:val="176"/>
        </w:trPr>
        <w:tc>
          <w:tcPr>
            <w:tcW w:w="798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2,494,373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2,193,866</w:t>
            </w:r>
          </w:p>
        </w:tc>
        <w:tc>
          <w:tcPr>
            <w:tcW w:w="0" w:type="dxa"/>
            <w:vAlign w:val="bottom"/>
          </w:tcPr>
          <w:p>
            <w:pPr>
              <w:spacing w:after="0"/>
              <w:rPr>
                <w:sz w:val="1"/>
                <w:szCs w:val="1"/>
                <w:color w:val="auto"/>
              </w:rPr>
            </w:pPr>
          </w:p>
        </w:tc>
      </w:tr>
      <w:tr>
        <w:trPr>
          <w:trHeight w:val="176"/>
        </w:trPr>
        <w:tc>
          <w:tcPr>
            <w:tcW w:w="798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634,057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572,313</w:t>
            </w:r>
          </w:p>
        </w:tc>
        <w:tc>
          <w:tcPr>
            <w:tcW w:w="0" w:type="dxa"/>
            <w:vAlign w:val="bottom"/>
          </w:tcPr>
          <w:p>
            <w:pPr>
              <w:spacing w:after="0"/>
              <w:rPr>
                <w:sz w:val="1"/>
                <w:szCs w:val="1"/>
                <w:color w:val="auto"/>
              </w:rPr>
            </w:pPr>
          </w:p>
        </w:tc>
      </w:tr>
      <w:tr>
        <w:trPr>
          <w:trHeight w:val="181"/>
        </w:trPr>
        <w:tc>
          <w:tcPr>
            <w:tcW w:w="798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292,918</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98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3,580,948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3,281,377</w:t>
            </w:r>
          </w:p>
        </w:tc>
        <w:tc>
          <w:tcPr>
            <w:tcW w:w="0" w:type="dxa"/>
            <w:vAlign w:val="bottom"/>
          </w:tcPr>
          <w:p>
            <w:pPr>
              <w:spacing w:after="0"/>
              <w:rPr>
                <w:sz w:val="1"/>
                <w:szCs w:val="1"/>
                <w:color w:val="auto"/>
              </w:rPr>
            </w:pPr>
          </w:p>
        </w:tc>
      </w:tr>
      <w:tr>
        <w:trPr>
          <w:trHeight w:val="351"/>
        </w:trPr>
        <w:tc>
          <w:tcPr>
            <w:tcW w:w="7980" w:type="dxa"/>
            <w:vAlign w:val="bottom"/>
          </w:tcPr>
          <w:p>
            <w:pPr>
              <w:ind w:left="8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119,636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112,525</w:t>
            </w:r>
          </w:p>
        </w:tc>
        <w:tc>
          <w:tcPr>
            <w:tcW w:w="0" w:type="dxa"/>
            <w:vAlign w:val="bottom"/>
          </w:tcPr>
          <w:p>
            <w:pPr>
              <w:spacing w:after="0"/>
              <w:rPr>
                <w:sz w:val="1"/>
                <w:szCs w:val="1"/>
                <w:color w:val="auto"/>
              </w:rPr>
            </w:pPr>
          </w:p>
        </w:tc>
      </w:tr>
      <w:tr>
        <w:trPr>
          <w:trHeight w:val="350"/>
        </w:trPr>
        <w:tc>
          <w:tcPr>
            <w:tcW w:w="7980" w:type="dxa"/>
            <w:vAlign w:val="bottom"/>
          </w:tcPr>
          <w:p>
            <w:pPr>
              <w:ind w:left="80"/>
              <w:spacing w:after="0"/>
              <w:rPr>
                <w:sz w:val="20"/>
                <w:szCs w:val="20"/>
                <w:color w:val="auto"/>
              </w:rPr>
            </w:pPr>
            <w:r>
              <w:rPr>
                <w:rFonts w:ascii="Arial" w:cs="Arial" w:eastAsia="Arial" w:hAnsi="Arial"/>
                <w:sz w:val="14"/>
                <w:szCs w:val="14"/>
                <w:color w:val="auto"/>
              </w:rPr>
              <w:t>Goodwill, identifiable intangible and other non-current assets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708,673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713,849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98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4,409,257</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4,107,751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80"/>
              <w:spacing w:after="0"/>
              <w:rPr>
                <w:sz w:val="20"/>
                <w:szCs w:val="20"/>
                <w:color w:val="auto"/>
              </w:rPr>
            </w:pPr>
            <w:r>
              <w:rPr>
                <w:rFonts w:ascii="Arial" w:cs="Arial" w:eastAsia="Arial" w:hAnsi="Arial"/>
                <w:sz w:val="14"/>
                <w:szCs w:val="14"/>
                <w:color w:val="auto"/>
              </w:rPr>
              <w:t>Liabilities and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80"/>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260"/>
              <w:spacing w:after="0"/>
              <w:rPr>
                <w:sz w:val="20"/>
                <w:szCs w:val="20"/>
                <w:color w:val="auto"/>
              </w:rPr>
            </w:pPr>
            <w:r>
              <w:rPr>
                <w:rFonts w:ascii="Arial" w:cs="Arial" w:eastAsia="Arial" w:hAnsi="Arial"/>
                <w:sz w:val="14"/>
                <w:szCs w:val="14"/>
                <w:color w:val="auto"/>
              </w:rPr>
              <w:t>Short-term debt</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28,362</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26,065</w:t>
            </w:r>
          </w:p>
        </w:tc>
        <w:tc>
          <w:tcPr>
            <w:tcW w:w="0" w:type="dxa"/>
            <w:vAlign w:val="bottom"/>
          </w:tcPr>
          <w:p>
            <w:pPr>
              <w:spacing w:after="0"/>
              <w:rPr>
                <w:sz w:val="1"/>
                <w:szCs w:val="1"/>
                <w:color w:val="auto"/>
              </w:rPr>
            </w:pPr>
          </w:p>
        </w:tc>
      </w:tr>
      <w:tr>
        <w:trPr>
          <w:trHeight w:val="176"/>
        </w:trPr>
        <w:tc>
          <w:tcPr>
            <w:tcW w:w="798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2,185,325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1,814,794</w:t>
            </w:r>
          </w:p>
        </w:tc>
        <w:tc>
          <w:tcPr>
            <w:tcW w:w="0" w:type="dxa"/>
            <w:vAlign w:val="bottom"/>
          </w:tcPr>
          <w:p>
            <w:pPr>
              <w:spacing w:after="0"/>
              <w:rPr>
                <w:sz w:val="1"/>
                <w:szCs w:val="1"/>
                <w:color w:val="auto"/>
              </w:rPr>
            </w:pPr>
          </w:p>
        </w:tc>
      </w:tr>
      <w:tr>
        <w:trPr>
          <w:trHeight w:val="181"/>
        </w:trPr>
        <w:tc>
          <w:tcPr>
            <w:tcW w:w="798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283,654</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98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2,497,341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2,149,298</w:t>
            </w:r>
          </w:p>
        </w:tc>
        <w:tc>
          <w:tcPr>
            <w:tcW w:w="0" w:type="dxa"/>
            <w:vAlign w:val="bottom"/>
          </w:tcPr>
          <w:p>
            <w:pPr>
              <w:spacing w:after="0"/>
              <w:rPr>
                <w:sz w:val="1"/>
                <w:szCs w:val="1"/>
                <w:color w:val="auto"/>
              </w:rPr>
            </w:pPr>
          </w:p>
        </w:tc>
      </w:tr>
      <w:tr>
        <w:trPr>
          <w:trHeight w:val="344"/>
        </w:trPr>
        <w:tc>
          <w:tcPr>
            <w:tcW w:w="7980" w:type="dxa"/>
            <w:vAlign w:val="bottom"/>
          </w:tcPr>
          <w:p>
            <w:pPr>
              <w:ind w:left="80"/>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248,312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354,253</w:t>
            </w:r>
          </w:p>
        </w:tc>
        <w:tc>
          <w:tcPr>
            <w:tcW w:w="0" w:type="dxa"/>
            <w:vAlign w:val="bottom"/>
          </w:tcPr>
          <w:p>
            <w:pPr>
              <w:spacing w:after="0"/>
              <w:rPr>
                <w:sz w:val="1"/>
                <w:szCs w:val="1"/>
                <w:color w:val="auto"/>
              </w:rPr>
            </w:pPr>
          </w:p>
        </w:tc>
      </w:tr>
      <w:tr>
        <w:trPr>
          <w:trHeight w:val="181"/>
        </w:trPr>
        <w:tc>
          <w:tcPr>
            <w:tcW w:w="7980" w:type="dxa"/>
            <w:vAlign w:val="bottom"/>
          </w:tcPr>
          <w:p>
            <w:pPr>
              <w:ind w:left="80"/>
              <w:spacing w:after="0"/>
              <w:rPr>
                <w:sz w:val="20"/>
                <w:szCs w:val="20"/>
                <w:color w:val="auto"/>
              </w:rPr>
            </w:pPr>
            <w:r>
              <w:rPr>
                <w:rFonts w:ascii="Arial" w:cs="Arial" w:eastAsia="Arial" w:hAnsi="Arial"/>
                <w:sz w:val="14"/>
                <w:szCs w:val="14"/>
                <w:color w:val="auto"/>
              </w:rPr>
              <w:t>Other long-term liabilities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71,491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62,576</w:t>
            </w:r>
          </w:p>
        </w:tc>
        <w:tc>
          <w:tcPr>
            <w:tcW w:w="0" w:type="dxa"/>
            <w:vAlign w:val="bottom"/>
          </w:tcPr>
          <w:p>
            <w:pPr>
              <w:spacing w:after="0"/>
              <w:rPr>
                <w:sz w:val="1"/>
                <w:szCs w:val="1"/>
                <w:color w:val="auto"/>
              </w:rPr>
            </w:pPr>
          </w:p>
        </w:tc>
      </w:tr>
      <w:tr>
        <w:trPr>
          <w:trHeight w:val="169"/>
        </w:trPr>
        <w:tc>
          <w:tcPr>
            <w:tcW w:w="798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2,817,144</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2,566,127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980" w:type="dxa"/>
            <w:vAlign w:val="bottom"/>
          </w:tcPr>
          <w:p>
            <w:pPr>
              <w:ind w:left="80"/>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260"/>
              <w:spacing w:after="0"/>
              <w:rPr>
                <w:sz w:val="20"/>
                <w:szCs w:val="20"/>
                <w:color w:val="auto"/>
              </w:rPr>
            </w:pPr>
            <w:r>
              <w:rPr>
                <w:rFonts w:ascii="Arial" w:cs="Arial" w:eastAsia="Arial" w:hAnsi="Arial"/>
                <w:sz w:val="14"/>
                <w:szCs w:val="14"/>
                <w:color w:val="auto"/>
              </w:rPr>
              <w:t>World Fuel shareholders' equity</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1,565,277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1,517,174</w:t>
            </w:r>
          </w:p>
        </w:tc>
        <w:tc>
          <w:tcPr>
            <w:tcW w:w="0" w:type="dxa"/>
            <w:vAlign w:val="bottom"/>
          </w:tcPr>
          <w:p>
            <w:pPr>
              <w:spacing w:after="0"/>
              <w:rPr>
                <w:sz w:val="1"/>
                <w:szCs w:val="1"/>
                <w:color w:val="auto"/>
              </w:rPr>
            </w:pPr>
          </w:p>
        </w:tc>
      </w:tr>
      <w:tr>
        <w:trPr>
          <w:trHeight w:val="181"/>
        </w:trPr>
        <w:tc>
          <w:tcPr>
            <w:tcW w:w="7980" w:type="dxa"/>
            <w:vAlign w:val="bottom"/>
          </w:tcPr>
          <w:p>
            <w:pPr>
              <w:ind w:left="260"/>
              <w:spacing w:after="0"/>
              <w:rPr>
                <w:sz w:val="20"/>
                <w:szCs w:val="20"/>
                <w:color w:val="auto"/>
              </w:rPr>
            </w:pPr>
            <w:r>
              <w:rPr>
                <w:rFonts w:ascii="Arial" w:cs="Arial" w:eastAsia="Arial" w:hAnsi="Arial"/>
                <w:sz w:val="14"/>
                <w:szCs w:val="14"/>
                <w:color w:val="auto"/>
              </w:rPr>
              <w:t>Noncontrolling interest equity</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26,836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24,450</w:t>
            </w:r>
          </w:p>
        </w:tc>
        <w:tc>
          <w:tcPr>
            <w:tcW w:w="0" w:type="dxa"/>
            <w:vAlign w:val="bottom"/>
          </w:tcPr>
          <w:p>
            <w:pPr>
              <w:spacing w:after="0"/>
              <w:rPr>
                <w:sz w:val="1"/>
                <w:szCs w:val="1"/>
                <w:color w:val="auto"/>
              </w:rPr>
            </w:pPr>
          </w:p>
        </w:tc>
      </w:tr>
      <w:tr>
        <w:trPr>
          <w:trHeight w:val="169"/>
        </w:trPr>
        <w:tc>
          <w:tcPr>
            <w:tcW w:w="7980" w:type="dxa"/>
            <w:vAlign w:val="bottom"/>
          </w:tcPr>
          <w:p>
            <w:pPr>
              <w:ind w:left="440"/>
              <w:spacing w:after="0"/>
              <w:rPr>
                <w:sz w:val="20"/>
                <w:szCs w:val="20"/>
                <w:color w:val="auto"/>
              </w:rPr>
            </w:pPr>
            <w:r>
              <w:rPr>
                <w:rFonts w:ascii="Arial" w:cs="Arial" w:eastAsia="Arial" w:hAnsi="Arial"/>
                <w:sz w:val="14"/>
                <w:szCs w:val="14"/>
                <w:color w:val="auto"/>
              </w:rPr>
              <w:t>Total equity</w:t>
            </w: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1,592,113</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1,541,624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980" w:type="dxa"/>
            <w:vAlign w:val="bottom"/>
          </w:tcPr>
          <w:p>
            <w:pPr>
              <w:ind w:left="440"/>
              <w:spacing w:after="0"/>
              <w:rPr>
                <w:sz w:val="20"/>
                <w:szCs w:val="20"/>
                <w:color w:val="auto"/>
              </w:rPr>
            </w:pPr>
            <w:r>
              <w:rPr>
                <w:rFonts w:ascii="Arial" w:cs="Arial" w:eastAsia="Arial" w:hAnsi="Arial"/>
                <w:sz w:val="14"/>
                <w:szCs w:val="14"/>
                <w:color w:val="auto"/>
              </w:rPr>
              <w:t>Total liabilities and equity</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4,409,257</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4,107,751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9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0" w:type="dxa"/>
            <w:vAlign w:val="bottom"/>
            <w:gridSpan w:val="3"/>
          </w:tcPr>
          <w:p>
            <w:pPr>
              <w:jc w:val="right"/>
              <w:ind w:right="180"/>
              <w:spacing w:after="0"/>
              <w:rPr>
                <w:sz w:val="20"/>
                <w:szCs w:val="20"/>
                <w:color w:val="auto"/>
              </w:rPr>
            </w:pPr>
            <w:r>
              <w:rPr>
                <w:rFonts w:ascii="Arial" w:cs="Arial" w:eastAsia="Arial" w:hAnsi="Arial"/>
                <w:sz w:val="14"/>
                <w:szCs w:val="14"/>
                <w:color w:val="auto"/>
              </w:rPr>
              <w:t>For the Three Months ended</w:t>
            </w:r>
          </w:p>
        </w:tc>
        <w:tc>
          <w:tcPr>
            <w:tcW w:w="840" w:type="dxa"/>
            <w:vAlign w:val="bottom"/>
          </w:tcPr>
          <w:p>
            <w:pPr>
              <w:spacing w:after="0"/>
              <w:rPr>
                <w:sz w:val="15"/>
                <w:szCs w:val="15"/>
                <w:color w:val="auto"/>
              </w:rPr>
            </w:pPr>
          </w:p>
        </w:tc>
      </w:tr>
      <w:tr>
        <w:trPr>
          <w:trHeight w:val="181"/>
        </w:trPr>
        <w:tc>
          <w:tcPr>
            <w:tcW w:w="77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5"/>
                <w:szCs w:val="15"/>
                <w:color w:val="auto"/>
              </w:rPr>
            </w:pPr>
          </w:p>
        </w:tc>
      </w:tr>
      <w:tr>
        <w:trPr>
          <w:trHeight w:val="169"/>
        </w:trPr>
        <w:tc>
          <w:tcPr>
            <w:tcW w:w="77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2012</w:t>
            </w:r>
          </w:p>
        </w:tc>
      </w:tr>
      <w:tr>
        <w:trPr>
          <w:trHeight w:val="339"/>
        </w:trPr>
        <w:tc>
          <w:tcPr>
            <w:tcW w:w="778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1"/>
        </w:trPr>
        <w:tc>
          <w:tcPr>
            <w:tcW w:w="7780" w:type="dxa"/>
            <w:vAlign w:val="bottom"/>
          </w:tcPr>
          <w:p>
            <w:pPr>
              <w:ind w:left="140"/>
              <w:spacing w:after="0"/>
              <w:rPr>
                <w:sz w:val="20"/>
                <w:szCs w:val="20"/>
                <w:color w:val="auto"/>
              </w:rPr>
            </w:pPr>
            <w:r>
              <w:rPr>
                <w:rFonts w:ascii="Arial" w:cs="Arial" w:eastAsia="Arial" w:hAnsi="Arial"/>
                <w:sz w:val="14"/>
                <w:szCs w:val="14"/>
                <w:color w:val="auto"/>
              </w:rPr>
              <w:t>Net income including noncontrolling interest</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51,111</w:t>
            </w:r>
          </w:p>
        </w:tc>
        <w:tc>
          <w:tcPr>
            <w:tcW w:w="10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48,546</w:t>
            </w:r>
          </w:p>
        </w:tc>
      </w:tr>
      <w:tr>
        <w:trPr>
          <w:trHeight w:val="164"/>
        </w:trPr>
        <w:tc>
          <w:tcPr>
            <w:tcW w:w="7780" w:type="dxa"/>
            <w:vAlign w:val="bottom"/>
          </w:tcPr>
          <w:p>
            <w:pPr>
              <w:ind w:left="140"/>
              <w:spacing w:after="0"/>
              <w:rPr>
                <w:sz w:val="20"/>
                <w:szCs w:val="20"/>
                <w:color w:val="auto"/>
              </w:rPr>
            </w:pPr>
            <w:r>
              <w:rPr>
                <w:rFonts w:ascii="Arial" w:cs="Arial" w:eastAsia="Arial" w:hAnsi="Arial"/>
                <w:sz w:val="14"/>
                <w:szCs w:val="14"/>
                <w:color w:val="auto"/>
              </w:rPr>
              <w:t>Adjustments to reconcile net income including</w:t>
            </w:r>
          </w:p>
        </w:tc>
        <w:tc>
          <w:tcPr>
            <w:tcW w:w="6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176"/>
        </w:trPr>
        <w:tc>
          <w:tcPr>
            <w:tcW w:w="7780" w:type="dxa"/>
            <w:vAlign w:val="bottom"/>
          </w:tcPr>
          <w:p>
            <w:pPr>
              <w:ind w:left="320"/>
              <w:spacing w:after="0"/>
              <w:rPr>
                <w:sz w:val="20"/>
                <w:szCs w:val="20"/>
                <w:color w:val="auto"/>
              </w:rPr>
            </w:pPr>
            <w:r>
              <w:rPr>
                <w:rFonts w:ascii="Arial" w:cs="Arial" w:eastAsia="Arial" w:hAnsi="Arial"/>
                <w:sz w:val="14"/>
                <w:szCs w:val="14"/>
                <w:color w:val="auto"/>
              </w:rPr>
              <w:t>noncontrolling interest to net cash provided by</w:t>
            </w: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7780" w:type="dxa"/>
            <w:vAlign w:val="bottom"/>
          </w:tcPr>
          <w:p>
            <w:pPr>
              <w:ind w:left="320"/>
              <w:spacing w:after="0"/>
              <w:rPr>
                <w:sz w:val="20"/>
                <w:szCs w:val="20"/>
                <w:color w:val="auto"/>
              </w:rPr>
            </w:pPr>
            <w:r>
              <w:rPr>
                <w:rFonts w:ascii="Arial" w:cs="Arial" w:eastAsia="Arial" w:hAnsi="Arial"/>
                <w:sz w:val="14"/>
                <w:szCs w:val="14"/>
                <w:color w:val="auto"/>
              </w:rPr>
              <w:t>operating activities:</w:t>
            </w: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7780" w:type="dxa"/>
            <w:vAlign w:val="bottom"/>
          </w:tcPr>
          <w:p>
            <w:pPr>
              <w:ind w:left="700"/>
              <w:spacing w:after="0"/>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10,848</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9,659</w:t>
            </w:r>
          </w:p>
        </w:tc>
      </w:tr>
      <w:tr>
        <w:trPr>
          <w:trHeight w:val="176"/>
        </w:trPr>
        <w:tc>
          <w:tcPr>
            <w:tcW w:w="7780" w:type="dxa"/>
            <w:vAlign w:val="bottom"/>
          </w:tcPr>
          <w:p>
            <w:pPr>
              <w:ind w:left="700"/>
              <w:spacing w:after="0"/>
              <w:rPr>
                <w:sz w:val="20"/>
                <w:szCs w:val="20"/>
                <w:color w:val="auto"/>
              </w:rPr>
            </w:pPr>
            <w:r>
              <w:rPr>
                <w:rFonts w:ascii="Arial" w:cs="Arial" w:eastAsia="Arial" w:hAnsi="Arial"/>
                <w:sz w:val="14"/>
                <w:szCs w:val="14"/>
                <w:color w:val="auto"/>
              </w:rPr>
              <w:t>Provision for bad debt</w:t>
            </w:r>
          </w:p>
        </w:tc>
        <w:tc>
          <w:tcPr>
            <w:tcW w:w="60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1,103</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141</w:t>
            </w:r>
          </w:p>
        </w:tc>
      </w:tr>
      <w:tr>
        <w:trPr>
          <w:trHeight w:val="176"/>
        </w:trPr>
        <w:tc>
          <w:tcPr>
            <w:tcW w:w="7780" w:type="dxa"/>
            <w:vAlign w:val="bottom"/>
          </w:tcPr>
          <w:p>
            <w:pPr>
              <w:ind w:left="700"/>
              <w:spacing w:after="0"/>
              <w:rPr>
                <w:sz w:val="20"/>
                <w:szCs w:val="20"/>
                <w:color w:val="auto"/>
              </w:rPr>
            </w:pPr>
            <w:r>
              <w:rPr>
                <w:rFonts w:ascii="Arial" w:cs="Arial" w:eastAsia="Arial" w:hAnsi="Arial"/>
                <w:sz w:val="14"/>
                <w:szCs w:val="14"/>
                <w:color w:val="auto"/>
              </w:rPr>
              <w:t>Share-based payment award compensation costs</w:t>
            </w:r>
          </w:p>
        </w:tc>
        <w:tc>
          <w:tcPr>
            <w:tcW w:w="60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3,872</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2,904</w:t>
            </w:r>
          </w:p>
        </w:tc>
      </w:tr>
      <w:tr>
        <w:trPr>
          <w:trHeight w:val="176"/>
        </w:trPr>
        <w:tc>
          <w:tcPr>
            <w:tcW w:w="7780" w:type="dxa"/>
            <w:vAlign w:val="bottom"/>
          </w:tcPr>
          <w:p>
            <w:pPr>
              <w:ind w:left="700"/>
              <w:spacing w:after="0"/>
              <w:rPr>
                <w:sz w:val="20"/>
                <w:szCs w:val="20"/>
                <w:color w:val="auto"/>
              </w:rPr>
            </w:pPr>
            <w:r>
              <w:rPr>
                <w:rFonts w:ascii="Arial" w:cs="Arial" w:eastAsia="Arial" w:hAnsi="Arial"/>
                <w:sz w:val="14"/>
                <w:szCs w:val="14"/>
                <w:color w:val="auto"/>
              </w:rPr>
              <w:t>Other</w:t>
            </w:r>
          </w:p>
        </w:tc>
        <w:tc>
          <w:tcPr>
            <w:tcW w:w="60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8,771</w:t>
            </w:r>
          </w:p>
        </w:tc>
      </w:tr>
      <w:tr>
        <w:trPr>
          <w:trHeight w:val="176"/>
        </w:trPr>
        <w:tc>
          <w:tcPr>
            <w:tcW w:w="7780" w:type="dxa"/>
            <w:vAlign w:val="bottom"/>
          </w:tcPr>
          <w:p>
            <w:pPr>
              <w:ind w:left="700"/>
              <w:spacing w:after="0"/>
              <w:rPr>
                <w:sz w:val="20"/>
                <w:szCs w:val="20"/>
                <w:color w:val="auto"/>
              </w:rPr>
            </w:pPr>
            <w:r>
              <w:rPr>
                <w:rFonts w:ascii="Arial" w:cs="Arial" w:eastAsia="Arial" w:hAnsi="Arial"/>
                <w:sz w:val="14"/>
                <w:szCs w:val="14"/>
                <w:color w:val="auto"/>
              </w:rPr>
              <w:t>Changes in cash collateral with financial counterparties</w:t>
            </w:r>
          </w:p>
        </w:tc>
        <w:tc>
          <w:tcPr>
            <w:tcW w:w="60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563</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35,094</w:t>
            </w:r>
          </w:p>
        </w:tc>
      </w:tr>
      <w:tr>
        <w:trPr>
          <w:trHeight w:val="181"/>
        </w:trPr>
        <w:tc>
          <w:tcPr>
            <w:tcW w:w="7780" w:type="dxa"/>
            <w:vAlign w:val="bottom"/>
          </w:tcPr>
          <w:p>
            <w:pPr>
              <w:ind w:left="700"/>
              <w:spacing w:after="0"/>
              <w:rPr>
                <w:sz w:val="20"/>
                <w:szCs w:val="20"/>
                <w:color w:val="auto"/>
              </w:rPr>
            </w:pPr>
            <w:r>
              <w:rPr>
                <w:rFonts w:ascii="Arial" w:cs="Arial" w:eastAsia="Arial" w:hAnsi="Arial"/>
                <w:sz w:val="14"/>
                <w:szCs w:val="14"/>
                <w:color w:val="auto"/>
              </w:rPr>
              <w:t>Changes in assets and liabilities, net of acquisitions</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42,259</w:t>
            </w:r>
          </w:p>
        </w:tc>
        <w:tc>
          <w:tcPr>
            <w:tcW w:w="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(56,323)</w:t>
            </w:r>
          </w:p>
        </w:tc>
      </w:tr>
      <w:tr>
        <w:trPr>
          <w:trHeight w:val="169"/>
        </w:trPr>
        <w:tc>
          <w:tcPr>
            <w:tcW w:w="7780" w:type="dxa"/>
            <w:vAlign w:val="bottom"/>
          </w:tcPr>
          <w:p>
            <w:pPr>
              <w:ind w:left="1300"/>
              <w:spacing w:after="0"/>
              <w:rPr>
                <w:sz w:val="20"/>
                <w:szCs w:val="20"/>
                <w:color w:val="auto"/>
              </w:rPr>
            </w:pPr>
            <w:r>
              <w:rPr>
                <w:rFonts w:ascii="Arial" w:cs="Arial" w:eastAsia="Arial" w:hAnsi="Arial"/>
                <w:sz w:val="14"/>
                <w:szCs w:val="14"/>
                <w:color w:val="auto"/>
              </w:rPr>
              <w:t>Total adjustments</w:t>
            </w: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58,399</w:t>
            </w: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246</w:t>
            </w:r>
          </w:p>
        </w:tc>
      </w:tr>
      <w:tr>
        <w:trPr>
          <w:trHeight w:val="169"/>
        </w:trPr>
        <w:tc>
          <w:tcPr>
            <w:tcW w:w="7780" w:type="dxa"/>
            <w:vAlign w:val="bottom"/>
          </w:tcPr>
          <w:p>
            <w:pPr>
              <w:ind w:left="320"/>
              <w:spacing w:after="0"/>
              <w:rPr>
                <w:sz w:val="20"/>
                <w:szCs w:val="20"/>
                <w:color w:val="auto"/>
              </w:rPr>
            </w:pPr>
            <w:r>
              <w:rPr>
                <w:rFonts w:ascii="Arial" w:cs="Arial" w:eastAsia="Arial" w:hAnsi="Arial"/>
                <w:sz w:val="14"/>
                <w:szCs w:val="14"/>
                <w:color w:val="auto"/>
              </w:rPr>
              <w:t>Net cash provided by operating activities</w:t>
            </w: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109,510</w:t>
            </w: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48,792</w:t>
            </w:r>
          </w:p>
        </w:tc>
      </w:tr>
      <w:tr>
        <w:trPr>
          <w:trHeight w:val="339"/>
        </w:trPr>
        <w:tc>
          <w:tcPr>
            <w:tcW w:w="778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7780" w:type="dxa"/>
            <w:vAlign w:val="bottom"/>
          </w:tcPr>
          <w:p>
            <w:pPr>
              <w:ind w:left="140"/>
              <w:spacing w:after="0"/>
              <w:rPr>
                <w:sz w:val="20"/>
                <w:szCs w:val="20"/>
                <w:color w:val="auto"/>
              </w:rPr>
            </w:pPr>
            <w:r>
              <w:rPr>
                <w:rFonts w:ascii="Arial" w:cs="Arial" w:eastAsia="Arial" w:hAnsi="Arial"/>
                <w:sz w:val="14"/>
                <w:szCs w:val="14"/>
                <w:color w:val="auto"/>
              </w:rPr>
              <w:t>Acquisitions and other investments, net of cash acquired</w:t>
            </w:r>
          </w:p>
        </w:tc>
        <w:tc>
          <w:tcPr>
            <w:tcW w:w="60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(90)</w:t>
            </w:r>
          </w:p>
        </w:tc>
      </w:tr>
      <w:tr>
        <w:trPr>
          <w:trHeight w:val="176"/>
        </w:trPr>
        <w:tc>
          <w:tcPr>
            <w:tcW w:w="778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60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(12,949)</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(3,948)</w:t>
            </w:r>
          </w:p>
        </w:tc>
      </w:tr>
      <w:tr>
        <w:trPr>
          <w:trHeight w:val="181"/>
        </w:trPr>
        <w:tc>
          <w:tcPr>
            <w:tcW w:w="7780" w:type="dxa"/>
            <w:vAlign w:val="bottom"/>
          </w:tcPr>
          <w:p>
            <w:pPr>
              <w:ind w:left="140"/>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w:t>
            </w:r>
          </w:p>
        </w:tc>
      </w:tr>
      <w:tr>
        <w:trPr>
          <w:trHeight w:val="169"/>
        </w:trPr>
        <w:tc>
          <w:tcPr>
            <w:tcW w:w="7780" w:type="dxa"/>
            <w:vAlign w:val="bottom"/>
          </w:tcPr>
          <w:p>
            <w:pPr>
              <w:ind w:left="320"/>
              <w:spacing w:after="0"/>
              <w:rPr>
                <w:sz w:val="20"/>
                <w:szCs w:val="20"/>
                <w:color w:val="auto"/>
              </w:rPr>
            </w:pPr>
            <w:r>
              <w:rPr>
                <w:rFonts w:ascii="Arial" w:cs="Arial" w:eastAsia="Arial" w:hAnsi="Arial"/>
                <w:sz w:val="14"/>
                <w:szCs w:val="14"/>
                <w:color w:val="auto"/>
              </w:rPr>
              <w:t>Net cash used in investing activities</w:t>
            </w: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(12,949)</w:t>
            </w: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(4,153)</w:t>
            </w:r>
          </w:p>
        </w:tc>
      </w:tr>
      <w:tr>
        <w:trPr>
          <w:trHeight w:val="339"/>
        </w:trPr>
        <w:tc>
          <w:tcPr>
            <w:tcW w:w="778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7780" w:type="dxa"/>
            <w:vAlign w:val="bottom"/>
          </w:tcPr>
          <w:p>
            <w:pPr>
              <w:ind w:left="140"/>
              <w:spacing w:after="0"/>
              <w:rPr>
                <w:sz w:val="20"/>
                <w:szCs w:val="20"/>
                <w:color w:val="auto"/>
              </w:rPr>
            </w:pPr>
            <w:r>
              <w:rPr>
                <w:rFonts w:ascii="Arial" w:cs="Arial" w:eastAsia="Arial" w:hAnsi="Arial"/>
                <w:sz w:val="14"/>
                <w:szCs w:val="14"/>
                <w:color w:val="auto"/>
              </w:rPr>
              <w:t>Repayments of debt, net</w:t>
            </w:r>
          </w:p>
        </w:tc>
        <w:tc>
          <w:tcPr>
            <w:tcW w:w="60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(103,651)</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(1,492)</w:t>
            </w:r>
          </w:p>
        </w:tc>
      </w:tr>
      <w:tr>
        <w:trPr>
          <w:trHeight w:val="176"/>
        </w:trPr>
        <w:tc>
          <w:tcPr>
            <w:tcW w:w="7780" w:type="dxa"/>
            <w:vAlign w:val="bottom"/>
          </w:tcPr>
          <w:p>
            <w:pPr>
              <w:ind w:left="140"/>
              <w:spacing w:after="0"/>
              <w:rPr>
                <w:sz w:val="20"/>
                <w:szCs w:val="20"/>
                <w:color w:val="auto"/>
              </w:rPr>
            </w:pPr>
            <w:r>
              <w:rPr>
                <w:rFonts w:ascii="Arial" w:cs="Arial" w:eastAsia="Arial" w:hAnsi="Arial"/>
                <w:sz w:val="14"/>
                <w:szCs w:val="14"/>
                <w:color w:val="auto"/>
              </w:rPr>
              <w:t>Dividends paid on common stock</w:t>
            </w:r>
          </w:p>
        </w:tc>
        <w:tc>
          <w:tcPr>
            <w:tcW w:w="60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(2,667)</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(2,664)</w:t>
            </w:r>
          </w:p>
        </w:tc>
      </w:tr>
      <w:tr>
        <w:trPr>
          <w:trHeight w:val="181"/>
        </w:trPr>
        <w:tc>
          <w:tcPr>
            <w:tcW w:w="7780" w:type="dxa"/>
            <w:vAlign w:val="bottom"/>
          </w:tcPr>
          <w:p>
            <w:pPr>
              <w:ind w:left="140"/>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(2,735)</w:t>
            </w:r>
          </w:p>
        </w:tc>
        <w:tc>
          <w:tcPr>
            <w:tcW w:w="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(4,995)</w:t>
            </w:r>
          </w:p>
        </w:tc>
      </w:tr>
      <w:tr>
        <w:trPr>
          <w:trHeight w:val="169"/>
        </w:trPr>
        <w:tc>
          <w:tcPr>
            <w:tcW w:w="7780" w:type="dxa"/>
            <w:vAlign w:val="bottom"/>
          </w:tcPr>
          <w:p>
            <w:pPr>
              <w:ind w:left="320"/>
              <w:spacing w:after="0"/>
              <w:rPr>
                <w:sz w:val="20"/>
                <w:szCs w:val="20"/>
                <w:color w:val="auto"/>
              </w:rPr>
            </w:pPr>
            <w:r>
              <w:rPr>
                <w:rFonts w:ascii="Arial" w:cs="Arial" w:eastAsia="Arial" w:hAnsi="Arial"/>
                <w:sz w:val="14"/>
                <w:szCs w:val="14"/>
                <w:color w:val="auto"/>
              </w:rPr>
              <w:t>Net cash used in financing activities</w:t>
            </w: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(109,053)</w:t>
            </w: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(9,151)</w:t>
            </w:r>
          </w:p>
        </w:tc>
      </w:tr>
      <w:tr>
        <w:trPr>
          <w:trHeight w:val="339"/>
        </w:trPr>
        <w:tc>
          <w:tcPr>
            <w:tcW w:w="7780" w:type="dxa"/>
            <w:vAlign w:val="bottom"/>
          </w:tcPr>
          <w:p>
            <w:pPr>
              <w:spacing w:after="0"/>
              <w:rPr>
                <w:sz w:val="20"/>
                <w:szCs w:val="20"/>
                <w:color w:val="auto"/>
              </w:rPr>
            </w:pPr>
            <w:r>
              <w:rPr>
                <w:rFonts w:ascii="Arial" w:cs="Arial" w:eastAsia="Arial" w:hAnsi="Arial"/>
                <w:sz w:val="14"/>
                <w:szCs w:val="14"/>
                <w:color w:val="auto"/>
              </w:rPr>
              <w:t>Effect of exchange rate changes on cash and</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1"/>
        </w:trPr>
        <w:tc>
          <w:tcPr>
            <w:tcW w:w="7780" w:type="dxa"/>
            <w:vAlign w:val="bottom"/>
          </w:tcPr>
          <w:p>
            <w:pPr>
              <w:ind w:left="140"/>
              <w:spacing w:after="0"/>
              <w:rPr>
                <w:sz w:val="20"/>
                <w:szCs w:val="20"/>
                <w:color w:val="auto"/>
              </w:rPr>
            </w:pPr>
            <w:r>
              <w:rPr>
                <w:rFonts w:ascii="Arial" w:cs="Arial" w:eastAsia="Arial" w:hAnsi="Arial"/>
                <w:sz w:val="14"/>
                <w:szCs w:val="14"/>
                <w:color w:val="auto"/>
              </w:rPr>
              <w:t>cash equivalents</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(648)</w:t>
            </w:r>
          </w:p>
        </w:tc>
        <w:tc>
          <w:tcPr>
            <w:tcW w:w="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1,690</w:t>
            </w:r>
          </w:p>
        </w:tc>
      </w:tr>
      <w:tr>
        <w:trPr>
          <w:trHeight w:val="346"/>
        </w:trPr>
        <w:tc>
          <w:tcPr>
            <w:tcW w:w="7780" w:type="dxa"/>
            <w:vAlign w:val="bottom"/>
          </w:tcPr>
          <w:p>
            <w:pPr>
              <w:spacing w:after="0"/>
              <w:rPr>
                <w:sz w:val="20"/>
                <w:szCs w:val="20"/>
                <w:color w:val="auto"/>
              </w:rPr>
            </w:pPr>
            <w:r>
              <w:rPr>
                <w:rFonts w:ascii="Arial" w:cs="Arial" w:eastAsia="Arial" w:hAnsi="Arial"/>
                <w:sz w:val="14"/>
                <w:szCs w:val="14"/>
                <w:color w:val="auto"/>
              </w:rPr>
              <w:t>Net (decrease) increase in cash and cash equivalents</w:t>
            </w:r>
          </w:p>
        </w:tc>
        <w:tc>
          <w:tcPr>
            <w:tcW w:w="60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(13,140)</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37,178</w:t>
            </w:r>
          </w:p>
        </w:tc>
      </w:tr>
      <w:tr>
        <w:trPr>
          <w:trHeight w:val="350"/>
        </w:trPr>
        <w:tc>
          <w:tcPr>
            <w:tcW w:w="7780" w:type="dxa"/>
            <w:vAlign w:val="bottom"/>
          </w:tcPr>
          <w:p>
            <w:pPr>
              <w:spacing w:after="0"/>
              <w:rPr>
                <w:sz w:val="20"/>
                <w:szCs w:val="20"/>
                <w:color w:val="auto"/>
              </w:rPr>
            </w:pPr>
            <w:r>
              <w:rPr>
                <w:rFonts w:ascii="Arial" w:cs="Arial" w:eastAsia="Arial" w:hAnsi="Arial"/>
                <w:sz w:val="14"/>
                <w:szCs w:val="14"/>
                <w:color w:val="auto"/>
              </w:rPr>
              <w:t>Cash and cash equivalents, as of beginning of period</w:t>
            </w: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172,740</w:t>
            </w: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205,415</w:t>
            </w:r>
          </w:p>
        </w:tc>
      </w:tr>
      <w:tr>
        <w:trPr>
          <w:trHeight w:val="345"/>
        </w:trPr>
        <w:tc>
          <w:tcPr>
            <w:tcW w:w="7780" w:type="dxa"/>
            <w:vAlign w:val="bottom"/>
          </w:tcPr>
          <w:p>
            <w:pPr>
              <w:spacing w:after="0"/>
              <w:rPr>
                <w:sz w:val="20"/>
                <w:szCs w:val="20"/>
                <w:color w:val="auto"/>
              </w:rPr>
            </w:pPr>
            <w:r>
              <w:rPr>
                <w:rFonts w:ascii="Arial" w:cs="Arial" w:eastAsia="Arial" w:hAnsi="Arial"/>
                <w:sz w:val="14"/>
                <w:szCs w:val="14"/>
                <w:color w:val="auto"/>
              </w:rPr>
              <w:t>Cash and cash equivalents, as of end of period</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159,600</w:t>
            </w:r>
          </w:p>
        </w:tc>
        <w:tc>
          <w:tcPr>
            <w:tcW w:w="10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242,593</w:t>
            </w:r>
          </w:p>
        </w:tc>
      </w:tr>
      <w:tr>
        <w:trPr>
          <w:trHeight w:val="20"/>
        </w:trPr>
        <w:tc>
          <w:tcPr>
            <w:tcW w:w="7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77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r>
        <w:trPr>
          <w:trHeight w:val="21"/>
        </w:trPr>
        <w:tc>
          <w:tcPr>
            <w:tcW w:w="77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78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78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r>
      <w:tr>
        <w:trPr>
          <w:trHeight w:val="346"/>
        </w:trPr>
        <w:tc>
          <w:tcPr>
            <w:tcW w:w="7820" w:type="dxa"/>
            <w:vAlign w:val="bottom"/>
          </w:tcPr>
          <w:p>
            <w:pPr>
              <w:spacing w:after="0"/>
              <w:rPr>
                <w:sz w:val="20"/>
                <w:szCs w:val="20"/>
                <w:color w:val="auto"/>
              </w:rPr>
            </w:pPr>
            <w:r>
              <w:rPr>
                <w:rFonts w:ascii="Arial" w:cs="Arial" w:eastAsia="Arial" w:hAnsi="Arial"/>
                <w:sz w:val="14"/>
                <w:szCs w:val="14"/>
                <w:color w:val="auto"/>
              </w:rPr>
              <w:t>Non-GAAP financial measures and reconciliation:</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7820" w:type="dxa"/>
            <w:vAlign w:val="bottom"/>
          </w:tcPr>
          <w:p>
            <w:pPr>
              <w:spacing w:after="0"/>
              <w:rPr>
                <w:sz w:val="20"/>
                <w:szCs w:val="20"/>
                <w:color w:val="auto"/>
              </w:rPr>
            </w:pPr>
            <w:r>
              <w:rPr>
                <w:rFonts w:ascii="Arial" w:cs="Arial" w:eastAsia="Arial" w:hAnsi="Arial"/>
                <w:sz w:val="14"/>
                <w:szCs w:val="14"/>
                <w:color w:val="auto"/>
              </w:rPr>
              <w:t>GAAP net income attributable to World Fuel</w:t>
            </w:r>
          </w:p>
        </w:tc>
        <w:tc>
          <w:tcPr>
            <w:tcW w:w="5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48,725</w:t>
            </w:r>
          </w:p>
        </w:tc>
        <w:tc>
          <w:tcPr>
            <w:tcW w:w="220" w:type="dxa"/>
            <w:vAlign w:val="bottom"/>
          </w:tcPr>
          <w:p>
            <w:pPr>
              <w:spacing w:after="0"/>
              <w:rPr>
                <w:sz w:val="24"/>
                <w:szCs w:val="24"/>
                <w:color w:val="auto"/>
              </w:rPr>
            </w:pPr>
          </w:p>
        </w:tc>
        <w:tc>
          <w:tcPr>
            <w:tcW w:w="82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46,415</w:t>
            </w:r>
          </w:p>
        </w:tc>
      </w:tr>
      <w:tr>
        <w:trPr>
          <w:trHeight w:val="219"/>
        </w:trPr>
        <w:tc>
          <w:tcPr>
            <w:tcW w:w="7820" w:type="dxa"/>
            <w:vAlign w:val="bottom"/>
          </w:tcPr>
          <w:p>
            <w:pPr>
              <w:ind w:left="14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2,543</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2,001</w:t>
            </w:r>
          </w:p>
        </w:tc>
      </w:tr>
      <w:tr>
        <w:trPr>
          <w:trHeight w:val="211"/>
        </w:trPr>
        <w:tc>
          <w:tcPr>
            <w:tcW w:w="7820" w:type="dxa"/>
            <w:vAlign w:val="bottom"/>
          </w:tcPr>
          <w:p>
            <w:pPr>
              <w:ind w:left="140"/>
              <w:spacing w:after="0" w:line="211"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3,732</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4,466</w:t>
            </w:r>
          </w:p>
        </w:tc>
      </w:tr>
      <w:tr>
        <w:trPr>
          <w:trHeight w:val="169"/>
        </w:trPr>
        <w:tc>
          <w:tcPr>
            <w:tcW w:w="7820" w:type="dxa"/>
            <w:vAlign w:val="bottom"/>
          </w:tcPr>
          <w:p>
            <w:pPr>
              <w:spacing w:after="0"/>
              <w:rPr>
                <w:sz w:val="20"/>
                <w:szCs w:val="20"/>
                <w:color w:val="auto"/>
              </w:rPr>
            </w:pPr>
            <w:r>
              <w:rPr>
                <w:rFonts w:ascii="Arial" w:cs="Arial" w:eastAsia="Arial" w:hAnsi="Arial"/>
                <w:sz w:val="14"/>
                <w:szCs w:val="14"/>
                <w:color w:val="auto"/>
              </w:rPr>
              <w:t>Non-GAAP net income attributable to World Fuel</w:t>
            </w:r>
          </w:p>
        </w:tc>
        <w:tc>
          <w:tcPr>
            <w:tcW w:w="5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55,000</w:t>
            </w:r>
          </w:p>
        </w:tc>
        <w:tc>
          <w:tcPr>
            <w:tcW w:w="2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52,882</w:t>
            </w:r>
          </w:p>
        </w:tc>
        <w:tc>
          <w:tcPr>
            <w:tcW w:w="20" w:type="dxa"/>
            <w:vAlign w:val="bottom"/>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3"/>
        </w:trPr>
        <w:tc>
          <w:tcPr>
            <w:tcW w:w="7820" w:type="dxa"/>
            <w:vAlign w:val="bottom"/>
          </w:tcPr>
          <w:p>
            <w:pPr>
              <w:spacing w:after="0"/>
              <w:rPr>
                <w:sz w:val="20"/>
                <w:szCs w:val="20"/>
                <w:color w:val="auto"/>
              </w:rPr>
            </w:pPr>
            <w:r>
              <w:rPr>
                <w:rFonts w:ascii="Arial" w:cs="Arial" w:eastAsia="Arial" w:hAnsi="Arial"/>
                <w:sz w:val="14"/>
                <w:szCs w:val="14"/>
                <w:color w:val="auto"/>
              </w:rPr>
              <w:t>GAAP diluted earnings per common share</w:t>
            </w:r>
          </w:p>
        </w:tc>
        <w:tc>
          <w:tcPr>
            <w:tcW w:w="5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0.68</w:t>
            </w:r>
          </w:p>
        </w:tc>
        <w:tc>
          <w:tcPr>
            <w:tcW w:w="220" w:type="dxa"/>
            <w:vAlign w:val="bottom"/>
          </w:tcPr>
          <w:p>
            <w:pPr>
              <w:spacing w:after="0"/>
              <w:rPr>
                <w:sz w:val="24"/>
                <w:szCs w:val="24"/>
                <w:color w:val="auto"/>
              </w:rPr>
            </w:pPr>
          </w:p>
        </w:tc>
        <w:tc>
          <w:tcPr>
            <w:tcW w:w="82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0.65</w:t>
            </w:r>
          </w:p>
        </w:tc>
      </w:tr>
      <w:tr>
        <w:trPr>
          <w:trHeight w:val="219"/>
        </w:trPr>
        <w:tc>
          <w:tcPr>
            <w:tcW w:w="7820" w:type="dxa"/>
            <w:vAlign w:val="bottom"/>
          </w:tcPr>
          <w:p>
            <w:pPr>
              <w:ind w:left="14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0.04</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0.03</w:t>
            </w:r>
          </w:p>
        </w:tc>
      </w:tr>
      <w:tr>
        <w:trPr>
          <w:trHeight w:val="211"/>
        </w:trPr>
        <w:tc>
          <w:tcPr>
            <w:tcW w:w="7820" w:type="dxa"/>
            <w:vAlign w:val="bottom"/>
          </w:tcPr>
          <w:p>
            <w:pPr>
              <w:ind w:left="140"/>
              <w:spacing w:after="0" w:line="211"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0.05</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0.06</w:t>
            </w:r>
          </w:p>
        </w:tc>
      </w:tr>
      <w:tr>
        <w:trPr>
          <w:trHeight w:val="169"/>
        </w:trPr>
        <w:tc>
          <w:tcPr>
            <w:tcW w:w="7820" w:type="dxa"/>
            <w:vAlign w:val="bottom"/>
          </w:tcPr>
          <w:p>
            <w:pPr>
              <w:spacing w:after="0"/>
              <w:rPr>
                <w:sz w:val="20"/>
                <w:szCs w:val="20"/>
                <w:color w:val="auto"/>
              </w:rPr>
            </w:pPr>
            <w:r>
              <w:rPr>
                <w:rFonts w:ascii="Arial" w:cs="Arial" w:eastAsia="Arial" w:hAnsi="Arial"/>
                <w:sz w:val="14"/>
                <w:szCs w:val="14"/>
                <w:color w:val="auto"/>
              </w:rPr>
              <w:t>Non-GAAP diluted earnings per common share</w:t>
            </w:r>
          </w:p>
        </w:tc>
        <w:tc>
          <w:tcPr>
            <w:tcW w:w="5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2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20" w:type="dxa"/>
            <w:vAlign w:val="bottom"/>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pre-tax amount of share-based compensation expense was $3,872 and $2,905 for the three months ended March 31, 2013 and 2012, respectively.</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pre-tax amount of intangible asset amortization expense was $5,845 and $4,711 for the three months ended March 31,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SEGMENTS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40" w:type="dxa"/>
            <w:vAlign w:val="bottom"/>
            <w:gridSpan w:val="3"/>
          </w:tcPr>
          <w:p>
            <w:pPr>
              <w:jc w:val="right"/>
              <w:ind w:right="128"/>
              <w:spacing w:after="0"/>
              <w:rPr>
                <w:sz w:val="20"/>
                <w:szCs w:val="20"/>
                <w:color w:val="auto"/>
              </w:rPr>
            </w:pPr>
            <w:r>
              <w:rPr>
                <w:rFonts w:ascii="Arial" w:cs="Arial" w:eastAsia="Arial" w:hAnsi="Arial"/>
                <w:sz w:val="14"/>
                <w:szCs w:val="14"/>
                <w:color w:val="auto"/>
              </w:rPr>
              <w:t>For the Three Months ended</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color w:val="auto"/>
              </w:rPr>
              <w:t>March 31,</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60" w:type="dxa"/>
            <w:vAlign w:val="bottom"/>
          </w:tcPr>
          <w:p>
            <w:pPr>
              <w:spacing w:after="0"/>
              <w:rPr>
                <w:sz w:val="20"/>
                <w:szCs w:val="20"/>
                <w:color w:val="auto"/>
              </w:rPr>
            </w:pPr>
            <w:r>
              <w:rPr>
                <w:rFonts w:ascii="Arial" w:cs="Arial" w:eastAsia="Arial" w:hAnsi="Arial"/>
                <w:sz w:val="14"/>
                <w:szCs w:val="14"/>
                <w:color w:val="auto"/>
              </w:rPr>
              <w:t>Revenue:</w:t>
            </w: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1120"/>
              <w:spacing w:after="0"/>
              <w:rPr>
                <w:sz w:val="20"/>
                <w:szCs w:val="20"/>
                <w:color w:val="auto"/>
              </w:rPr>
            </w:pPr>
            <w:r>
              <w:rPr>
                <w:rFonts w:ascii="Arial" w:cs="Arial" w:eastAsia="Arial" w:hAnsi="Arial"/>
                <w:sz w:val="14"/>
                <w:szCs w:val="14"/>
                <w:color w:val="auto"/>
              </w:rPr>
              <w:t>Aviation segment</w:t>
            </w:r>
          </w:p>
        </w:tc>
        <w:tc>
          <w:tcPr>
            <w:tcW w:w="6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3,930,588</w:t>
            </w:r>
          </w:p>
        </w:tc>
        <w:tc>
          <w:tcPr>
            <w:tcW w:w="180" w:type="dxa"/>
            <w:vAlign w:val="bottom"/>
          </w:tcPr>
          <w:p>
            <w:pPr>
              <w:spacing w:after="0"/>
              <w:rPr>
                <w:sz w:val="15"/>
                <w:szCs w:val="15"/>
                <w:color w:val="auto"/>
              </w:rPr>
            </w:pPr>
          </w:p>
        </w:tc>
        <w:tc>
          <w:tcPr>
            <w:tcW w:w="9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3,411,547</w:t>
            </w:r>
          </w:p>
        </w:tc>
        <w:tc>
          <w:tcPr>
            <w:tcW w:w="0" w:type="dxa"/>
            <w:vAlign w:val="bottom"/>
          </w:tcPr>
          <w:p>
            <w:pPr>
              <w:spacing w:after="0"/>
              <w:rPr>
                <w:sz w:val="1"/>
                <w:szCs w:val="1"/>
                <w:color w:val="auto"/>
              </w:rPr>
            </w:pPr>
          </w:p>
        </w:tc>
      </w:tr>
      <w:tr>
        <w:trPr>
          <w:trHeight w:val="176"/>
        </w:trPr>
        <w:tc>
          <w:tcPr>
            <w:tcW w:w="6660" w:type="dxa"/>
            <w:vAlign w:val="bottom"/>
          </w:tcPr>
          <w:p>
            <w:pPr>
              <w:ind w:left="1120"/>
              <w:spacing w:after="0"/>
              <w:rPr>
                <w:sz w:val="20"/>
                <w:szCs w:val="20"/>
                <w:color w:val="auto"/>
              </w:rPr>
            </w:pPr>
            <w:r>
              <w:rPr>
                <w:rFonts w:ascii="Arial" w:cs="Arial" w:eastAsia="Arial" w:hAnsi="Arial"/>
                <w:sz w:val="14"/>
                <w:szCs w:val="14"/>
                <w:color w:val="auto"/>
              </w:rPr>
              <w:t>Marine segment</w:t>
            </w:r>
          </w:p>
        </w:tc>
        <w:tc>
          <w:tcPr>
            <w:tcW w:w="6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3,717,139</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3,904,191</w:t>
            </w:r>
          </w:p>
        </w:tc>
        <w:tc>
          <w:tcPr>
            <w:tcW w:w="0" w:type="dxa"/>
            <w:vAlign w:val="bottom"/>
          </w:tcPr>
          <w:p>
            <w:pPr>
              <w:spacing w:after="0"/>
              <w:rPr>
                <w:sz w:val="1"/>
                <w:szCs w:val="1"/>
                <w:color w:val="auto"/>
              </w:rPr>
            </w:pPr>
          </w:p>
        </w:tc>
      </w:tr>
      <w:tr>
        <w:trPr>
          <w:trHeight w:val="181"/>
        </w:trPr>
        <w:tc>
          <w:tcPr>
            <w:tcW w:w="6660" w:type="dxa"/>
            <w:vAlign w:val="bottom"/>
          </w:tcPr>
          <w:p>
            <w:pPr>
              <w:ind w:left="1120"/>
              <w:spacing w:after="0"/>
              <w:rPr>
                <w:sz w:val="20"/>
                <w:szCs w:val="20"/>
                <w:color w:val="auto"/>
              </w:rPr>
            </w:pPr>
            <w:r>
              <w:rPr>
                <w:rFonts w:ascii="Arial" w:cs="Arial" w:eastAsia="Arial" w:hAnsi="Arial"/>
                <w:sz w:val="14"/>
                <w:szCs w:val="14"/>
                <w:color w:val="auto"/>
              </w:rPr>
              <w:t>Land segment</w:t>
            </w:r>
          </w:p>
        </w:tc>
        <w:tc>
          <w:tcPr>
            <w:tcW w:w="6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2,536,302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2,163,317</w:t>
            </w: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10,184,029</w:t>
            </w:r>
          </w:p>
        </w:tc>
        <w:tc>
          <w:tcPr>
            <w:tcW w:w="1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9,479,055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1120"/>
              <w:spacing w:after="0"/>
              <w:rPr>
                <w:sz w:val="20"/>
                <w:szCs w:val="20"/>
                <w:color w:val="auto"/>
              </w:rPr>
            </w:pPr>
            <w:r>
              <w:rPr>
                <w:rFonts w:ascii="Arial" w:cs="Arial" w:eastAsia="Arial" w:hAnsi="Arial"/>
                <w:sz w:val="14"/>
                <w:szCs w:val="14"/>
                <w:color w:val="auto"/>
              </w:rPr>
              <w:t>Aviation segment</w:t>
            </w:r>
          </w:p>
        </w:tc>
        <w:tc>
          <w:tcPr>
            <w:tcW w:w="6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76,984</w:t>
            </w:r>
          </w:p>
        </w:tc>
        <w:tc>
          <w:tcPr>
            <w:tcW w:w="180" w:type="dxa"/>
            <w:vAlign w:val="bottom"/>
          </w:tcPr>
          <w:p>
            <w:pPr>
              <w:spacing w:after="0"/>
              <w:rPr>
                <w:sz w:val="15"/>
                <w:szCs w:val="15"/>
                <w:color w:val="auto"/>
              </w:rPr>
            </w:pPr>
          </w:p>
        </w:tc>
        <w:tc>
          <w:tcPr>
            <w:tcW w:w="9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64,914</w:t>
            </w:r>
          </w:p>
        </w:tc>
        <w:tc>
          <w:tcPr>
            <w:tcW w:w="0" w:type="dxa"/>
            <w:vAlign w:val="bottom"/>
          </w:tcPr>
          <w:p>
            <w:pPr>
              <w:spacing w:after="0"/>
              <w:rPr>
                <w:sz w:val="1"/>
                <w:szCs w:val="1"/>
                <w:color w:val="auto"/>
              </w:rPr>
            </w:pPr>
          </w:p>
        </w:tc>
      </w:tr>
      <w:tr>
        <w:trPr>
          <w:trHeight w:val="176"/>
        </w:trPr>
        <w:tc>
          <w:tcPr>
            <w:tcW w:w="6660" w:type="dxa"/>
            <w:vAlign w:val="bottom"/>
          </w:tcPr>
          <w:p>
            <w:pPr>
              <w:ind w:left="1120"/>
              <w:spacing w:after="0"/>
              <w:rPr>
                <w:sz w:val="20"/>
                <w:szCs w:val="20"/>
                <w:color w:val="auto"/>
              </w:rPr>
            </w:pPr>
            <w:r>
              <w:rPr>
                <w:rFonts w:ascii="Arial" w:cs="Arial" w:eastAsia="Arial" w:hAnsi="Arial"/>
                <w:sz w:val="14"/>
                <w:szCs w:val="14"/>
                <w:color w:val="auto"/>
              </w:rPr>
              <w:t>Marine segment</w:t>
            </w:r>
          </w:p>
        </w:tc>
        <w:tc>
          <w:tcPr>
            <w:tcW w:w="6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41,682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55,077</w:t>
            </w:r>
          </w:p>
        </w:tc>
        <w:tc>
          <w:tcPr>
            <w:tcW w:w="0" w:type="dxa"/>
            <w:vAlign w:val="bottom"/>
          </w:tcPr>
          <w:p>
            <w:pPr>
              <w:spacing w:after="0"/>
              <w:rPr>
                <w:sz w:val="1"/>
                <w:szCs w:val="1"/>
                <w:color w:val="auto"/>
              </w:rPr>
            </w:pPr>
          </w:p>
        </w:tc>
      </w:tr>
      <w:tr>
        <w:trPr>
          <w:trHeight w:val="181"/>
        </w:trPr>
        <w:tc>
          <w:tcPr>
            <w:tcW w:w="6660" w:type="dxa"/>
            <w:vAlign w:val="bottom"/>
          </w:tcPr>
          <w:p>
            <w:pPr>
              <w:ind w:left="1120"/>
              <w:spacing w:after="0"/>
              <w:rPr>
                <w:sz w:val="20"/>
                <w:szCs w:val="20"/>
                <w:color w:val="auto"/>
              </w:rPr>
            </w:pPr>
            <w:r>
              <w:rPr>
                <w:rFonts w:ascii="Arial" w:cs="Arial" w:eastAsia="Arial" w:hAnsi="Arial"/>
                <w:sz w:val="14"/>
                <w:szCs w:val="14"/>
                <w:color w:val="auto"/>
              </w:rPr>
              <w:t>Land segment</w:t>
            </w:r>
          </w:p>
        </w:tc>
        <w:tc>
          <w:tcPr>
            <w:tcW w:w="6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63,713</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37,244</w:t>
            </w: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182,379</w:t>
            </w:r>
          </w:p>
        </w:tc>
        <w:tc>
          <w:tcPr>
            <w:tcW w:w="1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157,235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1120"/>
              <w:spacing w:after="0"/>
              <w:rPr>
                <w:sz w:val="20"/>
                <w:szCs w:val="20"/>
                <w:color w:val="auto"/>
              </w:rPr>
            </w:pPr>
            <w:r>
              <w:rPr>
                <w:rFonts w:ascii="Arial" w:cs="Arial" w:eastAsia="Arial" w:hAnsi="Arial"/>
                <w:sz w:val="14"/>
                <w:szCs w:val="14"/>
                <w:color w:val="auto"/>
              </w:rPr>
              <w:t>Aviation segment</w:t>
            </w:r>
          </w:p>
        </w:tc>
        <w:tc>
          <w:tcPr>
            <w:tcW w:w="6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34,880</w:t>
            </w:r>
          </w:p>
        </w:tc>
        <w:tc>
          <w:tcPr>
            <w:tcW w:w="180" w:type="dxa"/>
            <w:vAlign w:val="bottom"/>
          </w:tcPr>
          <w:p>
            <w:pPr>
              <w:spacing w:after="0"/>
              <w:rPr>
                <w:sz w:val="15"/>
                <w:szCs w:val="15"/>
                <w:color w:val="auto"/>
              </w:rPr>
            </w:pPr>
          </w:p>
        </w:tc>
        <w:tc>
          <w:tcPr>
            <w:tcW w:w="9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26,833</w:t>
            </w:r>
          </w:p>
        </w:tc>
        <w:tc>
          <w:tcPr>
            <w:tcW w:w="0" w:type="dxa"/>
            <w:vAlign w:val="bottom"/>
          </w:tcPr>
          <w:p>
            <w:pPr>
              <w:spacing w:after="0"/>
              <w:rPr>
                <w:sz w:val="1"/>
                <w:szCs w:val="1"/>
                <w:color w:val="auto"/>
              </w:rPr>
            </w:pPr>
          </w:p>
        </w:tc>
      </w:tr>
      <w:tr>
        <w:trPr>
          <w:trHeight w:val="176"/>
        </w:trPr>
        <w:tc>
          <w:tcPr>
            <w:tcW w:w="6660" w:type="dxa"/>
            <w:vAlign w:val="bottom"/>
          </w:tcPr>
          <w:p>
            <w:pPr>
              <w:ind w:left="1120"/>
              <w:spacing w:after="0"/>
              <w:rPr>
                <w:sz w:val="20"/>
                <w:szCs w:val="20"/>
                <w:color w:val="auto"/>
              </w:rPr>
            </w:pPr>
            <w:r>
              <w:rPr>
                <w:rFonts w:ascii="Arial" w:cs="Arial" w:eastAsia="Arial" w:hAnsi="Arial"/>
                <w:sz w:val="14"/>
                <w:szCs w:val="14"/>
                <w:color w:val="auto"/>
              </w:rPr>
              <w:t>Marine segment</w:t>
            </w:r>
          </w:p>
        </w:tc>
        <w:tc>
          <w:tcPr>
            <w:tcW w:w="6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15,259</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27,445</w:t>
            </w:r>
          </w:p>
        </w:tc>
        <w:tc>
          <w:tcPr>
            <w:tcW w:w="0" w:type="dxa"/>
            <w:vAlign w:val="bottom"/>
          </w:tcPr>
          <w:p>
            <w:pPr>
              <w:spacing w:after="0"/>
              <w:rPr>
                <w:sz w:val="1"/>
                <w:szCs w:val="1"/>
                <w:color w:val="auto"/>
              </w:rPr>
            </w:pPr>
          </w:p>
        </w:tc>
      </w:tr>
      <w:tr>
        <w:trPr>
          <w:trHeight w:val="181"/>
        </w:trPr>
        <w:tc>
          <w:tcPr>
            <w:tcW w:w="6660" w:type="dxa"/>
            <w:vAlign w:val="bottom"/>
          </w:tcPr>
          <w:p>
            <w:pPr>
              <w:ind w:left="1120"/>
              <w:spacing w:after="0"/>
              <w:rPr>
                <w:sz w:val="20"/>
                <w:szCs w:val="20"/>
                <w:color w:val="auto"/>
              </w:rPr>
            </w:pPr>
            <w:r>
              <w:rPr>
                <w:rFonts w:ascii="Arial" w:cs="Arial" w:eastAsia="Arial" w:hAnsi="Arial"/>
                <w:sz w:val="14"/>
                <w:szCs w:val="14"/>
                <w:color w:val="auto"/>
              </w:rPr>
              <w:t>Land segment</w:t>
            </w:r>
          </w:p>
        </w:tc>
        <w:tc>
          <w:tcPr>
            <w:tcW w:w="6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27,380</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16,200</w:t>
            </w:r>
          </w:p>
        </w:tc>
        <w:tc>
          <w:tcPr>
            <w:tcW w:w="0" w:type="dxa"/>
            <w:vAlign w:val="bottom"/>
          </w:tcPr>
          <w:p>
            <w:pPr>
              <w:spacing w:after="0"/>
              <w:rPr>
                <w:sz w:val="1"/>
                <w:szCs w:val="1"/>
                <w:color w:val="auto"/>
              </w:rPr>
            </w:pPr>
          </w:p>
        </w:tc>
      </w:tr>
      <w:tr>
        <w:trPr>
          <w:trHeight w:val="164"/>
        </w:trPr>
        <w:tc>
          <w:tcPr>
            <w:tcW w:w="66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77,519</w:t>
            </w:r>
          </w:p>
        </w:tc>
        <w:tc>
          <w:tcPr>
            <w:tcW w:w="1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70,478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60" w:type="dxa"/>
            <w:vAlign w:val="bottom"/>
          </w:tcPr>
          <w:p>
            <w:pPr>
              <w:ind w:left="1120"/>
              <w:spacing w:after="0"/>
              <w:rPr>
                <w:sz w:val="20"/>
                <w:szCs w:val="20"/>
                <w:color w:val="auto"/>
              </w:rPr>
            </w:pPr>
            <w:r>
              <w:rPr>
                <w:rFonts w:ascii="Arial" w:cs="Arial" w:eastAsia="Arial" w:hAnsi="Arial"/>
                <w:sz w:val="14"/>
                <w:szCs w:val="14"/>
                <w:color w:val="auto"/>
              </w:rPr>
              <w:t>Corporate overhead - unallocated</w:t>
            </w:r>
          </w:p>
        </w:tc>
        <w:tc>
          <w:tcPr>
            <w:tcW w:w="6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10,578</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11,222</w:t>
            </w: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66,941</w:t>
            </w:r>
          </w:p>
        </w:tc>
        <w:tc>
          <w:tcPr>
            <w:tcW w:w="1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59,256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Jason Bewley</w:t>
      </w:r>
    </w:p>
    <w:p>
      <w:pPr>
        <w:spacing w:after="0" w:line="231" w:lineRule="auto"/>
        <w:rPr>
          <w:sz w:val="20"/>
          <w:szCs w:val="20"/>
          <w:color w:val="auto"/>
        </w:rPr>
      </w:pPr>
      <w:r>
        <w:rPr>
          <w:rFonts w:ascii="Arial" w:cs="Arial" w:eastAsia="Arial" w:hAnsi="Arial"/>
          <w:sz w:val="22"/>
          <w:szCs w:val="22"/>
          <w:color w:val="auto"/>
        </w:rPr>
        <w:t>Vice President Corporate Finance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2019-12-05T22:46:21Z</dcterms:created>
  <dcterms:modified xsi:type="dcterms:W3CDTF">2019-12-05T22:46:21Z</dcterms:modified>
</cp:coreProperties>
</file>