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33" w:lineRule="exact"/>
        <w:rPr>
          <w:sz w:val="24"/>
          <w:szCs w:val="24"/>
          <w:color w:val="auto"/>
        </w:rPr>
      </w:pPr>
    </w:p>
    <w:p>
      <w:pPr>
        <w:ind w:left="3300" w:right="1900" w:hanging="3204"/>
        <w:spacing w:after="0" w:line="501" w:lineRule="auto"/>
        <w:tabs>
          <w:tab w:leader="none" w:pos="36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spacing w:after="0" w:line="81" w:lineRule="exact"/>
        <w:rPr>
          <w:sz w:val="24"/>
          <w:szCs w:val="24"/>
          <w:color w:val="auto"/>
        </w:rPr>
      </w:pPr>
    </w:p>
    <w:p>
      <w:pPr>
        <w:ind w:left="380" w:hanging="284"/>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2940"/>
        <w:spacing w:after="0"/>
        <w:tabs>
          <w:tab w:leader="none" w:pos="7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85725</wp:posOffset>
            </wp:positionV>
            <wp:extent cx="1337945" cy="557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94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WORLD FUEL SERVICES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280" w:type="dxa"/>
        <w:tblCellMar>
          <w:top w:w="0" w:type="dxa"/>
          <w:left w:w="0" w:type="dxa"/>
          <w:bottom w:w="0" w:type="dxa"/>
          <w:right w:w="0" w:type="dxa"/>
        </w:tblCellMar>
      </w:tblPr>
      <w:tr>
        <w:trPr>
          <w:trHeight w:val="220"/>
        </w:trPr>
        <w:tc>
          <w:tcPr>
            <w:tcW w:w="48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6"/>
              </w:rPr>
              <w:t>Florida</w:t>
            </w:r>
          </w:p>
        </w:tc>
        <w:tc>
          <w:tcPr>
            <w:tcW w:w="3240" w:type="dxa"/>
            <w:vAlign w:val="bottom"/>
          </w:tcPr>
          <w:p>
            <w:pPr>
              <w:jc w:val="right"/>
              <w:ind w:right="150"/>
              <w:spacing w:after="0"/>
              <w:rPr>
                <w:sz w:val="20"/>
                <w:szCs w:val="20"/>
                <w:color w:val="auto"/>
              </w:rPr>
            </w:pPr>
            <w:r>
              <w:rPr>
                <w:rFonts w:ascii="Arial" w:cs="Arial" w:eastAsia="Arial" w:hAnsi="Arial"/>
                <w:sz w:val="18"/>
                <w:szCs w:val="18"/>
                <w:b w:val="1"/>
                <w:bCs w:val="1"/>
                <w:color w:val="auto"/>
              </w:rPr>
              <w:t>59-2459427</w:t>
            </w:r>
          </w:p>
        </w:tc>
      </w:tr>
      <w:tr>
        <w:trPr>
          <w:trHeight w:val="216"/>
        </w:trPr>
        <w:tc>
          <w:tcPr>
            <w:tcW w:w="4840" w:type="dxa"/>
            <w:vAlign w:val="bottom"/>
          </w:tcPr>
          <w:p>
            <w:pPr>
              <w:jc w:val="center"/>
              <w:ind w:right="1810"/>
              <w:spacing w:after="0"/>
              <w:rPr>
                <w:sz w:val="20"/>
                <w:szCs w:val="20"/>
                <w:color w:val="auto"/>
              </w:rPr>
            </w:pPr>
            <w:r>
              <w:rPr>
                <w:rFonts w:ascii="Arial" w:cs="Arial" w:eastAsia="Arial" w:hAnsi="Arial"/>
                <w:sz w:val="18"/>
                <w:szCs w:val="18"/>
                <w:color w:val="auto"/>
                <w:w w:val="93"/>
              </w:rPr>
              <w:t>(State or other jurisdiction of</w:t>
            </w:r>
          </w:p>
        </w:tc>
        <w:tc>
          <w:tcPr>
            <w:tcW w:w="3240" w:type="dxa"/>
            <w:vAlign w:val="bottom"/>
          </w:tcPr>
          <w:p>
            <w:pPr>
              <w:jc w:val="center"/>
              <w:ind w:left="1810"/>
              <w:spacing w:after="0"/>
              <w:rPr>
                <w:sz w:val="20"/>
                <w:szCs w:val="20"/>
                <w:color w:val="auto"/>
              </w:rPr>
            </w:pPr>
            <w:r>
              <w:rPr>
                <w:rFonts w:ascii="Arial" w:cs="Arial" w:eastAsia="Arial" w:hAnsi="Arial"/>
                <w:sz w:val="18"/>
                <w:szCs w:val="18"/>
                <w:color w:val="auto"/>
                <w:w w:val="92"/>
              </w:rPr>
              <w:t>(I.R.S. Employer</w:t>
            </w:r>
          </w:p>
        </w:tc>
      </w:tr>
      <w:tr>
        <w:trPr>
          <w:trHeight w:val="230"/>
        </w:trPr>
        <w:tc>
          <w:tcPr>
            <w:tcW w:w="4840" w:type="dxa"/>
            <w:vAlign w:val="bottom"/>
          </w:tcPr>
          <w:p>
            <w:pPr>
              <w:jc w:val="center"/>
              <w:ind w:right="1810"/>
              <w:spacing w:after="0"/>
              <w:rPr>
                <w:sz w:val="20"/>
                <w:szCs w:val="20"/>
                <w:color w:val="auto"/>
              </w:rPr>
            </w:pPr>
            <w:r>
              <w:rPr>
                <w:rFonts w:ascii="Arial" w:cs="Arial" w:eastAsia="Arial" w:hAnsi="Arial"/>
                <w:sz w:val="18"/>
                <w:szCs w:val="18"/>
                <w:color w:val="auto"/>
                <w:w w:val="93"/>
              </w:rPr>
              <w:t>incorporation or organization)</w:t>
            </w:r>
          </w:p>
        </w:tc>
        <w:tc>
          <w:tcPr>
            <w:tcW w:w="3240" w:type="dxa"/>
            <w:vAlign w:val="bottom"/>
          </w:tcPr>
          <w:p>
            <w:pPr>
              <w:jc w:val="center"/>
              <w:ind w:left="1810"/>
              <w:spacing w:after="0"/>
              <w:rPr>
                <w:sz w:val="20"/>
                <w:szCs w:val="20"/>
                <w:color w:val="auto"/>
              </w:rPr>
            </w:pPr>
            <w:r>
              <w:rPr>
                <w:rFonts w:ascii="Arial" w:cs="Arial" w:eastAsia="Arial" w:hAnsi="Arial"/>
                <w:sz w:val="18"/>
                <w:szCs w:val="18"/>
                <w:color w:val="auto"/>
                <w:w w:val="95"/>
              </w:rPr>
              <w:t>Identification No.)</w:t>
            </w:r>
          </w:p>
        </w:tc>
      </w:tr>
      <w:tr>
        <w:trPr>
          <w:trHeight w:val="522"/>
        </w:trPr>
        <w:tc>
          <w:tcPr>
            <w:tcW w:w="48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9800 N.W. 41</w:t>
            </w:r>
            <w:r>
              <w:rPr>
                <w:rFonts w:ascii="Arial" w:cs="Arial" w:eastAsia="Arial" w:hAnsi="Arial"/>
                <w:sz w:val="12"/>
                <w:szCs w:val="12"/>
                <w:b w:val="1"/>
                <w:bCs w:val="1"/>
                <w:color w:val="auto"/>
                <w:w w:val="91"/>
              </w:rPr>
              <w:t>st</w:t>
            </w:r>
            <w:r>
              <w:rPr>
                <w:rFonts w:ascii="Arial" w:cs="Arial" w:eastAsia="Arial" w:hAnsi="Arial"/>
                <w:sz w:val="18"/>
                <w:szCs w:val="18"/>
                <w:b w:val="1"/>
                <w:bCs w:val="1"/>
                <w:color w:val="auto"/>
                <w:w w:val="91"/>
              </w:rPr>
              <w:t xml:space="preserve"> Street</w:t>
            </w:r>
          </w:p>
        </w:tc>
        <w:tc>
          <w:tcPr>
            <w:tcW w:w="3240" w:type="dxa"/>
            <w:vAlign w:val="bottom"/>
          </w:tcPr>
          <w:p>
            <w:pPr>
              <w:spacing w:after="0"/>
              <w:rPr>
                <w:sz w:val="24"/>
                <w:szCs w:val="24"/>
                <w:color w:val="auto"/>
              </w:rPr>
            </w:pPr>
          </w:p>
        </w:tc>
      </w:tr>
      <w:tr>
        <w:trPr>
          <w:trHeight w:val="220"/>
        </w:trPr>
        <w:tc>
          <w:tcPr>
            <w:tcW w:w="48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7"/>
              </w:rPr>
              <w:t>Miami, Florida</w:t>
            </w:r>
          </w:p>
        </w:tc>
        <w:tc>
          <w:tcPr>
            <w:tcW w:w="324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30"/>
        </w:trPr>
        <w:tc>
          <w:tcPr>
            <w:tcW w:w="4840" w:type="dxa"/>
            <w:vAlign w:val="bottom"/>
          </w:tcPr>
          <w:p>
            <w:pPr>
              <w:jc w:val="center"/>
              <w:ind w:right="181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tcPr>
          <w:p>
            <w:pPr>
              <w:jc w:val="center"/>
              <w:ind w:left="179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175" w:lineRule="exact"/>
        <w:rPr>
          <w:sz w:val="24"/>
          <w:szCs w:val="24"/>
          <w:color w:val="auto"/>
        </w:rPr>
      </w:pPr>
    </w:p>
    <w:p>
      <w:pPr>
        <w:jc w:val="both"/>
        <w:ind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ind w:right="100" w:firstLine="243"/>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2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ind w:left="260"/>
        <w:spacing w:after="0"/>
        <w:rPr>
          <w:sz w:val="20"/>
          <w:szCs w:val="20"/>
          <w:color w:val="auto"/>
        </w:rPr>
      </w:pPr>
      <w:r>
        <w:rPr>
          <w:rFonts w:ascii="Arial" w:cs="Arial" w:eastAsia="Arial" w:hAnsi="Arial"/>
          <w:sz w:val="18"/>
          <w:szCs w:val="18"/>
          <w:color w:val="auto"/>
        </w:rPr>
        <w:t>The registrant had a total of 67,706,254 shares of common stock, par value $0.01 per share, issued and outstanding as of April 20,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76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0" w:type="dxa"/>
            <w:vAlign w:val="bottom"/>
            <w:gridSpan w:val="9"/>
          </w:tcPr>
          <w:p>
            <w:pPr>
              <w:ind w:left="86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44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Part I.</w:t>
              </w:r>
            </w:hyperlink>
          </w:p>
        </w:tc>
        <w:tc>
          <w:tcPr>
            <w:tcW w:w="360" w:type="dxa"/>
            <w:vAlign w:val="bottom"/>
            <w:gridSpan w:val="3"/>
          </w:tcPr>
          <w:p>
            <w:pPr>
              <w:spacing w:after="0"/>
              <w:rPr>
                <w:sz w:val="24"/>
                <w:szCs w:val="24"/>
                <w:color w:val="auto"/>
              </w:rPr>
            </w:pPr>
          </w:p>
        </w:tc>
        <w:tc>
          <w:tcPr>
            <w:tcW w:w="158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Financial Information</w:t>
              </w:r>
            </w:hyperlink>
          </w:p>
        </w:tc>
        <w:tc>
          <w:tcPr>
            <w:tcW w:w="8360" w:type="dxa"/>
            <w:vAlign w:val="bottom"/>
            <w:gridSpan w:val="12"/>
          </w:tcPr>
          <w:p>
            <w:pPr>
              <w:spacing w:after="0"/>
              <w:rPr>
                <w:sz w:val="24"/>
                <w:szCs w:val="24"/>
                <w:color w:val="auto"/>
              </w:rPr>
            </w:pPr>
          </w:p>
        </w:tc>
        <w:tc>
          <w:tcPr>
            <w:tcW w:w="6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00" w:type="dxa"/>
            <w:vAlign w:val="bottom"/>
          </w:tcPr>
          <w:p>
            <w:pPr>
              <w:spacing w:after="0"/>
              <w:rPr>
                <w:sz w:val="24"/>
                <w:szCs w:val="24"/>
                <w:color w:val="auto"/>
              </w:rPr>
            </w:pPr>
          </w:p>
        </w:tc>
        <w:tc>
          <w:tcPr>
            <w:tcW w:w="90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March 31, 2018 and December 31, 2017</w:t>
              </w:r>
            </w:hyperlink>
          </w:p>
        </w:tc>
        <w:tc>
          <w:tcPr>
            <w:tcW w:w="3580" w:type="dxa"/>
            <w:vAlign w:val="bottom"/>
            <w:gridSpan w:val="5"/>
          </w:tcPr>
          <w:p>
            <w:pPr>
              <w:spacing w:after="0"/>
              <w:rPr>
                <w:sz w:val="21"/>
                <w:szCs w:val="21"/>
                <w:color w:val="auto"/>
              </w:rPr>
            </w:pPr>
          </w:p>
        </w:tc>
        <w:tc>
          <w:tcPr>
            <w:tcW w:w="6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20" w:type="dxa"/>
            <w:vAlign w:val="bottom"/>
            <w:gridSpan w:val="15"/>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Consolidated Statements of Income and Comprehensive Income for the Three Months ended March 31, 2018 and 2017</w:t>
              </w:r>
            </w:hyperlink>
          </w:p>
        </w:tc>
        <w:tc>
          <w:tcPr>
            <w:tcW w:w="6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80" w:type="dxa"/>
            <w:vAlign w:val="bottom"/>
            <w:tcBorders>
              <w:top w:val="single" w:sz="8" w:color="0000EE"/>
            </w:tcBorders>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Shareholders’ Equity for the Three Months ended March 31, 2018 and 2017</w:t>
              </w:r>
            </w:hyperlink>
          </w:p>
        </w:tc>
        <w:tc>
          <w:tcPr>
            <w:tcW w:w="440" w:type="dxa"/>
            <w:vAlign w:val="bottom"/>
          </w:tcPr>
          <w:p>
            <w:pPr>
              <w:spacing w:after="0"/>
              <w:rPr>
                <w:sz w:val="21"/>
                <w:szCs w:val="21"/>
                <w:color w:val="auto"/>
              </w:rPr>
            </w:pPr>
          </w:p>
        </w:tc>
        <w:tc>
          <w:tcPr>
            <w:tcW w:w="6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00" w:type="dxa"/>
            <w:vAlign w:val="bottom"/>
            <w:tcBorders>
              <w:top w:val="single" w:sz="8" w:color="0000EE"/>
            </w:tcBorders>
            <w:gridSpan w:val="13"/>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Consolidated Statements of Cash Flows for the Three Months ended March 31, 2018 and 2017</w:t>
              </w:r>
            </w:hyperlink>
          </w:p>
        </w:tc>
        <w:tc>
          <w:tcPr>
            <w:tcW w:w="1520" w:type="dxa"/>
            <w:vAlign w:val="bottom"/>
            <w:gridSpan w:val="2"/>
          </w:tcPr>
          <w:p>
            <w:pPr>
              <w:spacing w:after="0"/>
              <w:rPr>
                <w:sz w:val="21"/>
                <w:szCs w:val="21"/>
                <w:color w:val="auto"/>
              </w:rPr>
            </w:pPr>
          </w:p>
        </w:tc>
        <w:tc>
          <w:tcPr>
            <w:tcW w:w="6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the Consolidated Financial Statements</w:t>
              </w:r>
            </w:hyperlink>
          </w:p>
        </w:tc>
        <w:tc>
          <w:tcPr>
            <w:tcW w:w="3400" w:type="dxa"/>
            <w:vAlign w:val="bottom"/>
            <w:tcBorders>
              <w:top w:val="single" w:sz="8" w:color="0000EE"/>
            </w:tcBorders>
            <w:gridSpan w:val="5"/>
          </w:tcPr>
          <w:p>
            <w:pPr>
              <w:spacing w:after="0"/>
              <w:rPr>
                <w:sz w:val="21"/>
                <w:szCs w:val="21"/>
                <w:color w:val="auto"/>
              </w:rPr>
            </w:pPr>
          </w:p>
        </w:tc>
        <w:tc>
          <w:tcPr>
            <w:tcW w:w="2200" w:type="dxa"/>
            <w:vAlign w:val="bottom"/>
            <w:gridSpan w:val="3"/>
          </w:tcPr>
          <w:p>
            <w:pPr>
              <w:spacing w:after="0"/>
              <w:rPr>
                <w:sz w:val="21"/>
                <w:szCs w:val="21"/>
                <w:color w:val="auto"/>
              </w:rPr>
            </w:pPr>
          </w:p>
        </w:tc>
        <w:tc>
          <w:tcPr>
            <w:tcW w:w="62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2.</w:t>
              </w:r>
            </w:hyperlink>
          </w:p>
        </w:tc>
        <w:tc>
          <w:tcPr>
            <w:tcW w:w="400" w:type="dxa"/>
            <w:vAlign w:val="bottom"/>
          </w:tcPr>
          <w:p>
            <w:pPr>
              <w:spacing w:after="0"/>
              <w:rPr>
                <w:sz w:val="24"/>
                <w:szCs w:val="24"/>
                <w:color w:val="auto"/>
              </w:rPr>
            </w:pPr>
          </w:p>
        </w:tc>
        <w:tc>
          <w:tcPr>
            <w:tcW w:w="9020" w:type="dxa"/>
            <w:vAlign w:val="bottom"/>
            <w:gridSpan w:val="1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62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20</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3.</w:t>
              </w:r>
            </w:hyperlink>
          </w:p>
        </w:tc>
        <w:tc>
          <w:tcPr>
            <w:tcW w:w="400" w:type="dxa"/>
            <w:vAlign w:val="bottom"/>
          </w:tcPr>
          <w:p>
            <w:pPr>
              <w:spacing w:after="0"/>
              <w:rPr>
                <w:sz w:val="24"/>
                <w:szCs w:val="24"/>
                <w:color w:val="auto"/>
              </w:rPr>
            </w:pPr>
          </w:p>
        </w:tc>
        <w:tc>
          <w:tcPr>
            <w:tcW w:w="6460" w:type="dxa"/>
            <w:vAlign w:val="bottom"/>
            <w:tcBorders>
              <w:top w:val="single" w:sz="8" w:color="0000EE"/>
            </w:tcBorders>
            <w:gridSpan w:val="1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2560" w:type="dxa"/>
            <w:vAlign w:val="bottom"/>
            <w:gridSpan w:val="4"/>
          </w:tcPr>
          <w:p>
            <w:pPr>
              <w:spacing w:after="0"/>
              <w:rPr>
                <w:sz w:val="24"/>
                <w:szCs w:val="24"/>
                <w:color w:val="auto"/>
              </w:rPr>
            </w:pPr>
          </w:p>
        </w:tc>
        <w:tc>
          <w:tcPr>
            <w:tcW w:w="6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4.</w:t>
              </w:r>
            </w:hyperlink>
          </w:p>
        </w:tc>
        <w:tc>
          <w:tcPr>
            <w:tcW w:w="40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4"/>
          </w:tcPr>
          <w:p>
            <w:pPr>
              <w:spacing w:after="0"/>
              <w:rPr>
                <w:sz w:val="24"/>
                <w:szCs w:val="24"/>
                <w:color w:val="auto"/>
              </w:rPr>
            </w:pPr>
          </w:p>
        </w:tc>
        <w:tc>
          <w:tcPr>
            <w:tcW w:w="4660" w:type="dxa"/>
            <w:vAlign w:val="bottom"/>
            <w:gridSpan w:val="6"/>
          </w:tcPr>
          <w:p>
            <w:pPr>
              <w:spacing w:after="0"/>
              <w:rPr>
                <w:sz w:val="24"/>
                <w:szCs w:val="24"/>
                <w:color w:val="auto"/>
              </w:rPr>
            </w:pPr>
          </w:p>
        </w:tc>
        <w:tc>
          <w:tcPr>
            <w:tcW w:w="6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r>
      <w:tr>
        <w:trPr>
          <w:trHeight w:val="520"/>
        </w:trPr>
        <w:tc>
          <w:tcPr>
            <w:tcW w:w="40" w:type="dxa"/>
            <w:vAlign w:val="bottom"/>
          </w:tcPr>
          <w:p>
            <w:pPr>
              <w:spacing w:after="0"/>
              <w:rPr>
                <w:sz w:val="24"/>
                <w:szCs w:val="24"/>
                <w:color w:val="auto"/>
              </w:rPr>
            </w:pPr>
          </w:p>
        </w:tc>
        <w:tc>
          <w:tcPr>
            <w:tcW w:w="5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Part II.</w:t>
              </w:r>
            </w:hyperlink>
          </w:p>
        </w:tc>
        <w:tc>
          <w:tcPr>
            <w:tcW w:w="300" w:type="dxa"/>
            <w:vAlign w:val="bottom"/>
            <w:gridSpan w:val="2"/>
          </w:tcPr>
          <w:p>
            <w:pPr>
              <w:spacing w:after="0"/>
              <w:rPr>
                <w:sz w:val="24"/>
                <w:szCs w:val="24"/>
                <w:color w:val="auto"/>
              </w:rPr>
            </w:pP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Other Information</w:t>
              </w:r>
            </w:hyperlink>
          </w:p>
        </w:tc>
        <w:tc>
          <w:tcPr>
            <w:tcW w:w="8620" w:type="dxa"/>
            <w:vAlign w:val="bottom"/>
            <w:gridSpan w:val="14"/>
          </w:tcPr>
          <w:p>
            <w:pPr>
              <w:spacing w:after="0"/>
              <w:rPr>
                <w:sz w:val="24"/>
                <w:szCs w:val="24"/>
                <w:color w:val="auto"/>
              </w:rPr>
            </w:pPr>
          </w:p>
        </w:tc>
        <w:tc>
          <w:tcPr>
            <w:tcW w:w="6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1.</w:t>
              </w:r>
            </w:hyperlink>
          </w:p>
        </w:tc>
        <w:tc>
          <w:tcPr>
            <w:tcW w:w="400" w:type="dxa"/>
            <w:vAlign w:val="bottom"/>
          </w:tcPr>
          <w:p>
            <w:pPr>
              <w:spacing w:after="0"/>
              <w:rPr>
                <w:sz w:val="24"/>
                <w:szCs w:val="24"/>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Legal Proceedings</w:t>
              </w:r>
            </w:hyperlink>
          </w:p>
        </w:tc>
        <w:tc>
          <w:tcPr>
            <w:tcW w:w="7680" w:type="dxa"/>
            <w:vAlign w:val="bottom"/>
            <w:gridSpan w:val="11"/>
          </w:tcPr>
          <w:p>
            <w:pPr>
              <w:spacing w:after="0"/>
              <w:rPr>
                <w:sz w:val="24"/>
                <w:szCs w:val="24"/>
                <w:color w:val="auto"/>
              </w:rPr>
            </w:pPr>
          </w:p>
        </w:tc>
        <w:tc>
          <w:tcPr>
            <w:tcW w:w="6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29</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2.</w:t>
              </w:r>
            </w:hyperlink>
          </w:p>
        </w:tc>
        <w:tc>
          <w:tcPr>
            <w:tcW w:w="400" w:type="dxa"/>
            <w:vAlign w:val="bottom"/>
          </w:tcPr>
          <w:p>
            <w:pPr>
              <w:spacing w:after="0"/>
              <w:rPr>
                <w:sz w:val="24"/>
                <w:szCs w:val="24"/>
                <w:color w:val="auto"/>
              </w:rPr>
            </w:pPr>
          </w:p>
        </w:tc>
        <w:tc>
          <w:tcPr>
            <w:tcW w:w="9020" w:type="dxa"/>
            <w:vAlign w:val="bottom"/>
            <w:gridSpan w:val="1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6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29</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6.</w:t>
              </w:r>
            </w:hyperlink>
          </w:p>
        </w:tc>
        <w:tc>
          <w:tcPr>
            <w:tcW w:w="400" w:type="dxa"/>
            <w:vAlign w:val="bottom"/>
          </w:tcPr>
          <w:p>
            <w:pPr>
              <w:spacing w:after="0"/>
              <w:rPr>
                <w:sz w:val="24"/>
                <w:szCs w:val="24"/>
                <w:color w:val="auto"/>
              </w:rPr>
            </w:pPr>
          </w:p>
        </w:tc>
        <w:tc>
          <w:tcPr>
            <w:tcW w:w="4320" w:type="dxa"/>
            <w:vAlign w:val="bottom"/>
            <w:tcBorders>
              <w:top w:val="single" w:sz="8" w:color="0000EE"/>
            </w:tcBorders>
            <w:gridSpan w:val="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4700" w:type="dxa"/>
            <w:vAlign w:val="bottom"/>
            <w:gridSpan w:val="7"/>
          </w:tcPr>
          <w:p>
            <w:pPr>
              <w:spacing w:after="0"/>
              <w:rPr>
                <w:sz w:val="24"/>
                <w:szCs w:val="24"/>
                <w:color w:val="auto"/>
              </w:rPr>
            </w:pPr>
          </w:p>
        </w:tc>
        <w:tc>
          <w:tcPr>
            <w:tcW w:w="62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tc>
      </w:tr>
      <w:tr>
        <w:trPr>
          <w:trHeight w:val="520"/>
        </w:trPr>
        <w:tc>
          <w:tcPr>
            <w:tcW w:w="4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Signatures</w:t>
              </w:r>
            </w:hyperlink>
          </w:p>
        </w:tc>
        <w:tc>
          <w:tcPr>
            <w:tcW w:w="4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31</w:t>
              </w:r>
            </w:hyperlink>
          </w:p>
        </w:tc>
      </w:tr>
    </w:tbl>
    <w:p>
      <w:pPr>
        <w:sectPr>
          <w:pgSz w:w="11900" w:h="16838" w:orient="portrait"/>
          <w:cols w:equalWidth="0" w:num="1">
            <w:col w:w="11400"/>
          </w:cols>
          <w:pgMar w:left="240" w:top="108"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80"/>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80" w:type="dxa"/>
            <w:vAlign w:val="bottom"/>
          </w:tcPr>
          <w:p>
            <w:pPr>
              <w:jc w:val="center"/>
              <w:ind w:left="2410"/>
              <w:spacing w:after="0"/>
              <w:rPr>
                <w:sz w:val="20"/>
                <w:szCs w:val="20"/>
                <w:color w:val="auto"/>
              </w:rPr>
            </w:pPr>
            <w:r>
              <w:rPr>
                <w:rFonts w:ascii="Arial" w:cs="Arial" w:eastAsia="Arial" w:hAnsi="Arial"/>
                <w:sz w:val="18"/>
                <w:szCs w:val="18"/>
                <w:b w:val="1"/>
                <w:bCs w:val="1"/>
                <w:color w:val="auto"/>
                <w:w w:val="91"/>
              </w:rPr>
              <w:t>World Fuel Services Corporation</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0"/>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380" w:type="dxa"/>
            <w:vAlign w:val="bottom"/>
          </w:tcPr>
          <w:p>
            <w:pPr>
              <w:jc w:val="center"/>
              <w:ind w:left="2410"/>
              <w:spacing w:after="0"/>
              <w:rPr>
                <w:sz w:val="20"/>
                <w:szCs w:val="20"/>
                <w:color w:val="auto"/>
              </w:rPr>
            </w:pPr>
            <w:r>
              <w:rPr>
                <w:rFonts w:ascii="Arial" w:cs="Arial" w:eastAsia="Arial" w:hAnsi="Arial"/>
                <w:sz w:val="18"/>
                <w:szCs w:val="18"/>
                <w:b w:val="1"/>
                <w:bCs w:val="1"/>
                <w:color w:val="auto"/>
                <w:w w:val="87"/>
              </w:rPr>
              <w:t>Consolidated Balance Sheets</w:t>
            </w: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380" w:type="dxa"/>
            <w:vAlign w:val="bottom"/>
          </w:tcPr>
          <w:p>
            <w:pPr>
              <w:jc w:val="center"/>
              <w:ind w:left="2390"/>
              <w:spacing w:after="0"/>
              <w:rPr>
                <w:sz w:val="20"/>
                <w:szCs w:val="20"/>
                <w:color w:val="auto"/>
              </w:rPr>
            </w:pPr>
            <w:r>
              <w:rPr>
                <w:rFonts w:ascii="Arial" w:cs="Arial" w:eastAsia="Arial" w:hAnsi="Arial"/>
                <w:sz w:val="18"/>
                <w:szCs w:val="18"/>
                <w:color w:val="auto"/>
                <w:w w:val="91"/>
              </w:rPr>
              <w:t>(Unaudited - In millions, except per share data)</w:t>
            </w: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615"/>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Borders>
              <w:bottom w:val="single" w:sz="8" w:color="auto"/>
            </w:tcBorders>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20" w:type="dxa"/>
            <w:vAlign w:val="bottom"/>
          </w:tcPr>
          <w:p>
            <w:pPr>
              <w:jc w:val="right"/>
              <w:ind w:right="42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70"/>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00" w:type="dxa"/>
            <w:vAlign w:val="bottom"/>
            <w:shd w:val="clear" w:color="auto" w:fill="CCEEFF"/>
          </w:tcPr>
          <w:p>
            <w:pPr>
              <w:spacing w:after="0"/>
              <w:rPr>
                <w:sz w:val="23"/>
                <w:szCs w:val="23"/>
                <w:color w:val="auto"/>
              </w:rPr>
            </w:pPr>
          </w:p>
        </w:tc>
        <w:tc>
          <w:tcPr>
            <w:tcW w:w="6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4"/>
        </w:trPr>
        <w:tc>
          <w:tcPr>
            <w:tcW w:w="980" w:type="dxa"/>
            <w:vAlign w:val="bottom"/>
          </w:tcPr>
          <w:p>
            <w:pPr>
              <w:ind w:left="40"/>
              <w:spacing w:after="0"/>
              <w:rPr>
                <w:sz w:val="20"/>
                <w:szCs w:val="20"/>
                <w:color w:val="auto"/>
              </w:rPr>
            </w:pPr>
            <w:r>
              <w:rPr>
                <w:rFonts w:ascii="Arial" w:cs="Arial" w:eastAsia="Arial" w:hAnsi="Arial"/>
                <w:sz w:val="14"/>
                <w:szCs w:val="14"/>
                <w:color w:val="auto"/>
                <w:w w:val="96"/>
              </w:rPr>
              <w:t>Current assets:</w:t>
            </w:r>
          </w:p>
        </w:tc>
        <w:tc>
          <w:tcPr>
            <w:tcW w:w="30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6"/>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24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152.9</w:t>
            </w: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372.3</w:t>
            </w: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Accounts receivable, net</w:t>
            </w:r>
          </w:p>
        </w:tc>
        <w:tc>
          <w:tcPr>
            <w:tcW w:w="12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2,666.3</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2,705.6</w:t>
            </w:r>
          </w:p>
        </w:tc>
      </w:tr>
      <w:tr>
        <w:trPr>
          <w:trHeight w:val="276"/>
        </w:trPr>
        <w:tc>
          <w:tcPr>
            <w:tcW w:w="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590.2</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505.0</w:t>
            </w: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Prepaid expenses</w:t>
            </w:r>
          </w:p>
        </w:tc>
        <w:tc>
          <w:tcPr>
            <w:tcW w:w="12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58.0</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64.4</w:t>
            </w:r>
          </w:p>
        </w:tc>
      </w:tr>
      <w:tr>
        <w:trPr>
          <w:trHeight w:val="276"/>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Short-term derivative assets, net</w:t>
            </w:r>
          </w:p>
        </w:tc>
        <w:tc>
          <w:tcPr>
            <w:tcW w:w="12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51.1</w:t>
            </w:r>
          </w:p>
        </w:tc>
      </w:tr>
      <w:tr>
        <w:trPr>
          <w:trHeight w:val="264"/>
        </w:trPr>
        <w:tc>
          <w:tcPr>
            <w:tcW w:w="76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Other current assets</w:t>
            </w:r>
          </w:p>
        </w:tc>
        <w:tc>
          <w:tcPr>
            <w:tcW w:w="1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250.3</w:t>
            </w: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241.9</w:t>
            </w:r>
          </w:p>
        </w:tc>
      </w:tr>
      <w:tr>
        <w:trPr>
          <w:trHeight w:val="270"/>
        </w:trPr>
        <w:tc>
          <w:tcPr>
            <w:tcW w:w="76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Total current assets</w:t>
            </w:r>
          </w:p>
        </w:tc>
        <w:tc>
          <w:tcPr>
            <w:tcW w:w="124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3,770.7</w:t>
            </w: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3,940.4</w:t>
            </w:r>
          </w:p>
        </w:tc>
      </w:tr>
      <w:tr>
        <w:trPr>
          <w:trHeight w:val="264"/>
        </w:trPr>
        <w:tc>
          <w:tcPr>
            <w:tcW w:w="7660" w:type="dxa"/>
            <w:vAlign w:val="bottom"/>
            <w:gridSpan w:val="3"/>
          </w:tcPr>
          <w:p>
            <w:pPr>
              <w:ind w:left="40"/>
              <w:spacing w:after="0"/>
              <w:rPr>
                <w:sz w:val="20"/>
                <w:szCs w:val="20"/>
                <w:color w:val="auto"/>
              </w:rPr>
            </w:pPr>
            <w:r>
              <w:rPr>
                <w:rFonts w:ascii="Arial" w:cs="Arial" w:eastAsia="Arial" w:hAnsi="Arial"/>
                <w:sz w:val="14"/>
                <w:szCs w:val="14"/>
                <w:color w:val="auto"/>
              </w:rPr>
              <w:t>Property and equipment, net</w:t>
            </w:r>
          </w:p>
        </w:tc>
        <w:tc>
          <w:tcPr>
            <w:tcW w:w="12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335.4</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329.8</w:t>
            </w:r>
          </w:p>
        </w:tc>
      </w:tr>
      <w:tr>
        <w:trPr>
          <w:trHeight w:val="276"/>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3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866.9</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845.5</w:t>
            </w:r>
          </w:p>
        </w:tc>
      </w:tr>
      <w:tr>
        <w:trPr>
          <w:trHeight w:val="264"/>
        </w:trPr>
        <w:tc>
          <w:tcPr>
            <w:tcW w:w="7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Identifiable intangible and other non-current assets</w:t>
            </w:r>
          </w:p>
        </w:tc>
        <w:tc>
          <w:tcPr>
            <w:tcW w:w="1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499.2</w:t>
            </w: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472.1</w:t>
            </w:r>
          </w:p>
        </w:tc>
      </w:tr>
      <w:tr>
        <w:trPr>
          <w:trHeight w:val="264"/>
        </w:trPr>
        <w:tc>
          <w:tcPr>
            <w:tcW w:w="9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90"/>
              </w:rPr>
              <w:t>Total assets</w:t>
            </w:r>
          </w:p>
        </w:tc>
        <w:tc>
          <w:tcPr>
            <w:tcW w:w="300" w:type="dxa"/>
            <w:vAlign w:val="bottom"/>
            <w:tcBorders>
              <w:bottom w:val="single" w:sz="8" w:color="auto"/>
            </w:tcBorders>
            <w:shd w:val="clear" w:color="auto" w:fill="CCEEFF"/>
          </w:tcPr>
          <w:p>
            <w:pPr>
              <w:spacing w:after="0"/>
              <w:rPr>
                <w:sz w:val="22"/>
                <w:szCs w:val="22"/>
                <w:color w:val="auto"/>
              </w:rPr>
            </w:pPr>
          </w:p>
        </w:tc>
        <w:tc>
          <w:tcPr>
            <w:tcW w:w="6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5,472.1</w:t>
            </w:r>
          </w:p>
        </w:tc>
        <w:tc>
          <w:tcPr>
            <w:tcW w:w="5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5,587.8</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51"/>
        </w:trPr>
        <w:tc>
          <w:tcPr>
            <w:tcW w:w="98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30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6"/>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2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Current maturities of long-term debt and capital leases</w:t>
            </w: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33.6</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25.6</w:t>
            </w:r>
          </w:p>
        </w:tc>
      </w:tr>
      <w:tr>
        <w:trPr>
          <w:trHeight w:val="276"/>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12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2,197.7</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2,239.7</w:t>
            </w: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Customer deposits</w:t>
            </w:r>
          </w:p>
        </w:tc>
        <w:tc>
          <w:tcPr>
            <w:tcW w:w="12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104.2</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108.3</w:t>
            </w:r>
          </w:p>
        </w:tc>
      </w:tr>
      <w:tr>
        <w:trPr>
          <w:trHeight w:val="270"/>
        </w:trPr>
        <w:tc>
          <w:tcPr>
            <w:tcW w:w="766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124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334.7</w:t>
            </w:r>
          </w:p>
        </w:tc>
        <w:tc>
          <w:tcPr>
            <w:tcW w:w="5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344.9</w:t>
            </w:r>
          </w:p>
        </w:tc>
      </w:tr>
      <w:tr>
        <w:trPr>
          <w:trHeight w:val="264"/>
        </w:trPr>
        <w:tc>
          <w:tcPr>
            <w:tcW w:w="7660" w:type="dxa"/>
            <w:vAlign w:val="bottom"/>
            <w:gridSpan w:val="3"/>
          </w:tcPr>
          <w:p>
            <w:pPr>
              <w:ind w:left="280"/>
              <w:spacing w:after="0"/>
              <w:rPr>
                <w:sz w:val="20"/>
                <w:szCs w:val="20"/>
                <w:color w:val="auto"/>
              </w:rPr>
            </w:pPr>
            <w:r>
              <w:rPr>
                <w:rFonts w:ascii="Arial" w:cs="Arial" w:eastAsia="Arial" w:hAnsi="Arial"/>
                <w:sz w:val="14"/>
                <w:szCs w:val="14"/>
                <w:color w:val="auto"/>
              </w:rPr>
              <w:t>Total current liabilities</w:t>
            </w:r>
          </w:p>
        </w:tc>
        <w:tc>
          <w:tcPr>
            <w:tcW w:w="12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2,670.1</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2,718.6</w:t>
            </w:r>
          </w:p>
        </w:tc>
      </w:tr>
      <w:tr>
        <w:trPr>
          <w:trHeight w:val="276"/>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Long-term debt</w:t>
            </w:r>
          </w:p>
        </w:tc>
        <w:tc>
          <w:tcPr>
            <w:tcW w:w="3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800.8</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884.6</w:t>
            </w:r>
          </w:p>
        </w:tc>
      </w:tr>
      <w:tr>
        <w:trPr>
          <w:trHeight w:val="264"/>
        </w:trPr>
        <w:tc>
          <w:tcPr>
            <w:tcW w:w="7660" w:type="dxa"/>
            <w:vAlign w:val="bottom"/>
            <w:gridSpan w:val="3"/>
          </w:tcPr>
          <w:p>
            <w:pPr>
              <w:ind w:left="40"/>
              <w:spacing w:after="0"/>
              <w:rPr>
                <w:sz w:val="20"/>
                <w:szCs w:val="20"/>
                <w:color w:val="auto"/>
              </w:rPr>
            </w:pPr>
            <w:r>
              <w:rPr>
                <w:rFonts w:ascii="Arial" w:cs="Arial" w:eastAsia="Arial" w:hAnsi="Arial"/>
                <w:sz w:val="14"/>
                <w:szCs w:val="14"/>
                <w:color w:val="auto"/>
              </w:rPr>
              <w:t>Non-current income tax liabilities, net</w:t>
            </w:r>
          </w:p>
        </w:tc>
        <w:tc>
          <w:tcPr>
            <w:tcW w:w="12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178.5</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202.4</w:t>
            </w:r>
          </w:p>
        </w:tc>
      </w:tr>
      <w:tr>
        <w:trPr>
          <w:trHeight w:val="270"/>
        </w:trPr>
        <w:tc>
          <w:tcPr>
            <w:tcW w:w="7660" w:type="dxa"/>
            <w:vAlign w:val="bottom"/>
            <w:tcBorders>
              <w:bottom w:val="single" w:sz="8" w:color="auto"/>
            </w:tcBorders>
            <w:gridSpan w:val="3"/>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124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5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44.2</w:t>
            </w:r>
          </w:p>
        </w:tc>
      </w:tr>
      <w:tr>
        <w:trPr>
          <w:trHeight w:val="304"/>
        </w:trPr>
        <w:tc>
          <w:tcPr>
            <w:tcW w:w="7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color w:val="auto"/>
              </w:rPr>
              <w:t>Total liabilities</w:t>
            </w:r>
          </w:p>
        </w:tc>
        <w:tc>
          <w:tcPr>
            <w:tcW w:w="12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3,701.1</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3,849.8</w:t>
            </w:r>
          </w:p>
        </w:tc>
      </w:tr>
      <w:tr>
        <w:trPr>
          <w:trHeight w:val="257"/>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12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64"/>
        </w:trPr>
        <w:tc>
          <w:tcPr>
            <w:tcW w:w="980" w:type="dxa"/>
            <w:vAlign w:val="bottom"/>
          </w:tcPr>
          <w:p>
            <w:pPr>
              <w:ind w:left="40"/>
              <w:spacing w:after="0"/>
              <w:rPr>
                <w:sz w:val="20"/>
                <w:szCs w:val="20"/>
                <w:color w:val="auto"/>
              </w:rPr>
            </w:pPr>
            <w:r>
              <w:rPr>
                <w:rFonts w:ascii="Arial" w:cs="Arial" w:eastAsia="Arial" w:hAnsi="Arial"/>
                <w:sz w:val="14"/>
                <w:szCs w:val="14"/>
                <w:color w:val="auto"/>
              </w:rPr>
              <w:t>Equity:</w:t>
            </w:r>
          </w:p>
        </w:tc>
        <w:tc>
          <w:tcPr>
            <w:tcW w:w="30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6"/>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World Fuel shareholders' equity:</w:t>
            </w:r>
          </w:p>
        </w:tc>
        <w:tc>
          <w:tcPr>
            <w:tcW w:w="12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Preferred stock, $1.00 par value; 0.1 shares authorized, none issued</w:t>
            </w:r>
          </w:p>
        </w:tc>
        <w:tc>
          <w:tcPr>
            <w:tcW w:w="12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3"/>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w w:val="94"/>
              </w:rPr>
              <w:t>Common stock, $0.01 par value; 100.0 shares authorized, 67.7 issued and outstanding as of March 31, 2018 and December 31,</w:t>
            </w:r>
          </w:p>
        </w:tc>
        <w:tc>
          <w:tcPr>
            <w:tcW w:w="1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94"/>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2017, respectively</w:t>
            </w:r>
          </w:p>
        </w:tc>
        <w:tc>
          <w:tcPr>
            <w:tcW w:w="12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5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Capital in excess of par value</w:t>
            </w:r>
          </w:p>
        </w:tc>
        <w:tc>
          <w:tcPr>
            <w:tcW w:w="12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358.6</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354.9</w:t>
            </w:r>
          </w:p>
        </w:tc>
      </w:tr>
      <w:tr>
        <w:trPr>
          <w:trHeight w:val="276"/>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Retained earnings</w:t>
            </w:r>
          </w:p>
        </w:tc>
        <w:tc>
          <w:tcPr>
            <w:tcW w:w="12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1,521.6</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1,492.8</w:t>
            </w:r>
          </w:p>
        </w:tc>
      </w:tr>
      <w:tr>
        <w:trPr>
          <w:trHeight w:val="264"/>
        </w:trPr>
        <w:tc>
          <w:tcPr>
            <w:tcW w:w="76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Accumulated other comprehensive loss</w:t>
            </w:r>
          </w:p>
        </w:tc>
        <w:tc>
          <w:tcPr>
            <w:tcW w:w="1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color w:val="auto"/>
              </w:rPr>
              <w:t>(125.7)</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(126.5)</w:t>
            </w:r>
          </w:p>
        </w:tc>
      </w:tr>
      <w:tr>
        <w:trPr>
          <w:trHeight w:val="270"/>
        </w:trPr>
        <w:tc>
          <w:tcPr>
            <w:tcW w:w="76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Total World Fuel shareholders' equity</w:t>
            </w:r>
          </w:p>
        </w:tc>
        <w:tc>
          <w:tcPr>
            <w:tcW w:w="124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1,755.2</w:t>
            </w: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1,721.9</w:t>
            </w:r>
          </w:p>
        </w:tc>
      </w:tr>
      <w:tr>
        <w:trPr>
          <w:trHeight w:val="264"/>
        </w:trPr>
        <w:tc>
          <w:tcPr>
            <w:tcW w:w="7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Noncontrolling interest</w:t>
            </w:r>
          </w:p>
        </w:tc>
        <w:tc>
          <w:tcPr>
            <w:tcW w:w="1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w:t>
            </w:r>
          </w:p>
        </w:tc>
      </w:tr>
      <w:tr>
        <w:trPr>
          <w:trHeight w:val="264"/>
        </w:trPr>
        <w:tc>
          <w:tcPr>
            <w:tcW w:w="9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93"/>
              </w:rPr>
              <w:t>Total equity</w:t>
            </w:r>
          </w:p>
        </w:tc>
        <w:tc>
          <w:tcPr>
            <w:tcW w:w="300" w:type="dxa"/>
            <w:vAlign w:val="bottom"/>
            <w:tcBorders>
              <w:bottom w:val="single" w:sz="8" w:color="auto"/>
            </w:tcBorders>
            <w:shd w:val="clear" w:color="auto" w:fill="CCEEFF"/>
          </w:tcPr>
          <w:p>
            <w:pPr>
              <w:spacing w:after="0"/>
              <w:rPr>
                <w:sz w:val="22"/>
                <w:szCs w:val="22"/>
                <w:color w:val="auto"/>
              </w:rPr>
            </w:pPr>
          </w:p>
        </w:tc>
        <w:tc>
          <w:tcPr>
            <w:tcW w:w="6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1,771.0</w:t>
            </w:r>
          </w:p>
        </w:tc>
        <w:tc>
          <w:tcPr>
            <w:tcW w:w="50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1,738.0</w:t>
            </w:r>
          </w:p>
        </w:tc>
      </w:tr>
      <w:tr>
        <w:trPr>
          <w:trHeight w:val="264"/>
        </w:trPr>
        <w:tc>
          <w:tcPr>
            <w:tcW w:w="7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color w:val="auto"/>
              </w:rPr>
              <w:t>Total liabilities and equity</w:t>
            </w:r>
          </w:p>
        </w:tc>
        <w:tc>
          <w:tcPr>
            <w:tcW w:w="12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5,472.1</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5,587.8</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00"/>
          </w:cols>
          <w:pgMar w:left="240" w:top="10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108" w:right="25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20" w:type="dxa"/>
            <w:vAlign w:val="bottom"/>
            <w:gridSpan w:val="3"/>
          </w:tcPr>
          <w:p>
            <w:pPr>
              <w:jc w:val="right"/>
              <w:ind w:right="888"/>
              <w:spacing w:after="0"/>
              <w:rPr>
                <w:sz w:val="20"/>
                <w:szCs w:val="20"/>
                <w:color w:val="auto"/>
              </w:rPr>
            </w:pPr>
            <w:r>
              <w:rPr>
                <w:rFonts w:ascii="Arial" w:cs="Arial" w:eastAsia="Arial" w:hAnsi="Arial"/>
                <w:sz w:val="14"/>
                <w:szCs w:val="14"/>
                <w:b w:val="1"/>
                <w:bCs w:val="1"/>
                <w:color w:val="auto"/>
              </w:rPr>
              <w:t>For the Three Months Ended</w:t>
            </w:r>
          </w:p>
        </w:tc>
      </w:tr>
      <w:tr>
        <w:trPr>
          <w:trHeight w:val="276"/>
        </w:trPr>
        <w:tc>
          <w:tcPr>
            <w:tcW w:w="76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24"/>
                <w:szCs w:val="24"/>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9,181.3</w:t>
            </w:r>
          </w:p>
        </w:tc>
        <w:tc>
          <w:tcPr>
            <w:tcW w:w="5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8,194.3</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revenue</w:t>
            </w: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8,937.9</w:t>
            </w: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7,962.9</w:t>
            </w:r>
          </w:p>
        </w:tc>
      </w:tr>
      <w:tr>
        <w:trPr>
          <w:trHeight w:val="264"/>
        </w:trPr>
        <w:tc>
          <w:tcPr>
            <w:tcW w:w="76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4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243.4</w:t>
            </w:r>
          </w:p>
        </w:tc>
        <w:tc>
          <w:tcPr>
            <w:tcW w:w="5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231.4</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and employee benefits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113.9</w:t>
            </w:r>
          </w:p>
        </w:tc>
        <w:tc>
          <w:tcPr>
            <w:tcW w:w="5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104.5</w:t>
            </w: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General and administrative</w:t>
            </w: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72.3</w:t>
            </w: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76.6</w:t>
            </w:r>
          </w:p>
        </w:tc>
      </w:tr>
      <w:tr>
        <w:trPr>
          <w:trHeight w:val="264"/>
        </w:trPr>
        <w:tc>
          <w:tcPr>
            <w:tcW w:w="766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186.2</w:t>
            </w:r>
          </w:p>
        </w:tc>
        <w:tc>
          <w:tcPr>
            <w:tcW w:w="5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181.1</w:t>
            </w:r>
          </w:p>
        </w:tc>
      </w:tr>
      <w:tr>
        <w:trPr>
          <w:trHeight w:val="264"/>
        </w:trPr>
        <w:tc>
          <w:tcPr>
            <w:tcW w:w="76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Income from operations</w:t>
            </w: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57.2</w:t>
            </w: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50.3</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Non-operating expenses, net:</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Interest expense and other financing costs, net</w:t>
            </w:r>
          </w:p>
        </w:tc>
        <w:tc>
          <w:tcPr>
            <w:tcW w:w="4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(16.3)</w:t>
            </w:r>
          </w:p>
        </w:tc>
        <w:tc>
          <w:tcPr>
            <w:tcW w:w="5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(12.7)</w:t>
            </w:r>
          </w:p>
        </w:tc>
      </w:tr>
      <w:tr>
        <w:trPr>
          <w:trHeight w:val="270"/>
        </w:trPr>
        <w:tc>
          <w:tcPr>
            <w:tcW w:w="7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expense, net</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5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264"/>
        </w:trPr>
        <w:tc>
          <w:tcPr>
            <w:tcW w:w="76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w:t>
            </w: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38.6</w:t>
            </w:r>
          </w:p>
        </w:tc>
        <w:tc>
          <w:tcPr>
            <w:tcW w:w="5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36.1</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Provision for income taxes</w:t>
            </w: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7.3</w:t>
            </w: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31.3</w:t>
            </w:r>
          </w:p>
        </w:tc>
        <w:tc>
          <w:tcPr>
            <w:tcW w:w="5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 (loss) attributable to noncontrolling interest</w:t>
            </w: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0.1</w:t>
            </w: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264"/>
        </w:trPr>
        <w:tc>
          <w:tcPr>
            <w:tcW w:w="7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income attributable to World Fuel</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31.2</w:t>
            </w:r>
          </w:p>
        </w:tc>
        <w:tc>
          <w:tcPr>
            <w:tcW w:w="58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31.3</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7"/>
        </w:trPr>
        <w:tc>
          <w:tcPr>
            <w:tcW w:w="7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64"/>
        </w:trPr>
        <w:tc>
          <w:tcPr>
            <w:tcW w:w="7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Basic earnings per common share</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0.46</w:t>
            </w:r>
          </w:p>
        </w:tc>
        <w:tc>
          <w:tcPr>
            <w:tcW w:w="58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0.46</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7"/>
        </w:trPr>
        <w:tc>
          <w:tcPr>
            <w:tcW w:w="7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64"/>
        </w:trPr>
        <w:tc>
          <w:tcPr>
            <w:tcW w:w="7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Basic weighted average common shares</w:t>
            </w:r>
          </w:p>
        </w:tc>
        <w:tc>
          <w:tcPr>
            <w:tcW w:w="4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67.5</w:t>
            </w:r>
          </w:p>
        </w:tc>
        <w:tc>
          <w:tcPr>
            <w:tcW w:w="5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68.7</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7"/>
        </w:trPr>
        <w:tc>
          <w:tcPr>
            <w:tcW w:w="7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64"/>
        </w:trPr>
        <w:tc>
          <w:tcPr>
            <w:tcW w:w="7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Diluted earnings per common share</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0.46</w:t>
            </w:r>
          </w:p>
        </w:tc>
        <w:tc>
          <w:tcPr>
            <w:tcW w:w="58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0.45</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7"/>
        </w:trPr>
        <w:tc>
          <w:tcPr>
            <w:tcW w:w="7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64"/>
        </w:trPr>
        <w:tc>
          <w:tcPr>
            <w:tcW w:w="7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Diluted weighted average common shares</w:t>
            </w:r>
          </w:p>
        </w:tc>
        <w:tc>
          <w:tcPr>
            <w:tcW w:w="4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67.9</w:t>
            </w:r>
          </w:p>
        </w:tc>
        <w:tc>
          <w:tcPr>
            <w:tcW w:w="5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69.2</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7"/>
        </w:trPr>
        <w:tc>
          <w:tcPr>
            <w:tcW w:w="7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31.3</w:t>
            </w:r>
          </w:p>
        </w:tc>
        <w:tc>
          <w:tcPr>
            <w:tcW w:w="5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31.1</w:t>
            </w: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440" w:type="dxa"/>
            <w:vAlign w:val="bottom"/>
          </w:tcPr>
          <w:p>
            <w:pPr>
              <w:spacing w:after="0"/>
              <w:rPr>
                <w:sz w:val="22"/>
                <w:szCs w:val="22"/>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10.2</w:t>
            </w:r>
          </w:p>
        </w:tc>
        <w:tc>
          <w:tcPr>
            <w:tcW w:w="5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6.4</w:t>
            </w:r>
          </w:p>
        </w:tc>
      </w:tr>
      <w:tr>
        <w:trPr>
          <w:trHeight w:val="163"/>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Cash flow hedges, net of income tax benefit of $4.2 and income tax expense of $6.5 for the three months ended March 31,</w:t>
            </w: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88"/>
        </w:trPr>
        <w:tc>
          <w:tcPr>
            <w:tcW w:w="7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2018 and 2017, respectively</w:t>
            </w:r>
          </w:p>
        </w:tc>
        <w:tc>
          <w:tcPr>
            <w:tcW w:w="4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5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w:t>
            </w: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comprehensive income:</w:t>
            </w: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0.5</w:t>
            </w: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 including noncontrolling interest</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31.8</w:t>
            </w:r>
          </w:p>
        </w:tc>
        <w:tc>
          <w:tcPr>
            <w:tcW w:w="5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48.0</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Comprehensive loss attributable to noncontrolling interest</w:t>
            </w: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r>
      <w:tr>
        <w:trPr>
          <w:trHeight w:val="264"/>
        </w:trPr>
        <w:tc>
          <w:tcPr>
            <w:tcW w:w="7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World Fuel</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32.1</w:t>
            </w:r>
          </w:p>
        </w:tc>
        <w:tc>
          <w:tcPr>
            <w:tcW w:w="58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48.0</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(Unaudited - In millions)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1500" w:type="dxa"/>
            <w:vAlign w:val="bottom"/>
            <w:gridSpan w:val="3"/>
            <w:vMerge w:val="restart"/>
          </w:tcPr>
          <w:p>
            <w:pPr>
              <w:jc w:val="right"/>
              <w:ind w:right="249"/>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91"/>
              <w:spacing w:after="0"/>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3"/>
                <w:szCs w:val="13"/>
                <w:color w:val="auto"/>
              </w:rPr>
            </w:pPr>
          </w:p>
        </w:tc>
        <w:tc>
          <w:tcPr>
            <w:tcW w:w="940" w:type="dxa"/>
            <w:vAlign w:val="bottom"/>
          </w:tcPr>
          <w:p>
            <w:pPr>
              <w:jc w:val="center"/>
              <w:ind w:right="71"/>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080" w:type="dxa"/>
            <w:vAlign w:val="bottom"/>
          </w:tcPr>
          <w:p>
            <w:pPr>
              <w:spacing w:after="0"/>
              <w:rPr>
                <w:sz w:val="12"/>
                <w:szCs w:val="12"/>
                <w:color w:val="auto"/>
              </w:rPr>
            </w:pPr>
          </w:p>
        </w:tc>
        <w:tc>
          <w:tcPr>
            <w:tcW w:w="1500" w:type="dxa"/>
            <w:vAlign w:val="bottom"/>
            <w:tcBorders>
              <w:bottom w:val="single" w:sz="8" w:color="auto"/>
            </w:tcBorders>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right="131"/>
              <w:spacing w:after="0" w:line="140" w:lineRule="exact"/>
              <w:rPr>
                <w:sz w:val="20"/>
                <w:szCs w:val="20"/>
                <w:color w:val="auto"/>
              </w:rPr>
            </w:pPr>
            <w:r>
              <w:rPr>
                <w:rFonts w:ascii="Arial" w:cs="Arial" w:eastAsia="Arial" w:hAnsi="Arial"/>
                <w:sz w:val="13"/>
                <w:szCs w:val="13"/>
                <w:b w:val="1"/>
                <w:bCs w:val="1"/>
                <w:color w:val="auto"/>
                <w:w w:val="92"/>
              </w:rPr>
              <w:t>Capital in</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91"/>
              <w:spacing w:after="0" w:line="140"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2"/>
                <w:szCs w:val="12"/>
                <w:color w:val="auto"/>
              </w:rPr>
            </w:pPr>
          </w:p>
        </w:tc>
        <w:tc>
          <w:tcPr>
            <w:tcW w:w="940" w:type="dxa"/>
            <w:vAlign w:val="bottom"/>
          </w:tcPr>
          <w:p>
            <w:pPr>
              <w:jc w:val="center"/>
              <w:ind w:right="91"/>
              <w:spacing w:after="0" w:line="140" w:lineRule="exact"/>
              <w:rPr>
                <w:sz w:val="20"/>
                <w:szCs w:val="20"/>
                <w:color w:val="auto"/>
              </w:rPr>
            </w:pPr>
            <w:r>
              <w:rPr>
                <w:rFonts w:ascii="Arial" w:cs="Arial" w:eastAsia="Arial" w:hAnsi="Arial"/>
                <w:sz w:val="13"/>
                <w:szCs w:val="13"/>
                <w:b w:val="1"/>
                <w:bCs w:val="1"/>
                <w:color w:val="auto"/>
                <w:w w:val="92"/>
              </w:rPr>
              <w:t>World Fuel</w:t>
            </w:r>
          </w:p>
        </w:tc>
        <w:tc>
          <w:tcPr>
            <w:tcW w:w="180" w:type="dxa"/>
            <w:vAlign w:val="bottom"/>
          </w:tcPr>
          <w:p>
            <w:pPr>
              <w:spacing w:after="0"/>
              <w:rPr>
                <w:sz w:val="12"/>
                <w:szCs w:val="12"/>
                <w:color w:val="auto"/>
              </w:rPr>
            </w:pPr>
          </w:p>
        </w:tc>
        <w:tc>
          <w:tcPr>
            <w:tcW w:w="1020" w:type="dxa"/>
            <w:vAlign w:val="bottom"/>
          </w:tcPr>
          <w:p>
            <w:pPr>
              <w:jc w:val="center"/>
              <w:ind w:right="71"/>
              <w:spacing w:after="0" w:line="140" w:lineRule="exact"/>
              <w:rPr>
                <w:sz w:val="20"/>
                <w:szCs w:val="20"/>
                <w:color w:val="auto"/>
              </w:rPr>
            </w:pPr>
            <w:r>
              <w:rPr>
                <w:rFonts w:ascii="Arial" w:cs="Arial" w:eastAsia="Arial" w:hAnsi="Arial"/>
                <w:sz w:val="13"/>
                <w:szCs w:val="13"/>
                <w:b w:val="1"/>
                <w:bCs w:val="1"/>
                <w:color w:val="auto"/>
                <w:w w:val="86"/>
              </w:rPr>
              <w:t>Noncontrolling</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jc w:val="center"/>
              <w:ind w:right="131"/>
              <w:spacing w:after="0" w:line="110" w:lineRule="exact"/>
              <w:rPr>
                <w:sz w:val="20"/>
                <w:szCs w:val="20"/>
                <w:color w:val="auto"/>
              </w:rPr>
            </w:pPr>
            <w:r>
              <w:rPr>
                <w:rFonts w:ascii="Arial" w:cs="Arial" w:eastAsia="Arial" w:hAnsi="Arial"/>
                <w:sz w:val="12"/>
                <w:szCs w:val="12"/>
                <w:b w:val="1"/>
                <w:bCs w:val="1"/>
                <w:color w:val="auto"/>
                <w:w w:val="89"/>
              </w:rPr>
              <w:t>Excess of</w:t>
            </w:r>
          </w:p>
        </w:tc>
        <w:tc>
          <w:tcPr>
            <w:tcW w:w="200" w:type="dxa"/>
            <w:vAlign w:val="bottom"/>
          </w:tcPr>
          <w:p>
            <w:pPr>
              <w:spacing w:after="0"/>
              <w:rPr>
                <w:sz w:val="9"/>
                <w:szCs w:val="9"/>
                <w:color w:val="auto"/>
              </w:rPr>
            </w:pPr>
          </w:p>
        </w:tc>
        <w:tc>
          <w:tcPr>
            <w:tcW w:w="680" w:type="dxa"/>
            <w:vAlign w:val="bottom"/>
          </w:tcPr>
          <w:p>
            <w:pPr>
              <w:jc w:val="right"/>
              <w:ind w:right="110"/>
              <w:spacing w:after="0" w:line="110" w:lineRule="exact"/>
              <w:rPr>
                <w:sz w:val="20"/>
                <w:szCs w:val="20"/>
                <w:color w:val="auto"/>
              </w:rPr>
            </w:pPr>
            <w:r>
              <w:rPr>
                <w:rFonts w:ascii="Arial" w:cs="Arial" w:eastAsia="Arial" w:hAnsi="Arial"/>
                <w:sz w:val="12"/>
                <w:szCs w:val="12"/>
                <w:b w:val="1"/>
                <w:bCs w:val="1"/>
                <w:color w:val="auto"/>
                <w:w w:val="94"/>
              </w:rPr>
              <w:t>Retained</w:t>
            </w:r>
          </w:p>
        </w:tc>
        <w:tc>
          <w:tcPr>
            <w:tcW w:w="220" w:type="dxa"/>
            <w:vAlign w:val="bottom"/>
          </w:tcPr>
          <w:p>
            <w:pPr>
              <w:spacing w:after="0"/>
              <w:rPr>
                <w:sz w:val="9"/>
                <w:szCs w:val="9"/>
                <w:color w:val="auto"/>
              </w:rPr>
            </w:pPr>
          </w:p>
        </w:tc>
        <w:tc>
          <w:tcPr>
            <w:tcW w:w="1120" w:type="dxa"/>
            <w:vAlign w:val="bottom"/>
          </w:tcPr>
          <w:p>
            <w:pPr>
              <w:jc w:val="center"/>
              <w:ind w:right="91"/>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180" w:type="dxa"/>
            <w:vAlign w:val="bottom"/>
          </w:tcPr>
          <w:p>
            <w:pPr>
              <w:spacing w:after="0"/>
              <w:rPr>
                <w:sz w:val="9"/>
                <w:szCs w:val="9"/>
                <w:color w:val="auto"/>
              </w:rPr>
            </w:pPr>
          </w:p>
        </w:tc>
        <w:tc>
          <w:tcPr>
            <w:tcW w:w="940" w:type="dxa"/>
            <w:vAlign w:val="bottom"/>
          </w:tcPr>
          <w:p>
            <w:pPr>
              <w:jc w:val="center"/>
              <w:ind w:right="91"/>
              <w:spacing w:after="0" w:line="110" w:lineRule="exact"/>
              <w:rPr>
                <w:sz w:val="20"/>
                <w:szCs w:val="20"/>
                <w:color w:val="auto"/>
              </w:rPr>
            </w:pPr>
            <w:r>
              <w:rPr>
                <w:rFonts w:ascii="Arial" w:cs="Arial" w:eastAsia="Arial" w:hAnsi="Arial"/>
                <w:sz w:val="12"/>
                <w:szCs w:val="12"/>
                <w:b w:val="1"/>
                <w:bCs w:val="1"/>
                <w:color w:val="auto"/>
                <w:w w:val="92"/>
              </w:rPr>
              <w:t>Shareholders'</w:t>
            </w:r>
          </w:p>
        </w:tc>
        <w:tc>
          <w:tcPr>
            <w:tcW w:w="180" w:type="dxa"/>
            <w:vAlign w:val="bottom"/>
          </w:tcPr>
          <w:p>
            <w:pPr>
              <w:spacing w:after="0"/>
              <w:rPr>
                <w:sz w:val="9"/>
                <w:szCs w:val="9"/>
                <w:color w:val="auto"/>
              </w:rPr>
            </w:pPr>
          </w:p>
        </w:tc>
        <w:tc>
          <w:tcPr>
            <w:tcW w:w="1020" w:type="dxa"/>
            <w:vAlign w:val="bottom"/>
          </w:tcPr>
          <w:p>
            <w:pPr>
              <w:jc w:val="center"/>
              <w:ind w:right="91"/>
              <w:spacing w:after="0" w:line="110" w:lineRule="exact"/>
              <w:rPr>
                <w:sz w:val="20"/>
                <w:szCs w:val="20"/>
                <w:color w:val="auto"/>
              </w:rPr>
            </w:pPr>
            <w:r>
              <w:rPr>
                <w:rFonts w:ascii="Arial" w:cs="Arial" w:eastAsia="Arial" w:hAnsi="Arial"/>
                <w:sz w:val="12"/>
                <w:szCs w:val="12"/>
                <w:b w:val="1"/>
                <w:bCs w:val="1"/>
                <w:color w:val="auto"/>
                <w:w w:val="96"/>
              </w:rPr>
              <w:t>Interest</w:t>
            </w: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0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rPr>
              <w:t>Shares</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1"/>
              <w:spacing w:after="0"/>
              <w:rPr>
                <w:sz w:val="20"/>
                <w:szCs w:val="20"/>
                <w:color w:val="auto"/>
              </w:rPr>
            </w:pPr>
            <w:r>
              <w:rPr>
                <w:rFonts w:ascii="Arial" w:cs="Arial" w:eastAsia="Arial" w:hAnsi="Arial"/>
                <w:sz w:val="13"/>
                <w:szCs w:val="13"/>
                <w:b w:val="1"/>
                <w:bCs w:val="1"/>
                <w:color w:val="auto"/>
                <w:w w:val="91"/>
              </w:rPr>
              <w:t>Par Value</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w w:val="89"/>
              </w:rPr>
              <w:t>Earnings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78"/>
              </w:rPr>
              <w:t>Loss</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0"/>
              </w:rPr>
              <w:t>Equity</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0"/>
              </w:rPr>
              <w:t>Equity</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Balance as of December 31, 2017</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67.7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0.7</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354.9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1,492.8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(126.5)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1,721.9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16.0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1,738.0</w:t>
            </w:r>
          </w:p>
        </w:tc>
        <w:tc>
          <w:tcPr>
            <w:tcW w:w="0" w:type="dxa"/>
            <w:vAlign w:val="bottom"/>
          </w:tcPr>
          <w:p>
            <w:pPr>
              <w:spacing w:after="0"/>
              <w:rPr>
                <w:sz w:val="1"/>
                <w:szCs w:val="1"/>
                <w:color w:val="auto"/>
              </w:rPr>
            </w:pPr>
          </w:p>
        </w:tc>
      </w:tr>
      <w:tr>
        <w:trPr>
          <w:trHeight w:val="264"/>
        </w:trPr>
        <w:tc>
          <w:tcPr>
            <w:tcW w:w="3080" w:type="dxa"/>
            <w:vAlign w:val="bottom"/>
          </w:tcPr>
          <w:p>
            <w:pPr>
              <w:ind w:left="300"/>
              <w:spacing w:after="0"/>
              <w:rPr>
                <w:sz w:val="20"/>
                <w:szCs w:val="20"/>
                <w:color w:val="auto"/>
              </w:rPr>
            </w:pPr>
            <w:r>
              <w:rPr>
                <w:rFonts w:ascii="Arial" w:cs="Arial" w:eastAsia="Arial" w:hAnsi="Arial"/>
                <w:sz w:val="14"/>
                <w:szCs w:val="14"/>
                <w:color w:val="auto"/>
              </w:rPr>
              <w:t>Net income</w:t>
            </w: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31.2</w:t>
            </w:r>
          </w:p>
        </w:tc>
        <w:tc>
          <w:tcPr>
            <w:tcW w:w="220" w:type="dxa"/>
            <w:vAlign w:val="bottom"/>
          </w:tcPr>
          <w:p>
            <w:pPr>
              <w:spacing w:after="0"/>
              <w:rPr>
                <w:sz w:val="22"/>
                <w:szCs w:val="22"/>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31.2</w:t>
            </w:r>
          </w:p>
        </w:tc>
        <w:tc>
          <w:tcPr>
            <w:tcW w:w="180" w:type="dxa"/>
            <w:vAlign w:val="bottom"/>
          </w:tcPr>
          <w:p>
            <w:pPr>
              <w:spacing w:after="0"/>
              <w:rPr>
                <w:sz w:val="22"/>
                <w:szCs w:val="22"/>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22"/>
                <w:szCs w:val="22"/>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76"/>
        </w:trPr>
        <w:tc>
          <w:tcPr>
            <w:tcW w:w="3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dividends declared</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(4.0)</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64"/>
        </w:trPr>
        <w:tc>
          <w:tcPr>
            <w:tcW w:w="3080" w:type="dxa"/>
            <w:vAlign w:val="bottom"/>
          </w:tcPr>
          <w:p>
            <w:pPr>
              <w:ind w:left="300"/>
              <w:spacing w:after="0"/>
              <w:rPr>
                <w:sz w:val="20"/>
                <w:szCs w:val="20"/>
                <w:color w:val="auto"/>
              </w:rPr>
            </w:pPr>
            <w:r>
              <w:rPr>
                <w:rFonts w:ascii="Arial" w:cs="Arial" w:eastAsia="Arial" w:hAnsi="Arial"/>
                <w:sz w:val="14"/>
                <w:szCs w:val="14"/>
                <w:color w:val="auto"/>
                <w:w w:val="97"/>
              </w:rPr>
              <w:t>Amortization of share-based payment awards</w:t>
            </w: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4.2</w:t>
            </w:r>
          </w:p>
        </w:tc>
        <w:tc>
          <w:tcPr>
            <w:tcW w:w="20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4.2</w:t>
            </w:r>
          </w:p>
        </w:tc>
        <w:tc>
          <w:tcPr>
            <w:tcW w:w="180" w:type="dxa"/>
            <w:vAlign w:val="bottom"/>
          </w:tcPr>
          <w:p>
            <w:pPr>
              <w:spacing w:after="0"/>
              <w:rPr>
                <w:sz w:val="22"/>
                <w:szCs w:val="22"/>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3"/>
        </w:trPr>
        <w:tc>
          <w:tcPr>
            <w:tcW w:w="3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Issuance (cancellation) of common stock</w:t>
            </w: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related to share-based payment awards</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(0.3)</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57"/>
        </w:trPr>
        <w:tc>
          <w:tcPr>
            <w:tcW w:w="3080" w:type="dxa"/>
            <w:vAlign w:val="bottom"/>
          </w:tcPr>
          <w:p>
            <w:pPr>
              <w:ind w:left="300"/>
              <w:spacing w:after="0" w:line="157" w:lineRule="exact"/>
              <w:rPr>
                <w:sz w:val="20"/>
                <w:szCs w:val="20"/>
                <w:color w:val="auto"/>
              </w:rPr>
            </w:pPr>
            <w:r>
              <w:rPr>
                <w:rFonts w:ascii="Arial" w:cs="Arial" w:eastAsia="Arial" w:hAnsi="Arial"/>
                <w:sz w:val="14"/>
                <w:szCs w:val="14"/>
                <w:color w:val="auto"/>
              </w:rPr>
              <w:t>Purchases of common stock tendered by</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80" w:type="dxa"/>
            <w:vAlign w:val="bottom"/>
          </w:tcPr>
          <w:p>
            <w:pPr>
              <w:ind w:left="300"/>
              <w:spacing w:after="0" w:line="149" w:lineRule="exact"/>
              <w:rPr>
                <w:sz w:val="20"/>
                <w:szCs w:val="20"/>
                <w:color w:val="auto"/>
              </w:rPr>
            </w:pPr>
            <w:r>
              <w:rPr>
                <w:rFonts w:ascii="Arial" w:cs="Arial" w:eastAsia="Arial" w:hAnsi="Arial"/>
                <w:sz w:val="14"/>
                <w:szCs w:val="14"/>
                <w:color w:val="auto"/>
                <w:w w:val="98"/>
              </w:rPr>
              <w:t>employees to satisfy the required withholding</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80" w:type="dxa"/>
            <w:vAlign w:val="bottom"/>
          </w:tcPr>
          <w:p>
            <w:pPr>
              <w:ind w:left="300"/>
              <w:spacing w:after="0"/>
              <w:rPr>
                <w:sz w:val="20"/>
                <w:szCs w:val="20"/>
                <w:color w:val="auto"/>
              </w:rPr>
            </w:pPr>
            <w:r>
              <w:rPr>
                <w:rFonts w:ascii="Arial" w:cs="Arial" w:eastAsia="Arial" w:hAnsi="Arial"/>
                <w:sz w:val="14"/>
                <w:szCs w:val="14"/>
                <w:color w:val="auto"/>
                <w:w w:val="97"/>
              </w:rPr>
              <w:t>taxes related to share-based payment awards</w:t>
            </w: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6"/>
                <w:szCs w:val="16"/>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(0.3)</w:t>
            </w:r>
          </w:p>
        </w:tc>
        <w:tc>
          <w:tcPr>
            <w:tcW w:w="180" w:type="dxa"/>
            <w:vAlign w:val="bottom"/>
          </w:tcPr>
          <w:p>
            <w:pPr>
              <w:spacing w:after="0"/>
              <w:rPr>
                <w:sz w:val="16"/>
                <w:szCs w:val="16"/>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6"/>
        </w:trPr>
        <w:tc>
          <w:tcPr>
            <w:tcW w:w="3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comprehensive income (loss)</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0.8</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0.8</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(0.3)</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57"/>
        </w:trPr>
        <w:tc>
          <w:tcPr>
            <w:tcW w:w="3080" w:type="dxa"/>
            <w:vAlign w:val="bottom"/>
          </w:tcPr>
          <w:p>
            <w:pPr>
              <w:ind w:left="300"/>
              <w:spacing w:after="0" w:line="157" w:lineRule="exact"/>
              <w:rPr>
                <w:sz w:val="20"/>
                <w:szCs w:val="20"/>
                <w:color w:val="auto"/>
              </w:rPr>
            </w:pPr>
            <w:r>
              <w:rPr>
                <w:rFonts w:ascii="Arial" w:cs="Arial" w:eastAsia="Arial" w:hAnsi="Arial"/>
                <w:sz w:val="14"/>
                <w:szCs w:val="14"/>
                <w:color w:val="auto"/>
                <w:w w:val="95"/>
              </w:rPr>
              <w:t>Reclassification of certain tax effects from U.S.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Tax Reform</w:t>
            </w: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1.6</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1.6</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64"/>
        </w:trPr>
        <w:tc>
          <w:tcPr>
            <w:tcW w:w="30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Balance as of March 31, 2018</w:t>
            </w: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67.7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0.7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358.6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1,521.6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(125.7)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1,755.1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15.9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1,771.0</w:t>
            </w:r>
          </w:p>
        </w:tc>
        <w:tc>
          <w:tcPr>
            <w:tcW w:w="0" w:type="dxa"/>
            <w:vAlign w:val="bottom"/>
          </w:tcPr>
          <w:p>
            <w:pPr>
              <w:spacing w:after="0"/>
              <w:rPr>
                <w:sz w:val="1"/>
                <w:szCs w:val="1"/>
                <w:color w:val="auto"/>
              </w:rPr>
            </w:pP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1500" w:type="dxa"/>
            <w:vAlign w:val="bottom"/>
            <w:gridSpan w:val="3"/>
            <w:vMerge w:val="restart"/>
          </w:tcPr>
          <w:p>
            <w:pPr>
              <w:jc w:val="right"/>
              <w:ind w:right="249"/>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91"/>
              <w:spacing w:after="0"/>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3"/>
                <w:szCs w:val="13"/>
                <w:color w:val="auto"/>
              </w:rPr>
            </w:pPr>
          </w:p>
        </w:tc>
        <w:tc>
          <w:tcPr>
            <w:tcW w:w="940" w:type="dxa"/>
            <w:vAlign w:val="bottom"/>
          </w:tcPr>
          <w:p>
            <w:pPr>
              <w:jc w:val="center"/>
              <w:ind w:right="71"/>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080" w:type="dxa"/>
            <w:vAlign w:val="bottom"/>
          </w:tcPr>
          <w:p>
            <w:pPr>
              <w:spacing w:after="0"/>
              <w:rPr>
                <w:sz w:val="12"/>
                <w:szCs w:val="12"/>
                <w:color w:val="auto"/>
              </w:rPr>
            </w:pPr>
          </w:p>
        </w:tc>
        <w:tc>
          <w:tcPr>
            <w:tcW w:w="1500" w:type="dxa"/>
            <w:vAlign w:val="bottom"/>
            <w:tcBorders>
              <w:bottom w:val="single" w:sz="8" w:color="auto"/>
            </w:tcBorders>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right="131"/>
              <w:spacing w:after="0" w:line="140" w:lineRule="exact"/>
              <w:rPr>
                <w:sz w:val="20"/>
                <w:szCs w:val="20"/>
                <w:color w:val="auto"/>
              </w:rPr>
            </w:pPr>
            <w:r>
              <w:rPr>
                <w:rFonts w:ascii="Arial" w:cs="Arial" w:eastAsia="Arial" w:hAnsi="Arial"/>
                <w:sz w:val="13"/>
                <w:szCs w:val="13"/>
                <w:b w:val="1"/>
                <w:bCs w:val="1"/>
                <w:color w:val="auto"/>
                <w:w w:val="92"/>
              </w:rPr>
              <w:t>Capital in</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91"/>
              <w:spacing w:after="0" w:line="140"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2"/>
                <w:szCs w:val="12"/>
                <w:color w:val="auto"/>
              </w:rPr>
            </w:pPr>
          </w:p>
        </w:tc>
        <w:tc>
          <w:tcPr>
            <w:tcW w:w="940" w:type="dxa"/>
            <w:vAlign w:val="bottom"/>
          </w:tcPr>
          <w:p>
            <w:pPr>
              <w:jc w:val="center"/>
              <w:ind w:right="91"/>
              <w:spacing w:after="0" w:line="140" w:lineRule="exact"/>
              <w:rPr>
                <w:sz w:val="20"/>
                <w:szCs w:val="20"/>
                <w:color w:val="auto"/>
              </w:rPr>
            </w:pPr>
            <w:r>
              <w:rPr>
                <w:rFonts w:ascii="Arial" w:cs="Arial" w:eastAsia="Arial" w:hAnsi="Arial"/>
                <w:sz w:val="13"/>
                <w:szCs w:val="13"/>
                <w:b w:val="1"/>
                <w:bCs w:val="1"/>
                <w:color w:val="auto"/>
                <w:w w:val="92"/>
              </w:rPr>
              <w:t>World Fuel</w:t>
            </w:r>
          </w:p>
        </w:tc>
        <w:tc>
          <w:tcPr>
            <w:tcW w:w="180" w:type="dxa"/>
            <w:vAlign w:val="bottom"/>
          </w:tcPr>
          <w:p>
            <w:pPr>
              <w:spacing w:after="0"/>
              <w:rPr>
                <w:sz w:val="12"/>
                <w:szCs w:val="12"/>
                <w:color w:val="auto"/>
              </w:rPr>
            </w:pPr>
          </w:p>
        </w:tc>
        <w:tc>
          <w:tcPr>
            <w:tcW w:w="1020" w:type="dxa"/>
            <w:vAlign w:val="bottom"/>
          </w:tcPr>
          <w:p>
            <w:pPr>
              <w:jc w:val="center"/>
              <w:ind w:right="71"/>
              <w:spacing w:after="0" w:line="140" w:lineRule="exact"/>
              <w:rPr>
                <w:sz w:val="20"/>
                <w:szCs w:val="20"/>
                <w:color w:val="auto"/>
              </w:rPr>
            </w:pPr>
            <w:r>
              <w:rPr>
                <w:rFonts w:ascii="Arial" w:cs="Arial" w:eastAsia="Arial" w:hAnsi="Arial"/>
                <w:sz w:val="13"/>
                <w:szCs w:val="13"/>
                <w:b w:val="1"/>
                <w:bCs w:val="1"/>
                <w:color w:val="auto"/>
                <w:w w:val="86"/>
              </w:rPr>
              <w:t>Noncontrolling</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jc w:val="center"/>
              <w:ind w:right="131"/>
              <w:spacing w:after="0" w:line="110" w:lineRule="exact"/>
              <w:rPr>
                <w:sz w:val="20"/>
                <w:szCs w:val="20"/>
                <w:color w:val="auto"/>
              </w:rPr>
            </w:pPr>
            <w:r>
              <w:rPr>
                <w:rFonts w:ascii="Arial" w:cs="Arial" w:eastAsia="Arial" w:hAnsi="Arial"/>
                <w:sz w:val="12"/>
                <w:szCs w:val="12"/>
                <w:b w:val="1"/>
                <w:bCs w:val="1"/>
                <w:color w:val="auto"/>
                <w:w w:val="89"/>
              </w:rPr>
              <w:t>Excess of</w:t>
            </w:r>
          </w:p>
        </w:tc>
        <w:tc>
          <w:tcPr>
            <w:tcW w:w="200" w:type="dxa"/>
            <w:vAlign w:val="bottom"/>
          </w:tcPr>
          <w:p>
            <w:pPr>
              <w:spacing w:after="0"/>
              <w:rPr>
                <w:sz w:val="9"/>
                <w:szCs w:val="9"/>
                <w:color w:val="auto"/>
              </w:rPr>
            </w:pPr>
          </w:p>
        </w:tc>
        <w:tc>
          <w:tcPr>
            <w:tcW w:w="680" w:type="dxa"/>
            <w:vAlign w:val="bottom"/>
          </w:tcPr>
          <w:p>
            <w:pPr>
              <w:jc w:val="right"/>
              <w:ind w:right="110"/>
              <w:spacing w:after="0" w:line="110" w:lineRule="exact"/>
              <w:rPr>
                <w:sz w:val="20"/>
                <w:szCs w:val="20"/>
                <w:color w:val="auto"/>
              </w:rPr>
            </w:pPr>
            <w:r>
              <w:rPr>
                <w:rFonts w:ascii="Arial" w:cs="Arial" w:eastAsia="Arial" w:hAnsi="Arial"/>
                <w:sz w:val="12"/>
                <w:szCs w:val="12"/>
                <w:b w:val="1"/>
                <w:bCs w:val="1"/>
                <w:color w:val="auto"/>
                <w:w w:val="94"/>
              </w:rPr>
              <w:t>Retained</w:t>
            </w:r>
          </w:p>
        </w:tc>
        <w:tc>
          <w:tcPr>
            <w:tcW w:w="220" w:type="dxa"/>
            <w:vAlign w:val="bottom"/>
          </w:tcPr>
          <w:p>
            <w:pPr>
              <w:spacing w:after="0"/>
              <w:rPr>
                <w:sz w:val="9"/>
                <w:szCs w:val="9"/>
                <w:color w:val="auto"/>
              </w:rPr>
            </w:pPr>
          </w:p>
        </w:tc>
        <w:tc>
          <w:tcPr>
            <w:tcW w:w="1120" w:type="dxa"/>
            <w:vAlign w:val="bottom"/>
          </w:tcPr>
          <w:p>
            <w:pPr>
              <w:jc w:val="center"/>
              <w:ind w:right="91"/>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180" w:type="dxa"/>
            <w:vAlign w:val="bottom"/>
          </w:tcPr>
          <w:p>
            <w:pPr>
              <w:spacing w:after="0"/>
              <w:rPr>
                <w:sz w:val="9"/>
                <w:szCs w:val="9"/>
                <w:color w:val="auto"/>
              </w:rPr>
            </w:pPr>
          </w:p>
        </w:tc>
        <w:tc>
          <w:tcPr>
            <w:tcW w:w="940" w:type="dxa"/>
            <w:vAlign w:val="bottom"/>
          </w:tcPr>
          <w:p>
            <w:pPr>
              <w:jc w:val="center"/>
              <w:ind w:right="91"/>
              <w:spacing w:after="0" w:line="110" w:lineRule="exact"/>
              <w:rPr>
                <w:sz w:val="20"/>
                <w:szCs w:val="20"/>
                <w:color w:val="auto"/>
              </w:rPr>
            </w:pPr>
            <w:r>
              <w:rPr>
                <w:rFonts w:ascii="Arial" w:cs="Arial" w:eastAsia="Arial" w:hAnsi="Arial"/>
                <w:sz w:val="12"/>
                <w:szCs w:val="12"/>
                <w:b w:val="1"/>
                <w:bCs w:val="1"/>
                <w:color w:val="auto"/>
                <w:w w:val="92"/>
              </w:rPr>
              <w:t>Shareholders'</w:t>
            </w:r>
          </w:p>
        </w:tc>
        <w:tc>
          <w:tcPr>
            <w:tcW w:w="180" w:type="dxa"/>
            <w:vAlign w:val="bottom"/>
          </w:tcPr>
          <w:p>
            <w:pPr>
              <w:spacing w:after="0"/>
              <w:rPr>
                <w:sz w:val="9"/>
                <w:szCs w:val="9"/>
                <w:color w:val="auto"/>
              </w:rPr>
            </w:pPr>
          </w:p>
        </w:tc>
        <w:tc>
          <w:tcPr>
            <w:tcW w:w="1020" w:type="dxa"/>
            <w:vAlign w:val="bottom"/>
          </w:tcPr>
          <w:p>
            <w:pPr>
              <w:jc w:val="center"/>
              <w:ind w:right="91"/>
              <w:spacing w:after="0" w:line="110" w:lineRule="exact"/>
              <w:rPr>
                <w:sz w:val="20"/>
                <w:szCs w:val="20"/>
                <w:color w:val="auto"/>
              </w:rPr>
            </w:pPr>
            <w:r>
              <w:rPr>
                <w:rFonts w:ascii="Arial" w:cs="Arial" w:eastAsia="Arial" w:hAnsi="Arial"/>
                <w:sz w:val="12"/>
                <w:szCs w:val="12"/>
                <w:b w:val="1"/>
                <w:bCs w:val="1"/>
                <w:color w:val="auto"/>
                <w:w w:val="96"/>
              </w:rPr>
              <w:t>Interest</w:t>
            </w: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0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Shares</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1"/>
              <w:spacing w:after="0"/>
              <w:rPr>
                <w:sz w:val="20"/>
                <w:szCs w:val="20"/>
                <w:color w:val="auto"/>
              </w:rPr>
            </w:pPr>
            <w:r>
              <w:rPr>
                <w:rFonts w:ascii="Arial" w:cs="Arial" w:eastAsia="Arial" w:hAnsi="Arial"/>
                <w:sz w:val="13"/>
                <w:szCs w:val="13"/>
                <w:b w:val="1"/>
                <w:bCs w:val="1"/>
                <w:color w:val="auto"/>
                <w:w w:val="91"/>
              </w:rPr>
              <w:t>Par Value</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w w:val="89"/>
              </w:rPr>
              <w:t>Earnings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78"/>
              </w:rPr>
              <w:t>Loss</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0"/>
              </w:rPr>
              <w:t>Equity</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0"/>
              </w:rPr>
              <w:t>Equity</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Balance as of December 31, 2016</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69.9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0.7</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399.9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1,679.3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(154.8)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1,925.0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15.0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1,940.0</w:t>
            </w:r>
          </w:p>
        </w:tc>
        <w:tc>
          <w:tcPr>
            <w:tcW w:w="0" w:type="dxa"/>
            <w:vAlign w:val="bottom"/>
          </w:tcPr>
          <w:p>
            <w:pPr>
              <w:spacing w:after="0"/>
              <w:rPr>
                <w:sz w:val="1"/>
                <w:szCs w:val="1"/>
                <w:color w:val="auto"/>
              </w:rPr>
            </w:pPr>
          </w:p>
        </w:tc>
      </w:tr>
      <w:tr>
        <w:trPr>
          <w:trHeight w:val="264"/>
        </w:trPr>
        <w:tc>
          <w:tcPr>
            <w:tcW w:w="3080" w:type="dxa"/>
            <w:vAlign w:val="bottom"/>
          </w:tcPr>
          <w:p>
            <w:pPr>
              <w:ind w:left="300"/>
              <w:spacing w:after="0"/>
              <w:rPr>
                <w:sz w:val="20"/>
                <w:szCs w:val="20"/>
                <w:color w:val="auto"/>
              </w:rPr>
            </w:pPr>
            <w:r>
              <w:rPr>
                <w:rFonts w:ascii="Arial" w:cs="Arial" w:eastAsia="Arial" w:hAnsi="Arial"/>
                <w:sz w:val="14"/>
                <w:szCs w:val="14"/>
                <w:color w:val="auto"/>
              </w:rPr>
              <w:t>Net income</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31.3</w:t>
            </w:r>
          </w:p>
        </w:tc>
        <w:tc>
          <w:tcPr>
            <w:tcW w:w="220" w:type="dxa"/>
            <w:vAlign w:val="bottom"/>
          </w:tcPr>
          <w:p>
            <w:pPr>
              <w:spacing w:after="0"/>
              <w:rPr>
                <w:sz w:val="22"/>
                <w:szCs w:val="22"/>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31.3</w:t>
            </w:r>
          </w:p>
        </w:tc>
        <w:tc>
          <w:tcPr>
            <w:tcW w:w="18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(0.3)</w:t>
            </w:r>
          </w:p>
        </w:tc>
        <w:tc>
          <w:tcPr>
            <w:tcW w:w="220" w:type="dxa"/>
            <w:vAlign w:val="bottom"/>
          </w:tcPr>
          <w:p>
            <w:pPr>
              <w:spacing w:after="0"/>
              <w:rPr>
                <w:sz w:val="22"/>
                <w:szCs w:val="22"/>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276"/>
        </w:trPr>
        <w:tc>
          <w:tcPr>
            <w:tcW w:w="3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dividends declared</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(4.1)</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64"/>
        </w:trPr>
        <w:tc>
          <w:tcPr>
            <w:tcW w:w="3080" w:type="dxa"/>
            <w:vAlign w:val="bottom"/>
          </w:tcPr>
          <w:p>
            <w:pPr>
              <w:ind w:left="300"/>
              <w:spacing w:after="0"/>
              <w:rPr>
                <w:sz w:val="20"/>
                <w:szCs w:val="20"/>
                <w:color w:val="auto"/>
              </w:rPr>
            </w:pPr>
            <w:r>
              <w:rPr>
                <w:rFonts w:ascii="Arial" w:cs="Arial" w:eastAsia="Arial" w:hAnsi="Arial"/>
                <w:sz w:val="14"/>
                <w:szCs w:val="14"/>
                <w:color w:val="auto"/>
              </w:rPr>
              <w:t>Distribution of noncontrolling interest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6"/>
        </w:trPr>
        <w:tc>
          <w:tcPr>
            <w:tcW w:w="308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7"/>
              </w:rPr>
              <w:t>Amortization of share-based payment awards</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4.2</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4.2</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57"/>
        </w:trPr>
        <w:tc>
          <w:tcPr>
            <w:tcW w:w="3080" w:type="dxa"/>
            <w:vAlign w:val="bottom"/>
          </w:tcPr>
          <w:p>
            <w:pPr>
              <w:ind w:left="300"/>
              <w:spacing w:after="0" w:line="157" w:lineRule="exact"/>
              <w:rPr>
                <w:sz w:val="20"/>
                <w:szCs w:val="20"/>
                <w:color w:val="auto"/>
              </w:rPr>
            </w:pPr>
            <w:r>
              <w:rPr>
                <w:rFonts w:ascii="Arial" w:cs="Arial" w:eastAsia="Arial" w:hAnsi="Arial"/>
                <w:sz w:val="14"/>
                <w:szCs w:val="14"/>
                <w:color w:val="auto"/>
              </w:rPr>
              <w:t>Purchases of common stock tendered by</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80" w:type="dxa"/>
            <w:vAlign w:val="bottom"/>
          </w:tcPr>
          <w:p>
            <w:pPr>
              <w:ind w:left="300"/>
              <w:spacing w:after="0" w:line="149" w:lineRule="exact"/>
              <w:rPr>
                <w:sz w:val="20"/>
                <w:szCs w:val="20"/>
                <w:color w:val="auto"/>
              </w:rPr>
            </w:pPr>
            <w:r>
              <w:rPr>
                <w:rFonts w:ascii="Arial" w:cs="Arial" w:eastAsia="Arial" w:hAnsi="Arial"/>
                <w:sz w:val="14"/>
                <w:szCs w:val="14"/>
                <w:color w:val="auto"/>
                <w:w w:val="98"/>
              </w:rPr>
              <w:t>employees to satisfy the required withholding</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80" w:type="dxa"/>
            <w:vAlign w:val="bottom"/>
          </w:tcPr>
          <w:p>
            <w:pPr>
              <w:ind w:left="300"/>
              <w:spacing w:after="0"/>
              <w:rPr>
                <w:sz w:val="20"/>
                <w:szCs w:val="20"/>
                <w:color w:val="auto"/>
              </w:rPr>
            </w:pPr>
            <w:r>
              <w:rPr>
                <w:rFonts w:ascii="Arial" w:cs="Arial" w:eastAsia="Arial" w:hAnsi="Arial"/>
                <w:sz w:val="14"/>
                <w:szCs w:val="14"/>
                <w:color w:val="auto"/>
                <w:w w:val="97"/>
              </w:rPr>
              <w:t>taxes related to share-based payment awards</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6"/>
                <w:szCs w:val="16"/>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6"/>
                <w:szCs w:val="16"/>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6"/>
        </w:trPr>
        <w:tc>
          <w:tcPr>
            <w:tcW w:w="3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Purchases of common stock</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(11.1)</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(11.1)</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64"/>
        </w:trPr>
        <w:tc>
          <w:tcPr>
            <w:tcW w:w="30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Other comprehensive income (loss)</w:t>
            </w: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16.7</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16.7</w:t>
            </w: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0.2</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64"/>
        </w:trPr>
        <w:tc>
          <w:tcPr>
            <w:tcW w:w="30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Balance as of March 31, 2017</w:t>
            </w: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69.6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0.7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391.8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1,706.5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(138.1)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1,960.8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14.8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1,975.6</w:t>
            </w:r>
          </w:p>
        </w:tc>
        <w:tc>
          <w:tcPr>
            <w:tcW w:w="0" w:type="dxa"/>
            <w:vAlign w:val="bottom"/>
          </w:tcPr>
          <w:p>
            <w:pPr>
              <w:spacing w:after="0"/>
              <w:rPr>
                <w:sz w:val="1"/>
                <w:szCs w:val="1"/>
                <w:color w:val="auto"/>
              </w:rPr>
            </w:pP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125" w:right="3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10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23495</wp:posOffset>
            </wp:positionV>
            <wp:extent cx="2375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Net income including noncontrolling interest</w:t>
            </w: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31.3</w:t>
            </w:r>
          </w:p>
        </w:tc>
        <w:tc>
          <w:tcPr>
            <w:tcW w:w="5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31.1</w:t>
            </w:r>
          </w:p>
        </w:tc>
      </w:tr>
      <w:tr>
        <w:trPr>
          <w:trHeight w:val="270"/>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including noncontrolling interest to net cash provided by operating activities:</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114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18.8</w:t>
            </w:r>
          </w:p>
        </w:tc>
        <w:tc>
          <w:tcPr>
            <w:tcW w:w="5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22.6</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for bad debt</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Share-based payment award compensation costs</w:t>
            </w:r>
          </w:p>
        </w:tc>
        <w:tc>
          <w:tcPr>
            <w:tcW w:w="114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4.2</w:t>
            </w:r>
          </w:p>
        </w:tc>
        <w:tc>
          <w:tcPr>
            <w:tcW w:w="5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4.1</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 benefit</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Foreign currency losses (gains), net</w:t>
            </w:r>
          </w:p>
        </w:tc>
        <w:tc>
          <w:tcPr>
            <w:tcW w:w="114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2.6</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0.7</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Changes in assets and liabilities, net of acquisitions:</w:t>
            </w: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163"/>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9"/>
              </w:rPr>
              <w:t>Accounts receivable, net (reduced by beneficial interests received in exchange for accounts receivables sold of $121.3</w:t>
            </w:r>
          </w:p>
        </w:tc>
        <w:tc>
          <w:tcPr>
            <w:tcW w:w="1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94"/>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million and $74.0 million for the three months ended March 31, 2018 and 2017, respectively.)</w:t>
            </w:r>
          </w:p>
        </w:tc>
        <w:tc>
          <w:tcPr>
            <w:tcW w:w="1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(71.2)</w:t>
            </w:r>
          </w:p>
        </w:tc>
        <w:tc>
          <w:tcPr>
            <w:tcW w:w="5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56.7</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Inventories</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(84.8)</w:t>
            </w:r>
          </w:p>
        </w:tc>
        <w:tc>
          <w:tcPr>
            <w:tcW w:w="5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0.7</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Short-term derivative assets, net</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5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10.1</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assets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Cash collateral with financial counterparties</w:t>
            </w:r>
          </w:p>
        </w:tc>
        <w:tc>
          <w:tcPr>
            <w:tcW w:w="114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21.2</w:t>
            </w:r>
          </w:p>
        </w:tc>
        <w:tc>
          <w:tcPr>
            <w:tcW w:w="5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15.8</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non-current assets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(50.9)</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(44.7)</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Customer deposits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(30.2)</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(54.6)</w:t>
            </w:r>
          </w:p>
        </w:tc>
      </w:tr>
      <w:tr>
        <w:trPr>
          <w:trHeight w:val="270"/>
        </w:trPr>
        <w:tc>
          <w:tcPr>
            <w:tcW w:w="76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Non-current income tax, net and other long-term liabilities</w:t>
            </w:r>
          </w:p>
        </w:tc>
        <w:tc>
          <w:tcPr>
            <w:tcW w:w="1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5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64"/>
        </w:trPr>
        <w:tc>
          <w:tcPr>
            <w:tcW w:w="76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adjustments</w:t>
            </w:r>
          </w:p>
        </w:tc>
        <w:tc>
          <w:tcPr>
            <w:tcW w:w="1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(260.1)</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33.1</w:t>
            </w:r>
          </w:p>
        </w:tc>
      </w:tr>
      <w:tr>
        <w:trPr>
          <w:trHeight w:val="264"/>
        </w:trPr>
        <w:tc>
          <w:tcPr>
            <w:tcW w:w="7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1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(228.8)</w:t>
            </w:r>
          </w:p>
        </w:tc>
        <w:tc>
          <w:tcPr>
            <w:tcW w:w="5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64.1</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receipts of retained beneficial interests in receivable sales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120.0</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72.8</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Acquisition of businesses, net of cash acquired</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(22.0)</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(88.1)</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investing activities, net</w:t>
            </w:r>
          </w:p>
        </w:tc>
        <w:tc>
          <w:tcPr>
            <w:tcW w:w="1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r>
      <w:tr>
        <w:trPr>
          <w:trHeight w:val="264"/>
        </w:trPr>
        <w:tc>
          <w:tcPr>
            <w:tcW w:w="7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1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86.1</w:t>
            </w:r>
          </w:p>
        </w:tc>
        <w:tc>
          <w:tcPr>
            <w:tcW w:w="5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 of debt</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1,468.9</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818.8</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Repayments of debt</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(1,545.1)</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(922.5)</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 on common stock</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Purchases of common stock</w:t>
            </w:r>
          </w:p>
        </w:tc>
        <w:tc>
          <w:tcPr>
            <w:tcW w:w="114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270"/>
        </w:trPr>
        <w:tc>
          <w:tcPr>
            <w:tcW w:w="7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financing activities, net</w:t>
            </w:r>
          </w:p>
        </w:tc>
        <w:tc>
          <w:tcPr>
            <w:tcW w:w="1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5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Net cash used in financing activities</w:t>
            </w:r>
          </w:p>
        </w:tc>
        <w:tc>
          <w:tcPr>
            <w:tcW w:w="1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(80.8)</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w:t>
            </w:r>
          </w:p>
        </w:tc>
      </w:tr>
      <w:tr>
        <w:trPr>
          <w:trHeight w:val="264"/>
        </w:trPr>
        <w:tc>
          <w:tcPr>
            <w:tcW w:w="7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4.1</w:t>
            </w:r>
          </w:p>
        </w:tc>
        <w:tc>
          <w:tcPr>
            <w:tcW w:w="5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Net decrease in cash and cash equivalents</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(219.4)</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(79.3)</w:t>
            </w:r>
          </w:p>
        </w:tc>
      </w:tr>
      <w:tr>
        <w:trPr>
          <w:trHeight w:val="270"/>
        </w:trPr>
        <w:tc>
          <w:tcPr>
            <w:tcW w:w="7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as of beginning of period</w:t>
            </w:r>
          </w:p>
        </w:tc>
        <w:tc>
          <w:tcPr>
            <w:tcW w:w="1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372.3</w:t>
            </w:r>
          </w:p>
        </w:tc>
        <w:tc>
          <w:tcPr>
            <w:tcW w:w="5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698.6</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Cash and cash equivalents, as of end of period</w:t>
            </w: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152.9</w:t>
            </w:r>
          </w:p>
        </w:tc>
        <w:tc>
          <w:tcPr>
            <w:tcW w:w="5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619.3</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5" w:right="25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dividends declared, but not yet paid, were $4.0 million and $4.1 million as of March 31, 2018 and 2017,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Beneficial interests obtained in exchange for accounts receivable sold were $121.3 million and $74.0 million as of March 31, 2018 and 2017, respectively.</w:t>
      </w:r>
    </w:p>
    <w:p>
      <w:pPr>
        <w:spacing w:after="0" w:line="248"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240" w:top="125" w:right="5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11" w:lineRule="exact"/>
        <w:rPr>
          <w:sz w:val="20"/>
          <w:szCs w:val="20"/>
          <w:color w:val="auto"/>
        </w:rPr>
      </w:pPr>
    </w:p>
    <w:p>
      <w:pPr>
        <w:ind w:right="300" w:firstLine="324"/>
        <w:spacing w:after="0" w:line="223" w:lineRule="exact"/>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("10-Q Report") as “World Fuel,” “we,” “our” and “us.”</w:t>
      </w:r>
    </w:p>
    <w:p>
      <w:pPr>
        <w:spacing w:after="0" w:line="203"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are a leading global fuel services company, principally engaged in the distribution of fuel and related products and services in the aviation, marine and land transportation industries. In recent years, we have expanded our product and service offerings to include energy advisory services and supply fulfillment with respect to natural gas and power and transaction and payment management solutions to commercial and industrial customers. Our intention is to become a leading global energy management company offering a full suite of energy advisory, management and fulfillment services and technology solutions across the energy product spectrum. We also seek to become a leading transaction and payment management company, offering payment management solutions to commercial and industrial customers, principally in the aviation, land and marine transportation industries.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prepared the consolidated financial statements following the requirements of the United States (“U.S.”) Securities and Exchange Commission (“SEC”) for interim reporting. As permitted under those rules, certain footnotes or other financial information that are normally required by accounting principles generally accepted in the U.S. (“U.S. GAAP”) can be condensed or omitted.</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Revenues, expenses, assets and liabilities can vary during each quarter of the year. Therefore, the results and trends in these interim financial statements may not be representative of those for the full year. In our opinion, all adjustments necessary for a fair presentation of the financial statements, which are of a normal and recurring nature, have been made for the interim periods reported. The information included in this 10-Q Report should be read in conjunction with the consolidated financial statements and accompanying notes included in our 2017 Annual Report on Form 10-K (“2017 10-K Report”). Certain amounts in the consolidated financial statements and associated notes may not add due to rounding. All percentages have been calculated using unrounded amounts.</w:t>
      </w:r>
    </w:p>
    <w:p>
      <w:pPr>
        <w:spacing w:after="0" w:line="193"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7"/>
          <w:szCs w:val="17"/>
          <w:color w:val="auto"/>
        </w:rPr>
        <w:t>There have been no significant changes, other than those related to the adopted new accounting standards below, in the Company's accounting policies from those disclosed in our 2017 10</w:t>
      </w:r>
      <w:r>
        <w:rPr>
          <w:rFonts w:ascii="MS PGothic" w:cs="MS PGothic" w:eastAsia="MS PGothic" w:hAnsi="MS PGothic"/>
          <w:sz w:val="17"/>
          <w:szCs w:val="17"/>
          <w:color w:val="auto"/>
        </w:rPr>
        <w:t>‑</w:t>
      </w:r>
      <w:r>
        <w:rPr>
          <w:rFonts w:ascii="Arial" w:cs="Arial" w:eastAsia="Arial" w:hAnsi="Arial"/>
          <w:sz w:val="17"/>
          <w:szCs w:val="17"/>
          <w:color w:val="auto"/>
        </w:rPr>
        <w:t>K Report. The significant accounting policies we use for quarterly financial reporting are disclosed in Note 1 of the “Notes to the Consolidated Financial Statements” included in our 2017 10</w:t>
      </w:r>
      <w:r>
        <w:rPr>
          <w:rFonts w:ascii="MS PGothic" w:cs="MS PGothic" w:eastAsia="MS PGothic" w:hAnsi="MS PGothic"/>
          <w:sz w:val="17"/>
          <w:szCs w:val="17"/>
          <w:color w:val="auto"/>
        </w:rPr>
        <w:t>‑</w:t>
      </w:r>
      <w:r>
        <w:rPr>
          <w:rFonts w:ascii="Arial" w:cs="Arial" w:eastAsia="Arial" w:hAnsi="Arial"/>
          <w:sz w:val="17"/>
          <w:szCs w:val="17"/>
          <w:color w:val="auto"/>
        </w:rPr>
        <w:t>K Report, and in the adopted accounting standards below.</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Adoption of New Accounting Standard</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Revenue Recognition (Topic 606): Revenue from Contracts with Customers. </w:t>
      </w:r>
      <w:r>
        <w:rPr>
          <w:rFonts w:ascii="Arial" w:cs="Arial" w:eastAsia="Arial" w:hAnsi="Arial"/>
          <w:sz w:val="16"/>
          <w:szCs w:val="16"/>
          <w:color w:val="auto"/>
        </w:rPr>
        <w:t>In May 2014, ASU 2014-09 was issued. Under this ASU and subsequently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amendments, we recognize the amount of revenue when delivery is made and our customer obtains control, and we are entitled to compensation for performance completed. The updated standard replaced most existing revenue recognition guidance in U.S. GAAP. We adopted this standard as of January 1, 2018 using the modified retrospective adoption approach, and elected to apply it only to those contracts that were not considered completed contracts as of this adoption date. This approach required us to recognize the cumulative effect of initially applying the new standard as an adjustment to the opening balance of retained earnings. This cumulative adjustment did not have a material impact on our financial statements.</w:t>
      </w:r>
    </w:p>
    <w:p>
      <w:pPr>
        <w:spacing w:after="0" w:line="16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Income Statement - Reporting Comprehensive Income (Topic 220). </w:t>
      </w:r>
      <w:r>
        <w:rPr>
          <w:rFonts w:ascii="Arial" w:cs="Arial" w:eastAsia="Arial" w:hAnsi="Arial"/>
          <w:sz w:val="16"/>
          <w:szCs w:val="16"/>
          <w:color w:val="auto"/>
        </w:rPr>
        <w:t>In February 2018 ASU 2018-02, Reclassification of Certain Tax Effects from</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Other Comprehensive Income, was issued. ASU 2018-02 provides the option to reclassify stranded tax effects within AOCI to retained earnings in each period in which the effect of the change in the U.S. federal corporate tax rate in the Tax Cuts and Jobs Act is recorded. ASU 2018-02 is effective for fiscal years beginning after December 15, 2018, and interim periods within those years. Early adoption is permitted. This updated standard allows for adoption in the period of adoption or retrospectively to each period in which the effect of the change in the U.S. federal corporate income tax rate in the Tax Cuts and Jobs Act is recognized. We have adopted this updated standard and reclassified the tax rate disparity to retained earnings in the first quarter of 2018.</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Taxes (Topic 740). </w:t>
      </w:r>
      <w:r>
        <w:rPr>
          <w:rFonts w:ascii="Arial" w:cs="Arial" w:eastAsia="Arial" w:hAnsi="Arial"/>
          <w:sz w:val="18"/>
          <w:szCs w:val="18"/>
          <w:color w:val="auto"/>
        </w:rPr>
        <w:t>In March 2018 ASU 2018-05, Amendments to SEC Paragraphs Pursuant to SEC Staff Accounting Bulletin No. 118, was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ASU 2018-05 amends certain SEC material in Topic 740 for the income tax accounting implications of the recently issued Tax Cuts and Jobs Act (Act). We have adopted these amendments and where the accounting under Topic 740 is incomplete for certain specific income tax effects of the Act, we reported provisional amounts.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Business Combinations (Topic 805): Clarifying the Definition of a Business. </w:t>
      </w:r>
      <w:r>
        <w:rPr>
          <w:rFonts w:ascii="Arial" w:cs="Arial" w:eastAsia="Arial" w:hAnsi="Arial"/>
          <w:sz w:val="18"/>
          <w:szCs w:val="18"/>
          <w:color w:val="auto"/>
        </w:rPr>
        <w:t>In January 2017, ASU 2017-01 was issued. The update clarifies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a business with the objective of adding guidance to assist entities with evaluating whether transactions should be accounted for as acquisitions (or disposals) of businesses after adoption. This standard was effective at the beginning of our 2018 fiscal year and did not have a material impact on our consolidated financial statements and disclosures.</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Derivatives and Hedging (Topic 815): Targeted Improvements to Accounting for Hedging Activities. </w:t>
      </w:r>
      <w:r>
        <w:rPr>
          <w:rFonts w:ascii="Arial" w:cs="Arial" w:eastAsia="Arial" w:hAnsi="Arial"/>
          <w:sz w:val="17"/>
          <w:szCs w:val="17"/>
          <w:color w:val="auto"/>
        </w:rPr>
        <w:t>In August 2017, ASU 2017-12 was issued. The ASU</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is targeted at simplifying hedge accounting requirements, creating more transparency around how economic results are presented and disclosed on the consolidated financial statements and accompanying footnote disclosures. We early adopted this updated standard, which did not have a material impact on our consolidated financial statements. We have provided updated disclosures in </w:t>
      </w:r>
      <w:r>
        <w:rPr>
          <w:rFonts w:ascii="Arial" w:cs="Arial" w:eastAsia="Arial" w:hAnsi="Arial"/>
          <w:sz w:val="17"/>
          <w:szCs w:val="17"/>
          <w:i w:val="1"/>
          <w:iCs w:val="1"/>
          <w:color w:val="auto"/>
        </w:rPr>
        <w:t>Note 3. Derivatives.</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Cash Flows: Statement of Cash Flows (Topic 230): Classification of Certain Cash Receipts and Cash Payments. </w:t>
      </w:r>
      <w:r>
        <w:rPr>
          <w:rFonts w:ascii="Arial" w:cs="Arial" w:eastAsia="Arial" w:hAnsi="Arial"/>
          <w:sz w:val="16"/>
          <w:szCs w:val="16"/>
          <w:color w:val="auto"/>
        </w:rPr>
        <w:t>In August 2016 ASU 2016-15 was</w:t>
      </w:r>
      <w:r>
        <w:rPr>
          <w:rFonts w:ascii="Arial" w:cs="Arial" w:eastAsia="Arial" w:hAnsi="Arial"/>
          <w:sz w:val="16"/>
          <w:szCs w:val="16"/>
          <w:i w:val="1"/>
          <w:iCs w:val="1"/>
          <w:color w:val="auto"/>
        </w:rPr>
        <w:t xml:space="preserve"> </w:t>
      </w:r>
      <w:r>
        <w:rPr>
          <w:rFonts w:ascii="Arial" w:cs="Arial" w:eastAsia="Arial" w:hAnsi="Arial"/>
          <w:sz w:val="16"/>
          <w:szCs w:val="16"/>
          <w:color w:val="auto"/>
        </w:rPr>
        <w:t>issued. The ASU provides guidance on classification of eight specific cash flows items. This standard is effective at the beginning of our 2018 fiscal year and we have provided an updated line item attributable to retained beneficial interests associated with our receivables purchase agreements on our consolidated statements of cash flows. The adoption resulted in a $74.0 million retrospective reclassification of the beneficial interest received in exchange for accounts receivable sales for the three months ended March 31, 2017 from cash flows from operating activities to cash flows from investing activities.</w:t>
      </w:r>
    </w:p>
    <w:p>
      <w:pPr>
        <w:spacing w:after="0" w:line="15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Income Taxes (Topic 740): Intra-Entity Transfers of Assets Other than Inventory. </w:t>
      </w:r>
      <w:r>
        <w:rPr>
          <w:rFonts w:ascii="Arial" w:cs="Arial" w:eastAsia="Arial" w:hAnsi="Arial"/>
          <w:sz w:val="16"/>
          <w:szCs w:val="16"/>
          <w:color w:val="auto"/>
        </w:rPr>
        <w:t>In October 2016, ASU 2016-16 was issued. The update prohibits the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of current and deferred income taxes for an intra-entity asset transfer until the asset has been sold to an outside party. This standard is effective at the beginning of our 2018 fiscal year. The adoption of this ASU did not have a material impact on our consolidated financial statements and disclosures.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Cash Flows: Statement of Cash Flows (Topic 230): Restricted Cash. </w:t>
      </w:r>
      <w:r>
        <w:rPr>
          <w:rFonts w:ascii="Arial" w:cs="Arial" w:eastAsia="Arial" w:hAnsi="Arial"/>
          <w:sz w:val="18"/>
          <w:szCs w:val="18"/>
          <w:color w:val="auto"/>
        </w:rPr>
        <w:t>In November 2016, ASU 2016-18 was issued. The update requires that a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cash flows explain the change during the period in the total of cash, cash equivalents, and amounts generally described as restricted cash or restricted cash equivalents. This standard is effective at the beginning of our 2018 fiscal year. The adoption of this ASU did not have a material impact on our consolidated financial statements and disclosures.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1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Leases (Topic 842). </w:t>
      </w:r>
      <w:r>
        <w:rPr>
          <w:rFonts w:ascii="Arial" w:cs="Arial" w:eastAsia="Arial" w:hAnsi="Arial"/>
          <w:sz w:val="16"/>
          <w:szCs w:val="16"/>
          <w:color w:val="auto"/>
        </w:rPr>
        <w:t>In February 2016, ASU 2016-02, Leases, was issued. This standard will require all lessees to recognize a right of use asset and a</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to make lease payments (lease liability) on the balance sheet, except for leases with durations of twelve months or less. Lessees (for capital and operating leases) must apply a modified retrospective transition approach for leases existing at or after the beginning of the earliest comparative period presented in the consolidated financial statements. The modified retrospective approach would not require any transition accounting for leases that expired before the earliest comparative period presented. This standard is effective at the beginning of our 2019 fiscal year. We are currently evaluating whether the adoption of this new guidance will have a material impact on our consolidated financial statements and related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2018 Acquisition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quarter of 2018, we completed one acquisition in the land segment. The financial position, results of operations and cash flows of the 2018 acquisition has been included in our consolidated financial statements since its respective acquisition date and did not have a material impact on our consolidated revenue and net income for the three months ended March 31, 2018.</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2017 Acquisitions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quarter of 2016, we signed a definitive agreement to acquire from certain ExxonMobil affiliates their aviation fueling operations at more than 80 airport locations in Canada, the United Kingdom ("U.K."), Germany, Italy, France, Australia and New Zealand. During 2016, we completed the acquisitions of the aviation fueling operations in Canada, the U.K. and France. During the first quarter of 2017, we completed the acquisition of substantially all of the remaining airport locations in Italy, Germany, Australia and New Zealand.</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above acquisitions, we completed two acquisitions during the first quarter of 2017 which were not significant individually or in the aggregate.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aggregate consideration paid for acquisitions in the first quarter of 2017 and the amounts of the assets acquired and liabilities assumed, recognized at the acquisition date.</w:t>
      </w:r>
    </w:p>
    <w:p>
      <w:pPr>
        <w:spacing w:after="0" w:line="396"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7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9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paid for acquisition of businesses</w:t>
            </w: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87.1</w:t>
            </w:r>
          </w:p>
        </w:tc>
        <w:tc>
          <w:tcPr>
            <w:tcW w:w="0" w:type="dxa"/>
            <w:vAlign w:val="bottom"/>
          </w:tcPr>
          <w:p>
            <w:pPr>
              <w:spacing w:after="0"/>
              <w:rPr>
                <w:sz w:val="1"/>
                <w:szCs w:val="1"/>
                <w:color w:val="auto"/>
              </w:rPr>
            </w:pPr>
          </w:p>
        </w:tc>
      </w:tr>
      <w:tr>
        <w:trPr>
          <w:trHeight w:val="264"/>
        </w:trPr>
        <w:tc>
          <w:tcPr>
            <w:tcW w:w="9420" w:type="dxa"/>
            <w:vAlign w:val="bottom"/>
          </w:tcPr>
          <w:p>
            <w:pPr>
              <w:ind w:left="20"/>
              <w:spacing w:after="0"/>
              <w:rPr>
                <w:sz w:val="20"/>
                <w:szCs w:val="20"/>
                <w:color w:val="auto"/>
              </w:rPr>
            </w:pPr>
            <w:r>
              <w:rPr>
                <w:rFonts w:ascii="Arial" w:cs="Arial" w:eastAsia="Arial" w:hAnsi="Arial"/>
                <w:sz w:val="14"/>
                <w:szCs w:val="14"/>
                <w:color w:val="auto"/>
              </w:rPr>
              <w:t>Amounts due to sellers</w:t>
            </w:r>
          </w:p>
        </w:tc>
        <w:tc>
          <w:tcPr>
            <w:tcW w:w="7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97"/>
        </w:trPr>
        <w:tc>
          <w:tcPr>
            <w:tcW w:w="9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Non-monetary consideration</w:t>
            </w:r>
          </w:p>
        </w:tc>
        <w:tc>
          <w:tcPr>
            <w:tcW w:w="7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55"/>
        </w:trPr>
        <w:tc>
          <w:tcPr>
            <w:tcW w:w="942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Purchase price</w:t>
            </w: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95.7</w:t>
            </w:r>
          </w:p>
        </w:tc>
        <w:tc>
          <w:tcPr>
            <w:tcW w:w="0" w:type="dxa"/>
            <w:vAlign w:val="bottom"/>
          </w:tcPr>
          <w:p>
            <w:pPr>
              <w:spacing w:after="0"/>
              <w:rPr>
                <w:sz w:val="1"/>
                <w:szCs w:val="1"/>
                <w:color w:val="auto"/>
              </w:rPr>
            </w:pPr>
          </w:p>
        </w:tc>
      </w:tr>
      <w:tr>
        <w:trPr>
          <w:trHeight w:val="305"/>
        </w:trPr>
        <w:tc>
          <w:tcPr>
            <w:tcW w:w="94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420" w:type="dxa"/>
            <w:vAlign w:val="bottom"/>
          </w:tcPr>
          <w:p>
            <w:pPr>
              <w:ind w:left="20"/>
              <w:spacing w:after="0"/>
              <w:rPr>
                <w:sz w:val="20"/>
                <w:szCs w:val="20"/>
                <w:color w:val="auto"/>
              </w:rPr>
            </w:pPr>
            <w:r>
              <w:rPr>
                <w:rFonts w:ascii="Arial" w:cs="Arial" w:eastAsia="Arial" w:hAnsi="Arial"/>
                <w:sz w:val="14"/>
                <w:szCs w:val="14"/>
                <w:b w:val="1"/>
                <w:bCs w:val="1"/>
                <w:color w:val="auto"/>
              </w:rPr>
              <w:t>Assets acquired:</w:t>
            </w:r>
          </w:p>
        </w:tc>
        <w:tc>
          <w:tcPr>
            <w:tcW w:w="7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w:t>
            </w:r>
          </w:p>
        </w:tc>
        <w:tc>
          <w:tcPr>
            <w:tcW w:w="7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64"/>
        </w:trPr>
        <w:tc>
          <w:tcPr>
            <w:tcW w:w="9420" w:type="dxa"/>
            <w:vAlign w:val="bottom"/>
          </w:tcPr>
          <w:p>
            <w:pPr>
              <w:ind w:left="20"/>
              <w:spacing w:after="0"/>
              <w:rPr>
                <w:sz w:val="20"/>
                <w:szCs w:val="20"/>
                <w:color w:val="auto"/>
              </w:rPr>
            </w:pPr>
            <w:r>
              <w:rPr>
                <w:rFonts w:ascii="Arial" w:cs="Arial" w:eastAsia="Arial" w:hAnsi="Arial"/>
                <w:sz w:val="14"/>
                <w:szCs w:val="14"/>
                <w:color w:val="auto"/>
              </w:rPr>
              <w:t>Goodwill and identifiable intangible assets</w:t>
            </w:r>
          </w:p>
        </w:tc>
        <w:tc>
          <w:tcPr>
            <w:tcW w:w="7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276"/>
        </w:trPr>
        <w:tc>
          <w:tcPr>
            <w:tcW w:w="9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and long-term assets</w:t>
            </w:r>
          </w:p>
        </w:tc>
        <w:tc>
          <w:tcPr>
            <w:tcW w:w="7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324"/>
        </w:trPr>
        <w:tc>
          <w:tcPr>
            <w:tcW w:w="9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assumed:</w:t>
            </w:r>
          </w:p>
        </w:tc>
        <w:tc>
          <w:tcPr>
            <w:tcW w:w="7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Long-term liabilities and deferred tax liabilities</w:t>
            </w:r>
          </w:p>
        </w:tc>
        <w:tc>
          <w:tcPr>
            <w:tcW w:w="7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43"/>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Purchase price</w:t>
            </w: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95.7</w:t>
            </w:r>
          </w:p>
        </w:tc>
        <w:tc>
          <w:tcPr>
            <w:tcW w:w="0" w:type="dxa"/>
            <w:vAlign w:val="bottom"/>
          </w:tcPr>
          <w:p>
            <w:pPr>
              <w:spacing w:after="0"/>
              <w:rPr>
                <w:sz w:val="1"/>
                <w:szCs w:val="1"/>
                <w:color w:val="auto"/>
              </w:rPr>
            </w:pPr>
          </w:p>
        </w:tc>
      </w:tr>
      <w:tr>
        <w:trPr>
          <w:trHeight w:val="20"/>
        </w:trPr>
        <w:tc>
          <w:tcPr>
            <w:tcW w:w="9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goodwill assigned, of which $25.9 million is anticipated to be deductible for tax purposes, is attributable primarily to the expected synergies and other benefits that we believe will result from combining the operations acquired with the operations of our aviation segment. The identifiable intangible assets consists of $43.0 million of customer relationships with weighted average lives of 6.4 years.</w:t>
      </w:r>
    </w:p>
    <w:p>
      <w:pPr>
        <w:spacing w:after="0" w:line="18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financial position, results of operations and cash flows of the 2017 acquisitions have been included in our consolidated financial statements since their respective acquisition dates and did not have a significant impact on our revenue and net income for the three months ended March 31, 2017. Pro forma information for the 2017 acquisitions has not been provided as the impact is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Derivatives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enter into financial derivative contracts in order to mitigate the risk of market price fluctuations in aviation, land and marine fuel, to offer our customers fuel pricing alternatives to meet their needs and to mitigate the risk of fluctuations in foreign currency exchange rates. If the derivative instrument is not designated in a hedge relationship, changes in the estimated fair market value are recognized as a component of revenue, cost of revenue or other income (expense), in the consolidated statements of income and comprehensive income.</w:t>
      </w:r>
    </w:p>
    <w:p>
      <w:pPr>
        <w:spacing w:after="0" w:line="18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Derivatives which qualify for hedge accounting may be designated as either a fair value or cash flow hedge. For our fair value hedges, changes in the estimated fair market value of the hedging instrument and the hedged item are recognized in the same line item as the underlying transaction type in the consolidated statements of income and comprehensive income. The gains or losses on derivative instruments designated as cash flow hedges of forecasted transactions are initially reported as a component of accumulated other comprehensive income and subsequently reclassified into earnings once the future transactions affects earnings.</w:t>
      </w:r>
    </w:p>
    <w:p>
      <w:pPr>
        <w:spacing w:after="0" w:line="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Cash flows for our hedging instruments are classified in the same category as the underlying hedged items. If for any reason hedge accounting is discontinued, then any cash flows subsequent to the date of discontinuance will be classified in a manner consistent with the nature of the instrument.</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our derivative classifications: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Cash Flow Hedges. </w:t>
      </w:r>
      <w:r>
        <w:rPr>
          <w:rFonts w:ascii="Arial" w:cs="Arial" w:eastAsia="Arial" w:hAnsi="Arial"/>
          <w:sz w:val="16"/>
          <w:szCs w:val="16"/>
          <w:color w:val="auto"/>
        </w:rPr>
        <w:t>Includes certain derivative contracts we execute to mitigate the risk of price or foreign currency volatility in forecasted transactions.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 contracts we hold to hedge the risk of changes in the price of our inventory.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Includes derivatives we primarily transact to mitigate the risk of market price fluctuations in the form of swaps or futures</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as well as certain forward fixed price purchase and sale contracts, and for portfolio optimization. In addition, non-designated derivatives are held to hedge the risk of currency rate fluctuations.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gross fair value of our derivative instruments and their locations on the consolidated balance sheets (in millions):</w:t>
      </w: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4"/>
          </w:tcPr>
          <w:p>
            <w:pPr>
              <w:ind w:left="380"/>
              <w:spacing w:after="0"/>
              <w:rPr>
                <w:sz w:val="20"/>
                <w:szCs w:val="20"/>
                <w:color w:val="auto"/>
              </w:rPr>
            </w:pPr>
            <w:r>
              <w:rPr>
                <w:rFonts w:ascii="Arial" w:cs="Arial" w:eastAsia="Arial" w:hAnsi="Arial"/>
                <w:sz w:val="14"/>
                <w:szCs w:val="14"/>
                <w:b w:val="1"/>
                <w:bCs w:val="1"/>
                <w:color w:val="auto"/>
              </w:rPr>
              <w:t>Gross Derivative Assets</w:t>
            </w:r>
          </w:p>
        </w:tc>
        <w:tc>
          <w:tcPr>
            <w:tcW w:w="200" w:type="dxa"/>
            <w:vAlign w:val="bottom"/>
          </w:tcPr>
          <w:p>
            <w:pPr>
              <w:spacing w:after="0"/>
              <w:rPr>
                <w:sz w:val="16"/>
                <w:szCs w:val="16"/>
                <w:color w:val="auto"/>
              </w:rPr>
            </w:pPr>
          </w:p>
        </w:tc>
        <w:tc>
          <w:tcPr>
            <w:tcW w:w="236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Gross Derivative Liabilities</w:t>
            </w:r>
          </w:p>
        </w:tc>
      </w:tr>
      <w:tr>
        <w:trPr>
          <w:trHeight w:val="203"/>
        </w:trPr>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5"/>
              </w:rPr>
              <w:t>As of</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5"/>
              </w:rPr>
              <w:t>As of</w:t>
            </w:r>
          </w:p>
        </w:tc>
        <w:tc>
          <w:tcPr>
            <w:tcW w:w="1080" w:type="dxa"/>
            <w:vAlign w:val="bottom"/>
          </w:tcPr>
          <w:p>
            <w:pPr>
              <w:spacing w:after="0"/>
              <w:rPr>
                <w:sz w:val="17"/>
                <w:szCs w:val="17"/>
                <w:color w:val="auto"/>
              </w:rPr>
            </w:pPr>
          </w:p>
        </w:tc>
      </w:tr>
      <w:tr>
        <w:trPr>
          <w:trHeight w:val="80"/>
        </w:trPr>
        <w:tc>
          <w:tcPr>
            <w:tcW w:w="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252"/>
        </w:trPr>
        <w:tc>
          <w:tcPr>
            <w:tcW w:w="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21"/>
                <w:szCs w:val="21"/>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21"/>
                <w:szCs w:val="21"/>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w w:val="94"/>
              </w:rPr>
              <w:t>December 31,</w:t>
            </w:r>
          </w:p>
        </w:tc>
      </w:tr>
      <w:tr>
        <w:trPr>
          <w:trHeight w:val="276"/>
        </w:trPr>
        <w:tc>
          <w:tcPr>
            <w:tcW w:w="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190"/>
        </w:trPr>
        <w:tc>
          <w:tcPr>
            <w:tcW w:w="4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Arial" w:cs="Arial" w:eastAsia="Arial" w:hAnsi="Arial"/>
                <w:sz w:val="14"/>
                <w:szCs w:val="14"/>
                <w:b w:val="1"/>
                <w:bCs w:val="1"/>
                <w:color w:val="auto"/>
              </w:rPr>
              <w:t>Derivative Instruments</w:t>
            </w:r>
          </w:p>
        </w:tc>
        <w:tc>
          <w:tcPr>
            <w:tcW w:w="4160" w:type="dxa"/>
            <w:vAlign w:val="bottom"/>
            <w:gridSpan w:val="4"/>
          </w:tcPr>
          <w:p>
            <w:pPr>
              <w:ind w:left="200"/>
              <w:spacing w:after="0"/>
              <w:rPr>
                <w:sz w:val="20"/>
                <w:szCs w:val="20"/>
                <w:color w:val="auto"/>
              </w:rPr>
            </w:pPr>
            <w:r>
              <w:rPr>
                <w:rFonts w:ascii="Arial" w:cs="Arial" w:eastAsia="Arial" w:hAnsi="Arial"/>
                <w:sz w:val="14"/>
                <w:szCs w:val="14"/>
                <w:b w:val="1"/>
                <w:bCs w:val="1"/>
                <w:color w:val="auto"/>
              </w:rPr>
              <w:t>Consolidated Balance Sheets location</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80"/>
        </w:trPr>
        <w:tc>
          <w:tcPr>
            <w:tcW w:w="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8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156"/>
        </w:trPr>
        <w:tc>
          <w:tcPr>
            <w:tcW w:w="40" w:type="dxa"/>
            <w:vAlign w:val="bottom"/>
            <w:shd w:val="clear" w:color="auto" w:fill="CCEEFF"/>
          </w:tcPr>
          <w:p>
            <w:pPr>
              <w:spacing w:after="0"/>
              <w:rPr>
                <w:sz w:val="13"/>
                <w:szCs w:val="13"/>
                <w:color w:val="auto"/>
              </w:rPr>
            </w:pPr>
          </w:p>
        </w:tc>
        <w:tc>
          <w:tcPr>
            <w:tcW w:w="6000" w:type="dxa"/>
            <w:vAlign w:val="bottom"/>
            <w:gridSpan w:val="5"/>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Derivatives designated as hedging instruments</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1840" w:type="dxa"/>
            <w:vAlign w:val="bottom"/>
            <w:tcBorders>
              <w:top w:val="single" w:sz="8" w:color="auto"/>
            </w:tcBorders>
            <w:shd w:val="clear" w:color="auto" w:fill="CCEEFF"/>
          </w:tcPr>
          <w:p>
            <w:pPr>
              <w:spacing w:after="0"/>
              <w:rPr>
                <w:sz w:val="7"/>
                <w:szCs w:val="7"/>
                <w:color w:val="auto"/>
              </w:rPr>
            </w:pPr>
          </w:p>
        </w:tc>
        <w:tc>
          <w:tcPr>
            <w:tcW w:w="100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28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94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CCEEFF"/>
            </w:tcBorders>
            <w:shd w:val="clear" w:color="auto" w:fill="CCEEFF"/>
          </w:tcPr>
          <w:p>
            <w:pPr>
              <w:spacing w:after="0"/>
              <w:rPr>
                <w:sz w:val="7"/>
                <w:szCs w:val="7"/>
                <w:color w:val="auto"/>
              </w:rPr>
            </w:pPr>
          </w:p>
        </w:tc>
        <w:tc>
          <w:tcPr>
            <w:tcW w:w="10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1080" w:type="dxa"/>
            <w:vAlign w:val="bottom"/>
            <w:tcBorders>
              <w:top w:val="single" w:sz="8" w:color="CCEEFF"/>
            </w:tcBorders>
            <w:shd w:val="clear" w:color="auto" w:fill="CCEEFF"/>
          </w:tcPr>
          <w:p>
            <w:pPr>
              <w:spacing w:after="0"/>
              <w:rPr>
                <w:sz w:val="7"/>
                <w:szCs w:val="7"/>
                <w:color w:val="auto"/>
              </w:rPr>
            </w:pPr>
          </w:p>
        </w:tc>
      </w:tr>
      <w:tr>
        <w:trPr>
          <w:trHeight w:val="191"/>
        </w:trPr>
        <w:tc>
          <w:tcPr>
            <w:tcW w:w="40" w:type="dxa"/>
            <w:vAlign w:val="bottom"/>
          </w:tcPr>
          <w:p>
            <w:pPr>
              <w:spacing w:after="0"/>
              <w:rPr>
                <w:sz w:val="16"/>
                <w:szCs w:val="16"/>
                <w:color w:val="auto"/>
              </w:rPr>
            </w:pPr>
          </w:p>
        </w:tc>
        <w:tc>
          <w:tcPr>
            <w:tcW w:w="1840" w:type="dxa"/>
            <w:vAlign w:val="bottom"/>
          </w:tcPr>
          <w:p>
            <w:pPr>
              <w:ind w:left="100"/>
              <w:spacing w:after="0"/>
              <w:rPr>
                <w:sz w:val="20"/>
                <w:szCs w:val="20"/>
                <w:color w:val="auto"/>
              </w:rPr>
            </w:pPr>
            <w:r>
              <w:rPr>
                <w:rFonts w:ascii="Arial" w:cs="Arial" w:eastAsia="Arial" w:hAnsi="Arial"/>
                <w:sz w:val="14"/>
                <w:szCs w:val="14"/>
                <w:color w:val="auto"/>
              </w:rPr>
              <w:t>Commodity contracts</w:t>
            </w:r>
          </w:p>
        </w:tc>
        <w:tc>
          <w:tcPr>
            <w:tcW w:w="4160" w:type="dxa"/>
            <w:vAlign w:val="bottom"/>
            <w:gridSpan w:val="4"/>
          </w:tcPr>
          <w:p>
            <w:pPr>
              <w:ind w:left="200"/>
              <w:spacing w:after="0"/>
              <w:rPr>
                <w:sz w:val="20"/>
                <w:szCs w:val="20"/>
                <w:color w:val="auto"/>
              </w:rPr>
            </w:pPr>
            <w:r>
              <w:rPr>
                <w:rFonts w:ascii="Arial" w:cs="Arial" w:eastAsia="Arial" w:hAnsi="Arial"/>
                <w:sz w:val="14"/>
                <w:szCs w:val="14"/>
                <w:color w:val="auto"/>
              </w:rPr>
              <w:t>Short-term derivative assets, net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0.5</w:t>
            </w:r>
          </w:p>
        </w:tc>
      </w:tr>
      <w:tr>
        <w:trPr>
          <w:trHeight w:val="80"/>
        </w:trPr>
        <w:tc>
          <w:tcPr>
            <w:tcW w:w="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91"/>
        </w:trPr>
        <w:tc>
          <w:tcPr>
            <w:tcW w:w="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1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w:t>
            </w:r>
          </w:p>
        </w:tc>
      </w:tr>
      <w:tr>
        <w:trPr>
          <w:trHeight w:val="80"/>
        </w:trPr>
        <w:tc>
          <w:tcPr>
            <w:tcW w:w="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r>
      <w:tr>
        <w:trPr>
          <w:trHeight w:val="184"/>
        </w:trPr>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11.5</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29.1</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43.6</w:t>
            </w:r>
          </w:p>
        </w:tc>
      </w:tr>
      <w:tr>
        <w:trPr>
          <w:trHeight w:val="80"/>
        </w:trPr>
        <w:tc>
          <w:tcPr>
            <w:tcW w:w="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284"/>
        </w:trPr>
        <w:tc>
          <w:tcPr>
            <w:tcW w:w="4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91"/>
        </w:trPr>
        <w:tc>
          <w:tcPr>
            <w:tcW w:w="40" w:type="dxa"/>
            <w:vAlign w:val="bottom"/>
          </w:tcPr>
          <w:p>
            <w:pPr>
              <w:spacing w:after="0"/>
              <w:rPr>
                <w:sz w:val="16"/>
                <w:szCs w:val="16"/>
                <w:color w:val="auto"/>
              </w:rPr>
            </w:pPr>
          </w:p>
        </w:tc>
        <w:tc>
          <w:tcPr>
            <w:tcW w:w="184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4160" w:type="dxa"/>
            <w:vAlign w:val="bottom"/>
            <w:gridSpan w:val="4"/>
          </w:tcPr>
          <w:p>
            <w:pPr>
              <w:ind w:left="200"/>
              <w:spacing w:after="0"/>
              <w:rPr>
                <w:sz w:val="20"/>
                <w:szCs w:val="20"/>
                <w:color w:val="auto"/>
              </w:rPr>
            </w:pPr>
            <w:r>
              <w:rPr>
                <w:rFonts w:ascii="Arial" w:cs="Arial" w:eastAsia="Arial" w:hAnsi="Arial"/>
                <w:sz w:val="14"/>
                <w:szCs w:val="14"/>
                <w:color w:val="auto"/>
              </w:rPr>
              <w:t>Short-term derivative assets, net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0.1</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80"/>
        </w:trPr>
        <w:tc>
          <w:tcPr>
            <w:tcW w:w="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91"/>
        </w:trPr>
        <w:tc>
          <w:tcPr>
            <w:tcW w:w="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1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3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80"/>
        </w:trPr>
        <w:tc>
          <w:tcPr>
            <w:tcW w:w="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r>
      <w:tr>
        <w:trPr>
          <w:trHeight w:val="184"/>
        </w:trPr>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5.7</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80"/>
        </w:trPr>
        <w:tc>
          <w:tcPr>
            <w:tcW w:w="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8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184"/>
        </w:trPr>
        <w:tc>
          <w:tcPr>
            <w:tcW w:w="40" w:type="dxa"/>
            <w:vAlign w:val="bottom"/>
            <w:shd w:val="clear" w:color="auto" w:fill="CCEEFF"/>
          </w:tcPr>
          <w:p>
            <w:pPr>
              <w:spacing w:after="0"/>
              <w:rPr>
                <w:sz w:val="16"/>
                <w:szCs w:val="16"/>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w:t>
            </w:r>
          </w:p>
        </w:tc>
      </w:tr>
      <w:tr>
        <w:trPr>
          <w:trHeight w:val="80"/>
        </w:trPr>
        <w:tc>
          <w:tcPr>
            <w:tcW w:w="40" w:type="dxa"/>
            <w:vAlign w:val="bottom"/>
            <w:shd w:val="clear" w:color="auto" w:fill="CCEEFF"/>
          </w:tcPr>
          <w:p>
            <w:pPr>
              <w:spacing w:after="0"/>
              <w:rPr>
                <w:sz w:val="6"/>
                <w:szCs w:val="6"/>
                <w:color w:val="auto"/>
              </w:rPr>
            </w:pPr>
          </w:p>
        </w:tc>
        <w:tc>
          <w:tcPr>
            <w:tcW w:w="2840" w:type="dxa"/>
            <w:vAlign w:val="bottom"/>
            <w:gridSpan w:val="2"/>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r>
      <w:tr>
        <w:trPr>
          <w:trHeight w:val="284"/>
        </w:trPr>
        <w:tc>
          <w:tcPr>
            <w:tcW w:w="40" w:type="dxa"/>
            <w:vAlign w:val="bottom"/>
          </w:tcPr>
          <w:p>
            <w:pPr>
              <w:spacing w:after="0"/>
              <w:rPr>
                <w:sz w:val="24"/>
                <w:szCs w:val="24"/>
                <w:color w:val="auto"/>
              </w:rPr>
            </w:pPr>
          </w:p>
        </w:tc>
        <w:tc>
          <w:tcPr>
            <w:tcW w:w="284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2"/>
        </w:trPr>
        <w:tc>
          <w:tcPr>
            <w:tcW w:w="40" w:type="dxa"/>
            <w:vAlign w:val="bottom"/>
            <w:shd w:val="clear" w:color="auto" w:fill="CCEEFF"/>
          </w:tcPr>
          <w:p>
            <w:pPr>
              <w:spacing w:after="0"/>
              <w:rPr>
                <w:sz w:val="14"/>
                <w:szCs w:val="14"/>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1840" w:type="dxa"/>
            <w:vAlign w:val="bottom"/>
            <w:tcBorders>
              <w:top w:val="single" w:sz="8" w:color="auto"/>
            </w:tcBorders>
            <w:shd w:val="clear" w:color="auto" w:fill="CCEEFF"/>
          </w:tcPr>
          <w:p>
            <w:pPr>
              <w:spacing w:after="0"/>
              <w:rPr>
                <w:sz w:val="7"/>
                <w:szCs w:val="7"/>
                <w:color w:val="auto"/>
              </w:rPr>
            </w:pPr>
          </w:p>
        </w:tc>
        <w:tc>
          <w:tcPr>
            <w:tcW w:w="100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28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94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CCEEFF"/>
            </w:tcBorders>
            <w:shd w:val="clear" w:color="auto" w:fill="CCEEFF"/>
          </w:tcPr>
          <w:p>
            <w:pPr>
              <w:spacing w:after="0"/>
              <w:rPr>
                <w:sz w:val="7"/>
                <w:szCs w:val="7"/>
                <w:color w:val="auto"/>
              </w:rPr>
            </w:pPr>
          </w:p>
        </w:tc>
        <w:tc>
          <w:tcPr>
            <w:tcW w:w="10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1080" w:type="dxa"/>
            <w:vAlign w:val="bottom"/>
            <w:tcBorders>
              <w:top w:val="single" w:sz="8" w:color="CCEEFF"/>
            </w:tcBorders>
            <w:shd w:val="clear" w:color="auto" w:fill="CCEEFF"/>
          </w:tcPr>
          <w:p>
            <w:pPr>
              <w:spacing w:after="0"/>
              <w:rPr>
                <w:sz w:val="7"/>
                <w:szCs w:val="7"/>
                <w:color w:val="auto"/>
              </w:rPr>
            </w:pPr>
          </w:p>
        </w:tc>
      </w:tr>
      <w:tr>
        <w:trPr>
          <w:trHeight w:val="191"/>
        </w:trPr>
        <w:tc>
          <w:tcPr>
            <w:tcW w:w="40" w:type="dxa"/>
            <w:vAlign w:val="bottom"/>
          </w:tcPr>
          <w:p>
            <w:pPr>
              <w:spacing w:after="0"/>
              <w:rPr>
                <w:sz w:val="16"/>
                <w:szCs w:val="16"/>
                <w:color w:val="auto"/>
              </w:rPr>
            </w:pPr>
          </w:p>
        </w:tc>
        <w:tc>
          <w:tcPr>
            <w:tcW w:w="1840" w:type="dxa"/>
            <w:vAlign w:val="bottom"/>
          </w:tcPr>
          <w:p>
            <w:pPr>
              <w:ind w:left="100"/>
              <w:spacing w:after="0"/>
              <w:rPr>
                <w:sz w:val="20"/>
                <w:szCs w:val="20"/>
                <w:color w:val="auto"/>
              </w:rPr>
            </w:pPr>
            <w:r>
              <w:rPr>
                <w:rFonts w:ascii="Arial" w:cs="Arial" w:eastAsia="Arial" w:hAnsi="Arial"/>
                <w:sz w:val="14"/>
                <w:szCs w:val="14"/>
                <w:color w:val="auto"/>
              </w:rPr>
              <w:t>Commodity contracts</w:t>
            </w:r>
          </w:p>
        </w:tc>
        <w:tc>
          <w:tcPr>
            <w:tcW w:w="4160" w:type="dxa"/>
            <w:vAlign w:val="bottom"/>
            <w:gridSpan w:val="4"/>
          </w:tcPr>
          <w:p>
            <w:pPr>
              <w:ind w:left="200"/>
              <w:spacing w:after="0"/>
              <w:rPr>
                <w:sz w:val="20"/>
                <w:szCs w:val="20"/>
                <w:color w:val="auto"/>
              </w:rPr>
            </w:pPr>
            <w:r>
              <w:rPr>
                <w:rFonts w:ascii="Arial" w:cs="Arial" w:eastAsia="Arial" w:hAnsi="Arial"/>
                <w:sz w:val="14"/>
                <w:szCs w:val="14"/>
                <w:color w:val="auto"/>
              </w:rPr>
              <w:t>Short-term derivative assets, net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60.1</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191.4</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8.2</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123.3</w:t>
            </w:r>
          </w:p>
        </w:tc>
      </w:tr>
      <w:tr>
        <w:trPr>
          <w:trHeight w:val="80"/>
        </w:trPr>
        <w:tc>
          <w:tcPr>
            <w:tcW w:w="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91"/>
        </w:trPr>
        <w:tc>
          <w:tcPr>
            <w:tcW w:w="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1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Identifiable intangible and other non-current assets</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r>
      <w:tr>
        <w:trPr>
          <w:trHeight w:val="80"/>
        </w:trPr>
        <w:tc>
          <w:tcPr>
            <w:tcW w:w="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r>
      <w:tr>
        <w:trPr>
          <w:trHeight w:val="191"/>
        </w:trPr>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160" w:type="dxa"/>
            <w:vAlign w:val="bottom"/>
            <w:gridSpan w:val="4"/>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192.1</w:t>
            </w:r>
          </w:p>
        </w:tc>
        <w:tc>
          <w:tcPr>
            <w:tcW w:w="38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86.1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231.2</w:t>
            </w:r>
          </w:p>
        </w:tc>
        <w:tc>
          <w:tcPr>
            <w:tcW w:w="3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138.2</w:t>
            </w:r>
          </w:p>
        </w:tc>
      </w:tr>
      <w:tr>
        <w:trPr>
          <w:trHeight w:val="80"/>
        </w:trPr>
        <w:tc>
          <w:tcPr>
            <w:tcW w:w="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91"/>
        </w:trPr>
        <w:tc>
          <w:tcPr>
            <w:tcW w:w="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1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Other long-term liabilities</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r>
      <w:tr>
        <w:trPr>
          <w:trHeight w:val="80"/>
        </w:trPr>
        <w:tc>
          <w:tcPr>
            <w:tcW w:w="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r>
      <w:tr>
        <w:trPr>
          <w:trHeight w:val="184"/>
        </w:trPr>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296.5</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300.9</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277.9</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280.2</w:t>
            </w:r>
          </w:p>
        </w:tc>
      </w:tr>
      <w:tr>
        <w:trPr>
          <w:trHeight w:val="80"/>
        </w:trPr>
        <w:tc>
          <w:tcPr>
            <w:tcW w:w="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284"/>
        </w:trPr>
        <w:tc>
          <w:tcPr>
            <w:tcW w:w="4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91"/>
        </w:trPr>
        <w:tc>
          <w:tcPr>
            <w:tcW w:w="40" w:type="dxa"/>
            <w:vAlign w:val="bottom"/>
          </w:tcPr>
          <w:p>
            <w:pPr>
              <w:spacing w:after="0"/>
              <w:rPr>
                <w:sz w:val="16"/>
                <w:szCs w:val="16"/>
                <w:color w:val="auto"/>
              </w:rPr>
            </w:pPr>
          </w:p>
        </w:tc>
        <w:tc>
          <w:tcPr>
            <w:tcW w:w="184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4160" w:type="dxa"/>
            <w:vAlign w:val="bottom"/>
            <w:gridSpan w:val="4"/>
          </w:tcPr>
          <w:p>
            <w:pPr>
              <w:ind w:left="200"/>
              <w:spacing w:after="0"/>
              <w:rPr>
                <w:sz w:val="20"/>
                <w:szCs w:val="20"/>
                <w:color w:val="auto"/>
              </w:rPr>
            </w:pPr>
            <w:r>
              <w:rPr>
                <w:rFonts w:ascii="Arial" w:cs="Arial" w:eastAsia="Arial" w:hAnsi="Arial"/>
                <w:sz w:val="14"/>
                <w:szCs w:val="14"/>
                <w:color w:val="auto"/>
              </w:rPr>
              <w:t>Short-term derivative assets, net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0.6</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w:t>
            </w:r>
          </w:p>
        </w:tc>
      </w:tr>
      <w:tr>
        <w:trPr>
          <w:trHeight w:val="80"/>
        </w:trPr>
        <w:tc>
          <w:tcPr>
            <w:tcW w:w="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91"/>
        </w:trPr>
        <w:tc>
          <w:tcPr>
            <w:tcW w:w="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1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r>
      <w:tr>
        <w:trPr>
          <w:trHeight w:val="80"/>
        </w:trPr>
        <w:tc>
          <w:tcPr>
            <w:tcW w:w="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r>
      <w:tr>
        <w:trPr>
          <w:trHeight w:val="191"/>
        </w:trPr>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160" w:type="dxa"/>
            <w:vAlign w:val="bottom"/>
            <w:gridSpan w:val="4"/>
          </w:tcPr>
          <w:p>
            <w:pPr>
              <w:ind w:left="200"/>
              <w:spacing w:after="0"/>
              <w:rPr>
                <w:sz w:val="20"/>
                <w:szCs w:val="20"/>
                <w:color w:val="auto"/>
              </w:rPr>
            </w:pPr>
            <w:r>
              <w:rPr>
                <w:rFonts w:ascii="Arial" w:cs="Arial" w:eastAsia="Arial" w:hAnsi="Arial"/>
                <w:sz w:val="14"/>
                <w:szCs w:val="14"/>
                <w:color w:val="auto"/>
              </w:rPr>
              <w:t>Other long-term liabilities</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0.1</w:t>
            </w:r>
          </w:p>
        </w:tc>
        <w:tc>
          <w:tcPr>
            <w:tcW w:w="3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80"/>
        </w:trPr>
        <w:tc>
          <w:tcPr>
            <w:tcW w:w="40" w:type="dxa"/>
            <w:vAlign w:val="bottom"/>
            <w:tcBorders>
              <w:bottom w:val="single" w:sz="8" w:color="CCEEFF"/>
            </w:tcBorders>
          </w:tcPr>
          <w:p>
            <w:pPr>
              <w:spacing w:after="0"/>
              <w:rPr>
                <w:sz w:val="6"/>
                <w:szCs w:val="6"/>
                <w:color w:val="auto"/>
              </w:rPr>
            </w:pPr>
          </w:p>
        </w:tc>
        <w:tc>
          <w:tcPr>
            <w:tcW w:w="1840" w:type="dxa"/>
            <w:vAlign w:val="bottom"/>
            <w:tcBorders>
              <w:bottom w:val="single" w:sz="8" w:color="CCEEFF"/>
            </w:tcBorders>
          </w:tcPr>
          <w:p>
            <w:pPr>
              <w:spacing w:after="0"/>
              <w:rPr>
                <w:sz w:val="6"/>
                <w:szCs w:val="6"/>
                <w:color w:val="auto"/>
              </w:rPr>
            </w:pPr>
          </w:p>
        </w:tc>
        <w:tc>
          <w:tcPr>
            <w:tcW w:w="100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28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184"/>
        </w:trPr>
        <w:tc>
          <w:tcPr>
            <w:tcW w:w="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r>
      <w:tr>
        <w:trPr>
          <w:trHeight w:val="80"/>
        </w:trPr>
        <w:tc>
          <w:tcPr>
            <w:tcW w:w="40" w:type="dxa"/>
            <w:vAlign w:val="bottom"/>
            <w:tcBorders>
              <w:bottom w:val="single" w:sz="8" w:color="auto"/>
            </w:tcBorders>
            <w:shd w:val="clear" w:color="auto" w:fill="CCEEFF"/>
          </w:tcPr>
          <w:p>
            <w:pPr>
              <w:spacing w:after="0"/>
              <w:rPr>
                <w:sz w:val="6"/>
                <w:szCs w:val="6"/>
                <w:color w:val="auto"/>
              </w:rPr>
            </w:pPr>
          </w:p>
        </w:tc>
        <w:tc>
          <w:tcPr>
            <w:tcW w:w="2840" w:type="dxa"/>
            <w:vAlign w:val="bottom"/>
            <w:tcBorders>
              <w:bottom w:val="single" w:sz="8" w:color="auto"/>
            </w:tcBorders>
            <w:gridSpan w:val="2"/>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280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r>
      <w:tr>
        <w:trPr>
          <w:trHeight w:val="184"/>
        </w:trPr>
        <w:tc>
          <w:tcPr>
            <w:tcW w:w="4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302.1</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309.4</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285.3</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288.9</w:t>
            </w:r>
          </w:p>
        </w:tc>
      </w:tr>
      <w:tr>
        <w:trPr>
          <w:trHeight w:val="80"/>
        </w:trPr>
        <w:tc>
          <w:tcPr>
            <w:tcW w:w="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284"/>
        </w:trPr>
        <w:tc>
          <w:tcPr>
            <w:tcW w:w="40" w:type="dxa"/>
            <w:vAlign w:val="bottom"/>
            <w:tcBorders>
              <w:bottom w:val="single" w:sz="8" w:color="auto"/>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28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r>
      <w:tr>
        <w:trPr>
          <w:trHeight w:val="184"/>
        </w:trPr>
        <w:tc>
          <w:tcPr>
            <w:tcW w:w="4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Arial" w:cs="Arial" w:eastAsia="Arial" w:hAnsi="Arial"/>
                <w:sz w:val="14"/>
                <w:szCs w:val="14"/>
                <w:b w:val="1"/>
                <w:bCs w:val="1"/>
                <w:color w:val="auto"/>
              </w:rPr>
              <w:t>Total derivatives</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315.5</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312.0</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320.1</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332.5</w:t>
            </w:r>
          </w:p>
        </w:tc>
      </w:tr>
      <w:tr>
        <w:trPr>
          <w:trHeight w:val="80"/>
        </w:trPr>
        <w:tc>
          <w:tcPr>
            <w:tcW w:w="4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8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information regarding our derivative instruments measured at fair value after netting and collateral see Note 6.</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gross notional values of our commodity and foreign currency exchange derivative contracts used for risk management purposes that were outstanding as of March 31, 2018 (in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520" w:type="dxa"/>
            <w:vAlign w:val="bottom"/>
          </w:tcPr>
          <w:p>
            <w:pPr>
              <w:jc w:val="right"/>
              <w:ind w:right="1308"/>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80"/>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333333"/>
              </w:rPr>
              <w:t>Derivative Instruments</w:t>
            </w:r>
          </w:p>
        </w:tc>
        <w:tc>
          <w:tcPr>
            <w:tcW w:w="124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7660" w:type="dxa"/>
            <w:vAlign w:val="bottom"/>
            <w:vMerge w:val="continue"/>
          </w:tcPr>
          <w:p>
            <w:pPr>
              <w:spacing w:after="0"/>
              <w:rPr>
                <w:sz w:val="16"/>
                <w:szCs w:val="16"/>
                <w:color w:val="auto"/>
              </w:rPr>
            </w:pPr>
          </w:p>
        </w:tc>
        <w:tc>
          <w:tcPr>
            <w:tcW w:w="1240" w:type="dxa"/>
            <w:vAlign w:val="bottom"/>
          </w:tcPr>
          <w:p>
            <w:pPr>
              <w:jc w:val="center"/>
              <w:ind w:left="528"/>
              <w:spacing w:after="0"/>
              <w:rPr>
                <w:sz w:val="20"/>
                <w:szCs w:val="20"/>
                <w:color w:val="auto"/>
              </w:rPr>
            </w:pPr>
            <w:r>
              <w:rPr>
                <w:rFonts w:ascii="Arial" w:cs="Arial" w:eastAsia="Arial" w:hAnsi="Arial"/>
                <w:sz w:val="14"/>
                <w:szCs w:val="14"/>
                <w:b w:val="1"/>
                <w:bCs w:val="1"/>
                <w:color w:val="333333"/>
                <w:w w:val="91"/>
              </w:rPr>
              <w:t>Units</w:t>
            </w:r>
          </w:p>
        </w:tc>
        <w:tc>
          <w:tcPr>
            <w:tcW w:w="2520" w:type="dxa"/>
            <w:vAlign w:val="bottom"/>
          </w:tcPr>
          <w:p>
            <w:pPr>
              <w:jc w:val="right"/>
              <w:ind w:right="6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80"/>
        </w:trPr>
        <w:tc>
          <w:tcPr>
            <w:tcW w:w="76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Commodity contracts</w:t>
            </w:r>
          </w:p>
        </w:tc>
        <w:tc>
          <w:tcPr>
            <w:tcW w:w="124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6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5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660" w:type="dxa"/>
            <w:vAlign w:val="bottom"/>
          </w:tcPr>
          <w:p>
            <w:pPr>
              <w:ind w:left="40"/>
              <w:spacing w:after="0"/>
              <w:rPr>
                <w:sz w:val="20"/>
                <w:szCs w:val="20"/>
                <w:color w:val="auto"/>
              </w:rPr>
            </w:pPr>
            <w:r>
              <w:rPr>
                <w:rFonts w:ascii="Arial" w:cs="Arial" w:eastAsia="Arial" w:hAnsi="Arial"/>
                <w:sz w:val="14"/>
                <w:szCs w:val="14"/>
                <w:color w:val="auto"/>
              </w:rPr>
              <w:t>Buy / Long</w:t>
            </w:r>
          </w:p>
        </w:tc>
        <w:tc>
          <w:tcPr>
            <w:tcW w:w="1240" w:type="dxa"/>
            <w:vAlign w:val="bottom"/>
          </w:tcPr>
          <w:p>
            <w:pPr>
              <w:jc w:val="center"/>
              <w:ind w:left="528"/>
              <w:spacing w:after="0"/>
              <w:rPr>
                <w:sz w:val="20"/>
                <w:szCs w:val="20"/>
                <w:color w:val="auto"/>
              </w:rPr>
            </w:pPr>
            <w:r>
              <w:rPr>
                <w:rFonts w:ascii="Arial" w:cs="Arial" w:eastAsia="Arial" w:hAnsi="Arial"/>
                <w:sz w:val="14"/>
                <w:szCs w:val="14"/>
                <w:color w:val="auto"/>
              </w:rPr>
              <w:t>BBL</w:t>
            </w:r>
          </w:p>
        </w:tc>
        <w:tc>
          <w:tcPr>
            <w:tcW w:w="2520" w:type="dxa"/>
            <w:vAlign w:val="bottom"/>
          </w:tcPr>
          <w:p>
            <w:pPr>
              <w:jc w:val="right"/>
              <w:ind w:right="28"/>
              <w:spacing w:after="0"/>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 / Short</w:t>
            </w:r>
          </w:p>
        </w:tc>
        <w:tc>
          <w:tcPr>
            <w:tcW w:w="1240" w:type="dxa"/>
            <w:vAlign w:val="bottom"/>
            <w:shd w:val="clear" w:color="auto" w:fill="CCEEFF"/>
          </w:tcPr>
          <w:p>
            <w:pPr>
              <w:jc w:val="center"/>
              <w:ind w:left="528"/>
              <w:spacing w:after="0"/>
              <w:rPr>
                <w:sz w:val="20"/>
                <w:szCs w:val="20"/>
                <w:color w:val="auto"/>
              </w:rPr>
            </w:pPr>
            <w:r>
              <w:rPr>
                <w:rFonts w:ascii="Arial" w:cs="Arial" w:eastAsia="Arial" w:hAnsi="Arial"/>
                <w:sz w:val="14"/>
                <w:szCs w:val="14"/>
                <w:color w:val="auto"/>
              </w:rPr>
              <w:t>BBL</w:t>
            </w:r>
          </w:p>
        </w:tc>
        <w:tc>
          <w:tcPr>
            <w:tcW w:w="2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80"/>
        </w:trPr>
        <w:tc>
          <w:tcPr>
            <w:tcW w:w="76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5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7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Foreign currency exchange contracts</w:t>
            </w:r>
          </w:p>
        </w:tc>
        <w:tc>
          <w:tcPr>
            <w:tcW w:w="124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6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5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660" w:type="dxa"/>
            <w:vAlign w:val="bottom"/>
          </w:tcPr>
          <w:p>
            <w:pPr>
              <w:ind w:left="40"/>
              <w:spacing w:after="0"/>
              <w:rPr>
                <w:sz w:val="20"/>
                <w:szCs w:val="20"/>
                <w:color w:val="auto"/>
              </w:rPr>
            </w:pPr>
            <w:r>
              <w:rPr>
                <w:rFonts w:ascii="Arial" w:cs="Arial" w:eastAsia="Arial" w:hAnsi="Arial"/>
                <w:sz w:val="14"/>
                <w:szCs w:val="14"/>
                <w:color w:val="auto"/>
              </w:rPr>
              <w:t>Sell U.S. dollar, buy other currencies</w:t>
            </w:r>
          </w:p>
        </w:tc>
        <w:tc>
          <w:tcPr>
            <w:tcW w:w="1240" w:type="dxa"/>
            <w:vAlign w:val="bottom"/>
          </w:tcPr>
          <w:p>
            <w:pPr>
              <w:jc w:val="center"/>
              <w:ind w:left="528"/>
              <w:spacing w:after="0"/>
              <w:rPr>
                <w:sz w:val="20"/>
                <w:szCs w:val="20"/>
                <w:color w:val="auto"/>
              </w:rPr>
            </w:pPr>
            <w:r>
              <w:rPr>
                <w:rFonts w:ascii="Arial" w:cs="Arial" w:eastAsia="Arial" w:hAnsi="Arial"/>
                <w:sz w:val="14"/>
                <w:szCs w:val="14"/>
                <w:color w:val="auto"/>
                <w:w w:val="94"/>
              </w:rPr>
              <w:t>USD</w:t>
            </w:r>
          </w:p>
        </w:tc>
        <w:tc>
          <w:tcPr>
            <w:tcW w:w="2520" w:type="dxa"/>
            <w:vAlign w:val="bottom"/>
          </w:tcPr>
          <w:p>
            <w:pPr>
              <w:jc w:val="right"/>
              <w:spacing w:after="0"/>
              <w:rPr>
                <w:sz w:val="20"/>
                <w:szCs w:val="20"/>
                <w:color w:val="auto"/>
              </w:rPr>
            </w:pPr>
            <w:r>
              <w:rPr>
                <w:rFonts w:ascii="Arial" w:cs="Arial" w:eastAsia="Arial" w:hAnsi="Arial"/>
                <w:sz w:val="14"/>
                <w:szCs w:val="14"/>
                <w:color w:val="auto"/>
              </w:rPr>
              <w:t>(266.4)</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Buy U.S. dollar, sell other currencies</w:t>
            </w:r>
          </w:p>
        </w:tc>
        <w:tc>
          <w:tcPr>
            <w:tcW w:w="1240" w:type="dxa"/>
            <w:vAlign w:val="bottom"/>
            <w:shd w:val="clear" w:color="auto" w:fill="CCEEFF"/>
          </w:tcPr>
          <w:p>
            <w:pPr>
              <w:jc w:val="center"/>
              <w:ind w:left="528"/>
              <w:spacing w:after="0"/>
              <w:rPr>
                <w:sz w:val="20"/>
                <w:szCs w:val="20"/>
                <w:color w:val="auto"/>
              </w:rPr>
            </w:pPr>
            <w:r>
              <w:rPr>
                <w:rFonts w:ascii="Arial" w:cs="Arial" w:eastAsia="Arial" w:hAnsi="Arial"/>
                <w:sz w:val="14"/>
                <w:szCs w:val="14"/>
                <w:color w:val="auto"/>
                <w:w w:val="94"/>
              </w:rPr>
              <w:t>USD</w:t>
            </w:r>
          </w:p>
        </w:tc>
        <w:tc>
          <w:tcPr>
            <w:tcW w:w="2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526.7</w:t>
            </w:r>
          </w:p>
        </w:tc>
        <w:tc>
          <w:tcPr>
            <w:tcW w:w="0" w:type="dxa"/>
            <w:vAlign w:val="bottom"/>
          </w:tcPr>
          <w:p>
            <w:pPr>
              <w:spacing w:after="0"/>
              <w:rPr>
                <w:sz w:val="1"/>
                <w:szCs w:val="1"/>
                <w:color w:val="auto"/>
              </w:rPr>
            </w:pPr>
          </w:p>
        </w:tc>
      </w:tr>
      <w:tr>
        <w:trPr>
          <w:trHeight w:val="80"/>
        </w:trPr>
        <w:tc>
          <w:tcPr>
            <w:tcW w:w="766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shd w:val="clear" w:color="auto" w:fill="CCEEFF"/>
          </w:tcPr>
          <w:p>
            <w:pPr>
              <w:spacing w:after="0"/>
              <w:rPr>
                <w:sz w:val="6"/>
                <w:szCs w:val="6"/>
                <w:color w:val="auto"/>
              </w:rPr>
            </w:pPr>
          </w:p>
        </w:tc>
        <w:tc>
          <w:tcPr>
            <w:tcW w:w="25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March 31, 2018, and 2017, the following amounts were recorded on the consolidated balance sheets related to cumulative basis adjustments for fair value hedges (in million):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Line item in the Consolidated Balance Sheets in which the</w:t>
            </w: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8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w w:val="94"/>
              </w:rPr>
              <w:t>Cumulative Amount of Fair Value Hedging Adjustment</w:t>
            </w:r>
          </w:p>
        </w:tc>
        <w:tc>
          <w:tcPr>
            <w:tcW w:w="0" w:type="dxa"/>
            <w:vAlign w:val="bottom"/>
          </w:tcPr>
          <w:p>
            <w:pPr>
              <w:spacing w:after="0"/>
              <w:rPr>
                <w:sz w:val="1"/>
                <w:szCs w:val="1"/>
                <w:color w:val="auto"/>
              </w:rPr>
            </w:pPr>
          </w:p>
        </w:tc>
      </w:tr>
      <w:tr>
        <w:trPr>
          <w:trHeight w:val="149"/>
        </w:trPr>
        <w:tc>
          <w:tcPr>
            <w:tcW w:w="37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520" w:type="dxa"/>
            <w:vAlign w:val="bottom"/>
            <w:gridSpan w:val="3"/>
            <w:vMerge w:val="restart"/>
          </w:tcPr>
          <w:p>
            <w:pPr>
              <w:jc w:val="center"/>
              <w:ind w:right="168"/>
              <w:spacing w:after="0"/>
              <w:rPr>
                <w:sz w:val="20"/>
                <w:szCs w:val="20"/>
                <w:color w:val="auto"/>
              </w:rPr>
            </w:pPr>
            <w:r>
              <w:rPr>
                <w:rFonts w:ascii="Arial" w:cs="Arial" w:eastAsia="Arial" w:hAnsi="Arial"/>
                <w:sz w:val="14"/>
                <w:szCs w:val="14"/>
                <w:b w:val="1"/>
                <w:bCs w:val="1"/>
                <w:color w:val="auto"/>
                <w:w w:val="93"/>
              </w:rPr>
              <w:t>Carrying Amount of Hedged Asset/(Liabilities)</w:t>
            </w:r>
          </w:p>
        </w:tc>
        <w:tc>
          <w:tcPr>
            <w:tcW w:w="240" w:type="dxa"/>
            <w:vAlign w:val="bottom"/>
          </w:tcPr>
          <w:p>
            <w:pPr>
              <w:spacing w:after="0"/>
              <w:rPr>
                <w:sz w:val="12"/>
                <w:szCs w:val="12"/>
                <w:color w:val="auto"/>
              </w:rPr>
            </w:pPr>
          </w:p>
        </w:tc>
        <w:tc>
          <w:tcPr>
            <w:tcW w:w="3580" w:type="dxa"/>
            <w:vAlign w:val="bottom"/>
            <w:gridSpan w:val="3"/>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Included in the Carrying Amount of the Hedged</w:t>
            </w:r>
          </w:p>
        </w:tc>
        <w:tc>
          <w:tcPr>
            <w:tcW w:w="0" w:type="dxa"/>
            <w:vAlign w:val="bottom"/>
          </w:tcPr>
          <w:p>
            <w:pPr>
              <w:spacing w:after="0"/>
              <w:rPr>
                <w:sz w:val="1"/>
                <w:szCs w:val="1"/>
                <w:color w:val="auto"/>
              </w:rPr>
            </w:pPr>
          </w:p>
        </w:tc>
      </w:tr>
      <w:tr>
        <w:trPr>
          <w:trHeight w:val="19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hedged item is included</w:t>
            </w:r>
          </w:p>
        </w:tc>
        <w:tc>
          <w:tcPr>
            <w:tcW w:w="34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jc w:val="center"/>
              <w:ind w:left="1008"/>
              <w:spacing w:after="0"/>
              <w:rPr>
                <w:sz w:val="20"/>
                <w:szCs w:val="20"/>
                <w:color w:val="auto"/>
              </w:rPr>
            </w:pPr>
            <w:r>
              <w:rPr>
                <w:rFonts w:ascii="Arial" w:cs="Arial" w:eastAsia="Arial" w:hAnsi="Arial"/>
                <w:sz w:val="14"/>
                <w:szCs w:val="14"/>
                <w:b w:val="1"/>
                <w:bCs w:val="1"/>
                <w:color w:val="auto"/>
                <w:w w:val="93"/>
              </w:rPr>
              <w:t>Asset/(Liabilities)</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2"/>
          </w:tcPr>
          <w:p>
            <w:pPr>
              <w:jc w:val="center"/>
              <w:ind w:left="988"/>
              <w:spacing w:after="0"/>
              <w:rPr>
                <w:sz w:val="20"/>
                <w:szCs w:val="20"/>
                <w:color w:val="auto"/>
              </w:rPr>
            </w:pPr>
            <w:r>
              <w:rPr>
                <w:rFonts w:ascii="Arial" w:cs="Arial" w:eastAsia="Arial" w:hAnsi="Arial"/>
                <w:sz w:val="14"/>
                <w:szCs w:val="14"/>
                <w:b w:val="1"/>
                <w:bCs w:val="1"/>
                <w:color w:val="auto"/>
                <w:w w:val="95"/>
              </w:rPr>
              <w:t>March 31,</w:t>
            </w:r>
          </w:p>
        </w:tc>
        <w:tc>
          <w:tcPr>
            <w:tcW w:w="13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2"/>
          </w:tcPr>
          <w:p>
            <w:pPr>
              <w:jc w:val="center"/>
              <w:ind w:left="1008"/>
              <w:spacing w:after="0"/>
              <w:rPr>
                <w:sz w:val="20"/>
                <w:szCs w:val="20"/>
                <w:color w:val="auto"/>
              </w:rPr>
            </w:pPr>
            <w:r>
              <w:rPr>
                <w:rFonts w:ascii="Arial" w:cs="Arial" w:eastAsia="Arial" w:hAnsi="Arial"/>
                <w:sz w:val="14"/>
                <w:szCs w:val="14"/>
                <w:b w:val="1"/>
                <w:bCs w:val="1"/>
                <w:color w:val="auto"/>
                <w:w w:val="99"/>
              </w:rPr>
              <w:t>March 31,</w:t>
            </w: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3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tcPr>
          <w:p>
            <w:pPr>
              <w:jc w:val="right"/>
              <w:ind w:right="728"/>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6"/>
                <w:szCs w:val="16"/>
                <w:color w:val="auto"/>
              </w:rPr>
            </w:pPr>
          </w:p>
        </w:tc>
        <w:tc>
          <w:tcPr>
            <w:tcW w:w="1320" w:type="dxa"/>
            <w:vAlign w:val="bottom"/>
          </w:tcPr>
          <w:p>
            <w:pPr>
              <w:jc w:val="right"/>
              <w:ind w:right="688"/>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6"/>
                <w:szCs w:val="16"/>
                <w:color w:val="auto"/>
              </w:rPr>
            </w:pPr>
          </w:p>
        </w:tc>
        <w:tc>
          <w:tcPr>
            <w:tcW w:w="1680" w:type="dxa"/>
            <w:vAlign w:val="bottom"/>
          </w:tcPr>
          <w:p>
            <w:pPr>
              <w:jc w:val="right"/>
              <w:ind w:right="708"/>
              <w:spacing w:after="0"/>
              <w:rPr>
                <w:sz w:val="20"/>
                <w:szCs w:val="20"/>
                <w:color w:val="auto"/>
              </w:rPr>
            </w:pPr>
            <w:r>
              <w:rPr>
                <w:rFonts w:ascii="Arial" w:cs="Arial" w:eastAsia="Arial" w:hAnsi="Arial"/>
                <w:sz w:val="14"/>
                <w:szCs w:val="14"/>
                <w:b w:val="1"/>
                <w:bCs w:val="1"/>
                <w:color w:val="auto"/>
              </w:rPr>
              <w:t>2018</w:t>
            </w:r>
          </w:p>
        </w:tc>
        <w:tc>
          <w:tcPr>
            <w:tcW w:w="720" w:type="dxa"/>
            <w:vAlign w:val="bottom"/>
          </w:tcPr>
          <w:p>
            <w:pPr>
              <w:spacing w:after="0"/>
              <w:rPr>
                <w:sz w:val="16"/>
                <w:szCs w:val="16"/>
                <w:color w:val="auto"/>
              </w:rPr>
            </w:pPr>
          </w:p>
        </w:tc>
        <w:tc>
          <w:tcPr>
            <w:tcW w:w="1180" w:type="dxa"/>
            <w:vAlign w:val="bottom"/>
          </w:tcPr>
          <w:p>
            <w:pPr>
              <w:jc w:val="right"/>
              <w:ind w:right="6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80"/>
        </w:trPr>
        <w:tc>
          <w:tcPr>
            <w:tcW w:w="37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Inventory</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68.9</w:t>
            </w:r>
          </w:p>
        </w:tc>
        <w:tc>
          <w:tcPr>
            <w:tcW w:w="6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7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80"/>
        </w:trPr>
        <w:tc>
          <w:tcPr>
            <w:tcW w:w="37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effect of fair value and cash flow hedges on income and expense line items in our Consolidated Statements of Income and Comprehensive Income (in millions):</w:t>
      </w:r>
    </w:p>
    <w:p>
      <w:pPr>
        <w:spacing w:after="0" w:line="108" w:lineRule="exact"/>
        <w:rPr>
          <w:sz w:val="20"/>
          <w:szCs w:val="20"/>
          <w:color w:val="auto"/>
        </w:rPr>
      </w:pPr>
    </w:p>
    <w:p>
      <w:pPr>
        <w:jc w:val="center"/>
        <w:ind w:left="7000"/>
        <w:spacing w:after="0"/>
        <w:rPr>
          <w:sz w:val="20"/>
          <w:szCs w:val="20"/>
          <w:color w:val="auto"/>
        </w:rPr>
      </w:pPr>
      <w:r>
        <w:rPr>
          <w:rFonts w:ascii="Arial" w:cs="Arial" w:eastAsia="Arial" w:hAnsi="Arial"/>
          <w:sz w:val="13"/>
          <w:szCs w:val="13"/>
          <w:b w:val="1"/>
          <w:bCs w:val="1"/>
          <w:color w:val="auto"/>
        </w:rPr>
        <w:t>Location and Amount of Gain and (Loss) Recognized in Income on Fair</w:t>
      </w:r>
    </w:p>
    <w:p>
      <w:pPr>
        <w:spacing w:after="0" w:line="15"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Value and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13335</wp:posOffset>
            </wp:positionV>
            <wp:extent cx="2813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73"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Three Months Ended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March 31, 2017</w:t>
            </w:r>
          </w:p>
        </w:tc>
      </w:tr>
      <w:tr>
        <w:trPr>
          <w:trHeight w:val="156"/>
        </w:trPr>
        <w:tc>
          <w:tcPr>
            <w:tcW w:w="6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28"/>
              <w:spacing w:after="0" w:line="157" w:lineRule="exact"/>
              <w:rPr>
                <w:sz w:val="20"/>
                <w:szCs w:val="20"/>
                <w:color w:val="auto"/>
              </w:rPr>
            </w:pPr>
            <w:r>
              <w:rPr>
                <w:rFonts w:ascii="Arial" w:cs="Arial" w:eastAsia="Arial" w:hAnsi="Arial"/>
                <w:sz w:val="14"/>
                <w:szCs w:val="14"/>
                <w:color w:val="auto"/>
              </w:rPr>
              <w:t>Revenue</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68"/>
              <w:spacing w:after="0" w:line="157" w:lineRule="exact"/>
              <w:rPr>
                <w:sz w:val="20"/>
                <w:szCs w:val="20"/>
                <w:color w:val="auto"/>
              </w:rPr>
            </w:pPr>
            <w:r>
              <w:rPr>
                <w:rFonts w:ascii="Arial" w:cs="Arial" w:eastAsia="Arial" w:hAnsi="Arial"/>
                <w:sz w:val="14"/>
                <w:szCs w:val="14"/>
                <w:color w:val="auto"/>
              </w:rPr>
              <w:t>Cost of</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Revenue</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28"/>
              <w:spacing w:after="0" w:line="157" w:lineRule="exact"/>
              <w:rPr>
                <w:sz w:val="20"/>
                <w:szCs w:val="20"/>
                <w:color w:val="auto"/>
              </w:rPr>
            </w:pPr>
            <w:r>
              <w:rPr>
                <w:rFonts w:ascii="Arial" w:cs="Arial" w:eastAsia="Arial" w:hAnsi="Arial"/>
                <w:sz w:val="14"/>
                <w:szCs w:val="14"/>
                <w:color w:val="auto"/>
              </w:rPr>
              <w:t>Cost of</w:t>
            </w:r>
          </w:p>
        </w:tc>
      </w:tr>
      <w:tr>
        <w:trPr>
          <w:trHeight w:val="194"/>
        </w:trPr>
        <w:tc>
          <w:tcPr>
            <w:tcW w:w="6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99"/>
              </w:rPr>
              <w:t>Revenue</w:t>
            </w:r>
          </w:p>
        </w:tc>
      </w:tr>
      <w:tr>
        <w:trPr>
          <w:trHeight w:val="191"/>
        </w:trPr>
        <w:tc>
          <w:tcPr>
            <w:tcW w:w="6980" w:type="dxa"/>
            <w:vAlign w:val="bottom"/>
          </w:tcPr>
          <w:p>
            <w:pPr>
              <w:ind w:left="40"/>
              <w:spacing w:after="0"/>
              <w:rPr>
                <w:sz w:val="20"/>
                <w:szCs w:val="20"/>
                <w:color w:val="auto"/>
              </w:rPr>
            </w:pPr>
            <w:r>
              <w:rPr>
                <w:rFonts w:ascii="Arial" w:cs="Arial" w:eastAsia="Arial" w:hAnsi="Arial"/>
                <w:sz w:val="14"/>
                <w:szCs w:val="14"/>
                <w:color w:val="auto"/>
                <w:w w:val="97"/>
              </w:rPr>
              <w:t>Total amounts of income and expense line items in which the effects of fair value or cash flow hedged are recorded</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9,181.3</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8,937.9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8,194.3</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7,962.9</w:t>
            </w: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r>
      <w:tr>
        <w:trPr>
          <w:trHeight w:val="191"/>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Gains or Loss on fair value hedge relationships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r>
      <w:tr>
        <w:trPr>
          <w:trHeight w:val="191"/>
        </w:trPr>
        <w:tc>
          <w:tcPr>
            <w:tcW w:w="6980" w:type="dxa"/>
            <w:vAlign w:val="bottom"/>
          </w:tcPr>
          <w:p>
            <w:pPr>
              <w:ind w:left="380"/>
              <w:spacing w:after="0"/>
              <w:rPr>
                <w:sz w:val="20"/>
                <w:szCs w:val="20"/>
                <w:color w:val="auto"/>
              </w:rPr>
            </w:pPr>
            <w:r>
              <w:rPr>
                <w:rFonts w:ascii="Arial" w:cs="Arial" w:eastAsia="Arial" w:hAnsi="Arial"/>
                <w:sz w:val="14"/>
                <w:szCs w:val="14"/>
                <w:color w:val="auto"/>
              </w:rPr>
              <w:t>Commodity contracts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r>
      <w:tr>
        <w:trPr>
          <w:trHeight w:val="191"/>
        </w:trPr>
        <w:tc>
          <w:tcPr>
            <w:tcW w:w="698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Hedged Item</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r>
      <w:tr>
        <w:trPr>
          <w:trHeight w:val="191"/>
        </w:trPr>
        <w:tc>
          <w:tcPr>
            <w:tcW w:w="6980" w:type="dxa"/>
            <w:vAlign w:val="bottom"/>
          </w:tcPr>
          <w:p>
            <w:pPr>
              <w:ind w:left="1980"/>
              <w:spacing w:after="0"/>
              <w:rPr>
                <w:sz w:val="20"/>
                <w:szCs w:val="20"/>
                <w:color w:val="auto"/>
              </w:rPr>
            </w:pPr>
            <w:r>
              <w:rPr>
                <w:rFonts w:ascii="Arial" w:cs="Arial" w:eastAsia="Arial" w:hAnsi="Arial"/>
                <w:sz w:val="14"/>
                <w:szCs w:val="14"/>
                <w:color w:val="auto"/>
              </w:rPr>
              <w:t>Derivatives designated as hedging instruments</w:t>
            </w:r>
          </w:p>
        </w:tc>
        <w:tc>
          <w:tcPr>
            <w:tcW w:w="1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24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5.3</w:t>
            </w: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r>
      <w:tr>
        <w:trPr>
          <w:trHeight w:val="191"/>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Gains or Loss on cash flow hedge relationships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r>
      <w:tr>
        <w:trPr>
          <w:trHeight w:val="191"/>
        </w:trPr>
        <w:tc>
          <w:tcPr>
            <w:tcW w:w="6980" w:type="dxa"/>
            <w:vAlign w:val="bottom"/>
          </w:tcPr>
          <w:p>
            <w:pPr>
              <w:ind w:left="380"/>
              <w:spacing w:after="0"/>
              <w:rPr>
                <w:sz w:val="20"/>
                <w:szCs w:val="20"/>
                <w:color w:val="auto"/>
              </w:rPr>
            </w:pPr>
            <w:r>
              <w:rPr>
                <w:rFonts w:ascii="Arial" w:cs="Arial" w:eastAsia="Arial" w:hAnsi="Arial"/>
                <w:sz w:val="14"/>
                <w:szCs w:val="14"/>
                <w:color w:val="auto"/>
              </w:rPr>
              <w:t>Commodity contracts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r>
      <w:tr>
        <w:trPr>
          <w:trHeight w:val="191"/>
        </w:trPr>
        <w:tc>
          <w:tcPr>
            <w:tcW w:w="698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Amount of Gain (Loss) Reclassified from Accumulated OCI into Income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18.2</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r>
      <w:tr>
        <w:trPr>
          <w:trHeight w:val="80"/>
        </w:trPr>
        <w:tc>
          <w:tcPr>
            <w:tcW w:w="698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r>
      <w:tr>
        <w:trPr>
          <w:trHeight w:val="184"/>
        </w:trPr>
        <w:tc>
          <w:tcPr>
            <w:tcW w:w="6980" w:type="dxa"/>
            <w:vAlign w:val="bottom"/>
          </w:tcPr>
          <w:p>
            <w:pPr>
              <w:ind w:left="40"/>
              <w:spacing w:after="0"/>
              <w:rPr>
                <w:sz w:val="20"/>
                <w:szCs w:val="20"/>
                <w:color w:val="auto"/>
              </w:rPr>
            </w:pPr>
            <w:r>
              <w:rPr>
                <w:rFonts w:ascii="Arial" w:cs="Arial" w:eastAsia="Arial" w:hAnsi="Arial"/>
                <w:sz w:val="14"/>
                <w:szCs w:val="14"/>
                <w:color w:val="auto"/>
              </w:rPr>
              <w:t>Total amount of income of expense line items excluding the impact of hedges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9,184.9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8,956.0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8,184.2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7,971.4</w:t>
            </w:r>
          </w:p>
        </w:tc>
      </w:tr>
      <w:tr>
        <w:trPr>
          <w:trHeight w:val="80"/>
        </w:trPr>
        <w:tc>
          <w:tcPr>
            <w:tcW w:w="6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March 31, 2018 and 2017, there were no gains or losses recognized in earnings related to our fair value or cash flow hedges that were excluded from the assessment of hedge effectiveness.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in cash flow hedging relationships on our accumulated other comprehensive income, Consolidated Statements of Income and Comprehensive Income (in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1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332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Amount of Gain (Loss) Reclassified from</w:t>
            </w:r>
          </w:p>
        </w:tc>
        <w:tc>
          <w:tcPr>
            <w:tcW w:w="320" w:type="dxa"/>
            <w:vAlign w:val="bottom"/>
          </w:tcPr>
          <w:p>
            <w:pPr>
              <w:spacing w:after="0"/>
              <w:rPr>
                <w:sz w:val="14"/>
                <w:szCs w:val="14"/>
                <w:color w:val="auto"/>
              </w:rPr>
            </w:pPr>
          </w:p>
        </w:tc>
        <w:tc>
          <w:tcPr>
            <w:tcW w:w="2080" w:type="dxa"/>
            <w:vAlign w:val="bottom"/>
            <w:gridSpan w:val="3"/>
            <w:vMerge w:val="restart"/>
          </w:tcPr>
          <w:p>
            <w:pPr>
              <w:jc w:val="right"/>
              <w:ind w:right="42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92"/>
        </w:trPr>
        <w:tc>
          <w:tcPr>
            <w:tcW w:w="310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2"/>
              </w:rPr>
              <w:t>Amount of Gain (Loss) Recognized in</w:t>
            </w: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32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2"/>
              </w:rPr>
              <w:t>Accumulated Other Comprehensive Income into</w:t>
            </w:r>
          </w:p>
        </w:tc>
        <w:tc>
          <w:tcPr>
            <w:tcW w:w="320" w:type="dxa"/>
            <w:vAlign w:val="bottom"/>
          </w:tcPr>
          <w:p>
            <w:pPr>
              <w:spacing w:after="0"/>
              <w:rPr>
                <w:sz w:val="7"/>
                <w:szCs w:val="7"/>
                <w:color w:val="auto"/>
              </w:rPr>
            </w:pPr>
          </w:p>
        </w:tc>
        <w:tc>
          <w:tcPr>
            <w:tcW w:w="20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310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1260" w:type="dxa"/>
            <w:vAlign w:val="bottom"/>
            <w:gridSpan w:val="2"/>
            <w:vMerge w:val="restart"/>
          </w:tcPr>
          <w:p>
            <w:pPr>
              <w:jc w:val="right"/>
              <w:ind w:right="388"/>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6"/>
                <w:szCs w:val="6"/>
                <w:color w:val="auto"/>
              </w:rPr>
            </w:pPr>
          </w:p>
        </w:tc>
        <w:tc>
          <w:tcPr>
            <w:tcW w:w="33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32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2"/>
              </w:rPr>
              <w:t>Accumulated Other Comprehensive Income</w:t>
            </w:r>
          </w:p>
        </w:tc>
        <w:tc>
          <w:tcPr>
            <w:tcW w:w="8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3"/>
              </w:rPr>
              <w:t>Income</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vMerge w:val="continue"/>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100" w:type="dxa"/>
            <w:vAlign w:val="bottom"/>
          </w:tcPr>
          <w:p>
            <w:pPr>
              <w:jc w:val="center"/>
              <w:ind w:left="48"/>
              <w:spacing w:after="0"/>
              <w:rPr>
                <w:sz w:val="20"/>
                <w:szCs w:val="20"/>
                <w:color w:val="auto"/>
              </w:rPr>
            </w:pPr>
            <w:r>
              <w:rPr>
                <w:rFonts w:ascii="Arial" w:cs="Arial" w:eastAsia="Arial" w:hAnsi="Arial"/>
                <w:sz w:val="14"/>
                <w:szCs w:val="14"/>
                <w:b w:val="1"/>
                <w:bCs w:val="1"/>
                <w:color w:val="auto"/>
                <w:w w:val="94"/>
              </w:rPr>
              <w:t>Derivative Instruments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6"/>
                <w:szCs w:val="16"/>
                <w:color w:val="auto"/>
              </w:rPr>
            </w:pPr>
          </w:p>
        </w:tc>
        <w:tc>
          <w:tcPr>
            <w:tcW w:w="332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Location</w:t>
            </w:r>
          </w:p>
        </w:tc>
        <w:tc>
          <w:tcPr>
            <w:tcW w:w="320" w:type="dxa"/>
            <w:vAlign w:val="bottom"/>
          </w:tcPr>
          <w:p>
            <w:pPr>
              <w:spacing w:after="0"/>
              <w:rPr>
                <w:sz w:val="16"/>
                <w:szCs w:val="16"/>
                <w:color w:val="auto"/>
              </w:rPr>
            </w:pPr>
          </w:p>
        </w:tc>
        <w:tc>
          <w:tcPr>
            <w:tcW w:w="90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6"/>
                <w:szCs w:val="16"/>
                <w:color w:val="auto"/>
              </w:rPr>
            </w:pPr>
          </w:p>
        </w:tc>
        <w:tc>
          <w:tcPr>
            <w:tcW w:w="760" w:type="dxa"/>
            <w:vAlign w:val="bottom"/>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80"/>
        </w:trPr>
        <w:tc>
          <w:tcPr>
            <w:tcW w:w="31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33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3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100" w:type="dxa"/>
            <w:vAlign w:val="bottom"/>
          </w:tcPr>
          <w:p>
            <w:pPr>
              <w:ind w:left="40"/>
              <w:spacing w:after="0"/>
              <w:rPr>
                <w:sz w:val="20"/>
                <w:szCs w:val="20"/>
                <w:color w:val="auto"/>
              </w:rPr>
            </w:pPr>
            <w:r>
              <w:rPr>
                <w:rFonts w:ascii="Arial" w:cs="Arial" w:eastAsia="Arial" w:hAnsi="Arial"/>
                <w:sz w:val="14"/>
                <w:szCs w:val="14"/>
                <w:color w:val="auto"/>
              </w:rPr>
              <w:t>Commodity contracts</w:t>
            </w:r>
          </w:p>
        </w:tc>
        <w:tc>
          <w:tcPr>
            <w:tcW w:w="8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8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57.1</w:t>
            </w:r>
          </w:p>
        </w:tc>
        <w:tc>
          <w:tcPr>
            <w:tcW w:w="3320" w:type="dxa"/>
            <w:vAlign w:val="bottom"/>
          </w:tcPr>
          <w:p>
            <w:pPr>
              <w:ind w:left="100"/>
              <w:spacing w:after="0"/>
              <w:rPr>
                <w:sz w:val="20"/>
                <w:szCs w:val="20"/>
                <w:color w:val="auto"/>
              </w:rPr>
            </w:pPr>
            <w:r>
              <w:rPr>
                <w:rFonts w:ascii="Arial" w:cs="Arial" w:eastAsia="Arial" w:hAnsi="Arial"/>
                <w:sz w:val="14"/>
                <w:szCs w:val="14"/>
                <w:color w:val="auto"/>
              </w:rPr>
              <w:t>Revenue</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80"/>
        </w:trPr>
        <w:tc>
          <w:tcPr>
            <w:tcW w:w="3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5"/>
              </w:rPr>
              <w:t>10.2</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2"/>
              </w:rPr>
              <w:t>(50.0)</w:t>
            </w:r>
          </w:p>
        </w:tc>
        <w:tc>
          <w:tcPr>
            <w:tcW w:w="3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Cost of Revenue</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18.2</w:t>
            </w: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80"/>
        </w:trPr>
        <w:tc>
          <w:tcPr>
            <w:tcW w:w="3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33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00" w:type="dxa"/>
            <w:vAlign w:val="bottom"/>
          </w:tcPr>
          <w:p>
            <w:pPr>
              <w:ind w:left="40"/>
              <w:spacing w:after="0"/>
              <w:rPr>
                <w:sz w:val="20"/>
                <w:szCs w:val="20"/>
                <w:color w:val="auto"/>
              </w:rPr>
            </w:pPr>
            <w:r>
              <w:rPr>
                <w:rFonts w:ascii="Arial" w:cs="Arial" w:eastAsia="Arial" w:hAnsi="Arial"/>
                <w:sz w:val="14"/>
                <w:szCs w:val="14"/>
                <w:color w:val="auto"/>
              </w:rPr>
              <w:t>Foreign Currency contracts</w:t>
            </w:r>
          </w:p>
        </w:tc>
        <w:tc>
          <w:tcPr>
            <w:tcW w:w="86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820" w:type="dxa"/>
            <w:vAlign w:val="bottom"/>
          </w:tcPr>
          <w:p>
            <w:pPr>
              <w:spacing w:after="0"/>
              <w:rPr>
                <w:sz w:val="16"/>
                <w:szCs w:val="16"/>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320" w:type="dxa"/>
            <w:vAlign w:val="bottom"/>
          </w:tcPr>
          <w:p>
            <w:pPr>
              <w:ind w:left="100"/>
              <w:spacing w:after="0"/>
              <w:rPr>
                <w:sz w:val="20"/>
                <w:szCs w:val="20"/>
                <w:color w:val="auto"/>
              </w:rPr>
            </w:pPr>
            <w:r>
              <w:rPr>
                <w:rFonts w:ascii="Arial" w:cs="Arial" w:eastAsia="Arial" w:hAnsi="Arial"/>
                <w:sz w:val="14"/>
                <w:szCs w:val="14"/>
                <w:color w:val="auto"/>
              </w:rPr>
              <w:t>Other Income (expense) net</w:t>
            </w:r>
          </w:p>
        </w:tc>
        <w:tc>
          <w:tcPr>
            <w:tcW w:w="32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1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33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(Loss) Gain</w:t>
            </w:r>
          </w:p>
        </w:tc>
        <w:tc>
          <w:tcPr>
            <w:tcW w:w="8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w:t>
            </w:r>
          </w:p>
        </w:tc>
        <w:tc>
          <w:tcPr>
            <w:tcW w:w="82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w:t>
            </w:r>
          </w:p>
        </w:tc>
        <w:tc>
          <w:tcPr>
            <w:tcW w:w="3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(Loss) Gain</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14.6</w:t>
            </w:r>
          </w:p>
        </w:tc>
        <w:tc>
          <w:tcPr>
            <w:tcW w:w="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80"/>
        </w:trPr>
        <w:tc>
          <w:tcPr>
            <w:tcW w:w="310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3320" w:type="dxa"/>
            <w:vAlign w:val="bottom"/>
            <w:tcBorders>
              <w:bottom w:val="single" w:sz="8" w:color="auto"/>
            </w:tcBorders>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effect and financial statement location of our derivative instruments not designated as hedging instruments on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and Comprehensive Income (in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vMerge w:val="restart"/>
          </w:tcPr>
          <w:p>
            <w:pPr>
              <w:jc w:val="center"/>
              <w:ind w:left="768"/>
              <w:spacing w:after="0"/>
              <w:rPr>
                <w:sz w:val="20"/>
                <w:szCs w:val="20"/>
                <w:color w:val="auto"/>
              </w:rPr>
            </w:pPr>
            <w:r>
              <w:rPr>
                <w:rFonts w:ascii="Arial" w:cs="Arial" w:eastAsia="Arial" w:hAnsi="Arial"/>
                <w:sz w:val="14"/>
                <w:szCs w:val="14"/>
                <w:b w:val="1"/>
                <w:bCs w:val="1"/>
                <w:color w:val="auto"/>
                <w:w w:val="93"/>
              </w:rPr>
              <w:t>Amount of Realized and Unrealized Gain (Loss)</w:t>
            </w:r>
          </w:p>
        </w:tc>
        <w:tc>
          <w:tcPr>
            <w:tcW w:w="2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3"/>
          </w:tcPr>
          <w:p>
            <w:pPr>
              <w:jc w:val="right"/>
              <w:ind w:right="78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95"/>
        </w:trPr>
        <w:tc>
          <w:tcPr>
            <w:tcW w:w="5800" w:type="dxa"/>
            <w:vAlign w:val="bottom"/>
            <w:vMerge w:val="continue"/>
          </w:tcPr>
          <w:p>
            <w:pPr>
              <w:spacing w:after="0"/>
              <w:rPr>
                <w:sz w:val="8"/>
                <w:szCs w:val="8"/>
                <w:color w:val="auto"/>
              </w:rPr>
            </w:pPr>
          </w:p>
        </w:tc>
        <w:tc>
          <w:tcPr>
            <w:tcW w:w="2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6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8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80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5800" w:type="dxa"/>
            <w:vAlign w:val="bottom"/>
          </w:tcPr>
          <w:p>
            <w:pPr>
              <w:jc w:val="center"/>
              <w:ind w:left="788"/>
              <w:spacing w:after="0"/>
              <w:rPr>
                <w:sz w:val="20"/>
                <w:szCs w:val="20"/>
                <w:color w:val="auto"/>
              </w:rPr>
            </w:pPr>
            <w:r>
              <w:rPr>
                <w:rFonts w:ascii="Arial" w:cs="Arial" w:eastAsia="Arial" w:hAnsi="Arial"/>
                <w:sz w:val="14"/>
                <w:szCs w:val="14"/>
                <w:b w:val="1"/>
                <w:bCs w:val="1"/>
                <w:color w:val="auto"/>
                <w:w w:val="92"/>
              </w:rPr>
              <w:t>Derivative Instruments - Non-designated</w:t>
            </w:r>
          </w:p>
        </w:tc>
        <w:tc>
          <w:tcPr>
            <w:tcW w:w="2560" w:type="dxa"/>
            <w:vAlign w:val="bottom"/>
          </w:tcPr>
          <w:p>
            <w:pPr>
              <w:ind w:left="1440"/>
              <w:spacing w:after="0"/>
              <w:rPr>
                <w:sz w:val="20"/>
                <w:szCs w:val="20"/>
                <w:color w:val="auto"/>
              </w:rPr>
            </w:pPr>
            <w:r>
              <w:rPr>
                <w:rFonts w:ascii="Arial" w:cs="Arial" w:eastAsia="Arial" w:hAnsi="Arial"/>
                <w:sz w:val="14"/>
                <w:szCs w:val="14"/>
                <w:b w:val="1"/>
                <w:bCs w:val="1"/>
                <w:color w:val="auto"/>
              </w:rPr>
              <w:t>Location</w:t>
            </w:r>
          </w:p>
        </w:tc>
        <w:tc>
          <w:tcPr>
            <w:tcW w:w="360" w:type="dxa"/>
            <w:vAlign w:val="bottom"/>
          </w:tcPr>
          <w:p>
            <w:pPr>
              <w:spacing w:after="0"/>
              <w:rPr>
                <w:sz w:val="16"/>
                <w:szCs w:val="16"/>
                <w:color w:val="auto"/>
              </w:rPr>
            </w:pPr>
          </w:p>
        </w:tc>
        <w:tc>
          <w:tcPr>
            <w:tcW w:w="1180" w:type="dxa"/>
            <w:vAlign w:val="bottom"/>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6"/>
                <w:szCs w:val="16"/>
                <w:color w:val="auto"/>
              </w:rPr>
            </w:pPr>
          </w:p>
        </w:tc>
        <w:tc>
          <w:tcPr>
            <w:tcW w:w="1040" w:type="dxa"/>
            <w:vAlign w:val="bottom"/>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80"/>
        </w:trPr>
        <w:tc>
          <w:tcPr>
            <w:tcW w:w="580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5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25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800" w:type="dxa"/>
            <w:vAlign w:val="bottom"/>
            <w:shd w:val="clear" w:color="auto" w:fill="CCEEFF"/>
          </w:tcPr>
          <w:p>
            <w:pPr>
              <w:spacing w:after="0"/>
              <w:rPr>
                <w:sz w:val="6"/>
                <w:szCs w:val="6"/>
                <w:color w:val="auto"/>
              </w:rPr>
            </w:pPr>
          </w:p>
        </w:tc>
        <w:tc>
          <w:tcPr>
            <w:tcW w:w="25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00" w:type="dxa"/>
            <w:vAlign w:val="bottom"/>
          </w:tcPr>
          <w:p>
            <w:pPr>
              <w:spacing w:after="0"/>
              <w:rPr>
                <w:sz w:val="16"/>
                <w:szCs w:val="16"/>
                <w:color w:val="auto"/>
              </w:rPr>
            </w:pPr>
          </w:p>
        </w:tc>
        <w:tc>
          <w:tcPr>
            <w:tcW w:w="2560" w:type="dxa"/>
            <w:vAlign w:val="bottom"/>
          </w:tcPr>
          <w:p>
            <w:pPr>
              <w:ind w:left="980"/>
              <w:spacing w:after="0"/>
              <w:rPr>
                <w:sz w:val="20"/>
                <w:szCs w:val="20"/>
                <w:color w:val="auto"/>
              </w:rPr>
            </w:pPr>
            <w:r>
              <w:rPr>
                <w:rFonts w:ascii="Arial" w:cs="Arial" w:eastAsia="Arial" w:hAnsi="Arial"/>
                <w:sz w:val="14"/>
                <w:szCs w:val="14"/>
                <w:color w:val="auto"/>
              </w:rPr>
              <w:t>Revenue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47.6</w:t>
            </w: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80"/>
        </w:trPr>
        <w:tc>
          <w:tcPr>
            <w:tcW w:w="5800" w:type="dxa"/>
            <w:vAlign w:val="bottom"/>
          </w:tcPr>
          <w:p>
            <w:pPr>
              <w:spacing w:after="0"/>
              <w:rPr>
                <w:sz w:val="6"/>
                <w:szCs w:val="6"/>
                <w:color w:val="auto"/>
              </w:rPr>
            </w:pPr>
          </w:p>
        </w:tc>
        <w:tc>
          <w:tcPr>
            <w:tcW w:w="2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00" w:type="dxa"/>
            <w:vAlign w:val="bottom"/>
            <w:shd w:val="clear" w:color="auto" w:fill="CCEEFF"/>
          </w:tcPr>
          <w:p>
            <w:pPr>
              <w:spacing w:after="0"/>
              <w:rPr>
                <w:sz w:val="16"/>
                <w:szCs w:val="16"/>
                <w:color w:val="auto"/>
              </w:rPr>
            </w:pPr>
          </w:p>
        </w:tc>
        <w:tc>
          <w:tcPr>
            <w:tcW w:w="2560" w:type="dxa"/>
            <w:vAlign w:val="bottom"/>
            <w:shd w:val="clear" w:color="auto" w:fill="CCEEFF"/>
          </w:tcPr>
          <w:p>
            <w:pPr>
              <w:ind w:left="980"/>
              <w:spacing w:after="0"/>
              <w:rPr>
                <w:sz w:val="20"/>
                <w:szCs w:val="20"/>
                <w:color w:val="auto"/>
              </w:rPr>
            </w:pPr>
            <w:r>
              <w:rPr>
                <w:rFonts w:ascii="Arial" w:cs="Arial" w:eastAsia="Arial" w:hAnsi="Arial"/>
                <w:sz w:val="14"/>
                <w:szCs w:val="14"/>
                <w:color w:val="auto"/>
              </w:rPr>
              <w:t>Cost of revenue</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(37.0)</w:t>
            </w:r>
          </w:p>
        </w:tc>
        <w:tc>
          <w:tcPr>
            <w:tcW w:w="4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80"/>
        </w:trPr>
        <w:tc>
          <w:tcPr>
            <w:tcW w:w="5800" w:type="dxa"/>
            <w:vAlign w:val="bottom"/>
            <w:shd w:val="clear" w:color="auto" w:fill="CCEEFF"/>
          </w:tcPr>
          <w:p>
            <w:pPr>
              <w:spacing w:after="0"/>
              <w:rPr>
                <w:sz w:val="6"/>
                <w:szCs w:val="6"/>
                <w:color w:val="auto"/>
              </w:rPr>
            </w:pPr>
          </w:p>
        </w:tc>
        <w:tc>
          <w:tcPr>
            <w:tcW w:w="256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58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10.6</w:t>
            </w: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80"/>
        </w:trPr>
        <w:tc>
          <w:tcPr>
            <w:tcW w:w="5800" w:type="dxa"/>
            <w:vAlign w:val="bottom"/>
          </w:tcPr>
          <w:p>
            <w:pPr>
              <w:spacing w:after="0"/>
              <w:rPr>
                <w:sz w:val="6"/>
                <w:szCs w:val="6"/>
                <w:color w:val="auto"/>
              </w:rPr>
            </w:pPr>
          </w:p>
        </w:tc>
        <w:tc>
          <w:tcPr>
            <w:tcW w:w="2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contracts</w:t>
            </w:r>
          </w:p>
        </w:tc>
        <w:tc>
          <w:tcPr>
            <w:tcW w:w="25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800" w:type="dxa"/>
            <w:vAlign w:val="bottom"/>
            <w:shd w:val="clear" w:color="auto" w:fill="CCEEFF"/>
          </w:tcPr>
          <w:p>
            <w:pPr>
              <w:spacing w:after="0"/>
              <w:rPr>
                <w:sz w:val="6"/>
                <w:szCs w:val="6"/>
                <w:color w:val="auto"/>
              </w:rPr>
            </w:pPr>
          </w:p>
        </w:tc>
        <w:tc>
          <w:tcPr>
            <w:tcW w:w="25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00" w:type="dxa"/>
            <w:vAlign w:val="bottom"/>
          </w:tcPr>
          <w:p>
            <w:pPr>
              <w:spacing w:after="0"/>
              <w:rPr>
                <w:sz w:val="16"/>
                <w:szCs w:val="16"/>
                <w:color w:val="auto"/>
              </w:rPr>
            </w:pPr>
          </w:p>
        </w:tc>
        <w:tc>
          <w:tcPr>
            <w:tcW w:w="2560" w:type="dxa"/>
            <w:vAlign w:val="bottom"/>
          </w:tcPr>
          <w:p>
            <w:pPr>
              <w:ind w:left="980"/>
              <w:spacing w:after="0"/>
              <w:rPr>
                <w:sz w:val="20"/>
                <w:szCs w:val="20"/>
                <w:color w:val="auto"/>
              </w:rPr>
            </w:pPr>
            <w:r>
              <w:rPr>
                <w:rFonts w:ascii="Arial" w:cs="Arial" w:eastAsia="Arial" w:hAnsi="Arial"/>
                <w:sz w:val="14"/>
                <w:szCs w:val="14"/>
                <w:color w:val="auto"/>
              </w:rPr>
              <w:t>Revenue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80"/>
        </w:trPr>
        <w:tc>
          <w:tcPr>
            <w:tcW w:w="5800" w:type="dxa"/>
            <w:vAlign w:val="bottom"/>
          </w:tcPr>
          <w:p>
            <w:pPr>
              <w:spacing w:after="0"/>
              <w:rPr>
                <w:sz w:val="6"/>
                <w:szCs w:val="6"/>
                <w:color w:val="auto"/>
              </w:rPr>
            </w:pPr>
          </w:p>
        </w:tc>
        <w:tc>
          <w:tcPr>
            <w:tcW w:w="2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00" w:type="dxa"/>
            <w:vAlign w:val="bottom"/>
            <w:shd w:val="clear" w:color="auto" w:fill="CCEEFF"/>
          </w:tcPr>
          <w:p>
            <w:pPr>
              <w:spacing w:after="0"/>
              <w:rPr>
                <w:sz w:val="16"/>
                <w:szCs w:val="16"/>
                <w:color w:val="auto"/>
              </w:rPr>
            </w:pPr>
          </w:p>
        </w:tc>
        <w:tc>
          <w:tcPr>
            <w:tcW w:w="2560" w:type="dxa"/>
            <w:vAlign w:val="bottom"/>
            <w:shd w:val="clear" w:color="auto" w:fill="CCEEFF"/>
          </w:tcPr>
          <w:p>
            <w:pPr>
              <w:ind w:left="980"/>
              <w:spacing w:after="0"/>
              <w:rPr>
                <w:sz w:val="20"/>
                <w:szCs w:val="20"/>
                <w:color w:val="auto"/>
              </w:rPr>
            </w:pPr>
            <w:r>
              <w:rPr>
                <w:rFonts w:ascii="Arial" w:cs="Arial" w:eastAsia="Arial" w:hAnsi="Arial"/>
                <w:sz w:val="14"/>
                <w:szCs w:val="14"/>
                <w:color w:val="auto"/>
              </w:rPr>
              <w:t>Other expense, net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4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80"/>
        </w:trPr>
        <w:tc>
          <w:tcPr>
            <w:tcW w:w="5800" w:type="dxa"/>
            <w:vAlign w:val="bottom"/>
            <w:shd w:val="clear" w:color="auto" w:fill="CCEEFF"/>
          </w:tcPr>
          <w:p>
            <w:pPr>
              <w:spacing w:after="0"/>
              <w:rPr>
                <w:sz w:val="6"/>
                <w:szCs w:val="6"/>
                <w:color w:val="auto"/>
              </w:rPr>
            </w:pPr>
          </w:p>
        </w:tc>
        <w:tc>
          <w:tcPr>
            <w:tcW w:w="256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58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80"/>
        </w:trPr>
        <w:tc>
          <w:tcPr>
            <w:tcW w:w="580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5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Gain</w:t>
            </w:r>
          </w:p>
        </w:tc>
        <w:tc>
          <w:tcPr>
            <w:tcW w:w="256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7.2</w:t>
            </w:r>
          </w:p>
        </w:tc>
        <w:tc>
          <w:tcPr>
            <w:tcW w:w="4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80"/>
        </w:trPr>
        <w:tc>
          <w:tcPr>
            <w:tcW w:w="5800" w:type="dxa"/>
            <w:vAlign w:val="bottom"/>
            <w:tcBorders>
              <w:bottom w:val="single" w:sz="8" w:color="auto"/>
            </w:tcBorders>
            <w:shd w:val="clear" w:color="auto" w:fill="CCEEFF"/>
          </w:tcPr>
          <w:p>
            <w:pPr>
              <w:spacing w:after="0"/>
              <w:rPr>
                <w:sz w:val="6"/>
                <w:szCs w:val="6"/>
                <w:color w:val="auto"/>
              </w:rPr>
            </w:pPr>
          </w:p>
        </w:tc>
        <w:tc>
          <w:tcPr>
            <w:tcW w:w="256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enter into derivative instrument contracts which may require us to periodically provide collateral. Certain derivative contracts contain credit-risk-related contingent clauses which are triggered by credit events. These credit events may include the requirement to provide additional collateral or the immediate settlement of the derivative instruments upon the occurrence of a credit downgrade or if certain defined financial ratios fall below an established threshold. The following table presents the potential collateral requirements for derivative liabilities with credit-risk-contingent features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2"/>
          </w:tcPr>
          <w:p>
            <w:pPr>
              <w:jc w:val="center"/>
              <w:ind w:left="288"/>
              <w:spacing w:after="0"/>
              <w:rPr>
                <w:sz w:val="20"/>
                <w:szCs w:val="20"/>
                <w:color w:val="auto"/>
              </w:rPr>
            </w:pPr>
            <w:r>
              <w:rPr>
                <w:rFonts w:ascii="Arial" w:cs="Arial" w:eastAsia="Arial" w:hAnsi="Arial"/>
                <w:sz w:val="14"/>
                <w:szCs w:val="14"/>
                <w:b w:val="1"/>
                <w:bCs w:val="1"/>
                <w:color w:val="333333"/>
                <w:w w:val="94"/>
              </w:rPr>
              <w:t>Potential Collateral Requirements for</w:t>
            </w:r>
          </w:p>
        </w:tc>
        <w:tc>
          <w:tcPr>
            <w:tcW w:w="480" w:type="dxa"/>
            <w:vAlign w:val="bottom"/>
          </w:tcPr>
          <w:p>
            <w:pPr>
              <w:spacing w:after="0"/>
              <w:rPr>
                <w:sz w:val="14"/>
                <w:szCs w:val="14"/>
                <w:color w:val="auto"/>
              </w:rPr>
            </w:pPr>
          </w:p>
        </w:tc>
      </w:tr>
      <w:tr>
        <w:trPr>
          <w:trHeight w:val="149"/>
        </w:trPr>
        <w:tc>
          <w:tcPr>
            <w:tcW w:w="7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80" w:type="dxa"/>
            <w:vAlign w:val="bottom"/>
            <w:gridSpan w:val="2"/>
          </w:tcPr>
          <w:p>
            <w:pPr>
              <w:jc w:val="center"/>
              <w:ind w:left="288"/>
              <w:spacing w:after="0" w:line="149" w:lineRule="exact"/>
              <w:rPr>
                <w:sz w:val="20"/>
                <w:szCs w:val="20"/>
                <w:color w:val="auto"/>
              </w:rPr>
            </w:pPr>
            <w:r>
              <w:rPr>
                <w:rFonts w:ascii="Arial" w:cs="Arial" w:eastAsia="Arial" w:hAnsi="Arial"/>
                <w:sz w:val="14"/>
                <w:szCs w:val="14"/>
                <w:b w:val="1"/>
                <w:bCs w:val="1"/>
                <w:color w:val="333333"/>
                <w:w w:val="95"/>
              </w:rPr>
              <w:t>Derivative Liabilities with</w:t>
            </w:r>
          </w:p>
        </w:tc>
        <w:tc>
          <w:tcPr>
            <w:tcW w:w="480" w:type="dxa"/>
            <w:vAlign w:val="bottom"/>
          </w:tcPr>
          <w:p>
            <w:pPr>
              <w:spacing w:after="0"/>
              <w:rPr>
                <w:sz w:val="12"/>
                <w:szCs w:val="12"/>
                <w:color w:val="auto"/>
              </w:rPr>
            </w:pPr>
          </w:p>
        </w:tc>
      </w:tr>
      <w:tr>
        <w:trPr>
          <w:trHeight w:val="192"/>
        </w:trPr>
        <w:tc>
          <w:tcPr>
            <w:tcW w:w="7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2"/>
          </w:tcPr>
          <w:p>
            <w:pPr>
              <w:jc w:val="center"/>
              <w:ind w:left="268"/>
              <w:spacing w:after="0"/>
              <w:rPr>
                <w:sz w:val="20"/>
                <w:szCs w:val="20"/>
                <w:color w:val="auto"/>
              </w:rPr>
            </w:pPr>
            <w:r>
              <w:rPr>
                <w:rFonts w:ascii="Arial" w:cs="Arial" w:eastAsia="Arial" w:hAnsi="Arial"/>
                <w:sz w:val="14"/>
                <w:szCs w:val="14"/>
                <w:b w:val="1"/>
                <w:bCs w:val="1"/>
                <w:color w:val="333333"/>
                <w:w w:val="93"/>
              </w:rPr>
              <w:t>Credit-Risk-Contingent Features</w:t>
            </w:r>
          </w:p>
        </w:tc>
        <w:tc>
          <w:tcPr>
            <w:tcW w:w="480" w:type="dxa"/>
            <w:vAlign w:val="bottom"/>
            <w:tcBorders>
              <w:bottom w:val="single" w:sz="8" w:color="auto"/>
            </w:tcBorders>
          </w:tcPr>
          <w:p>
            <w:pPr>
              <w:spacing w:after="0"/>
              <w:rPr>
                <w:sz w:val="16"/>
                <w:szCs w:val="16"/>
                <w:color w:val="auto"/>
              </w:rPr>
            </w:pPr>
          </w:p>
        </w:tc>
      </w:tr>
      <w:tr>
        <w:trPr>
          <w:trHeight w:val="190"/>
        </w:trPr>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ind w:right="148"/>
              <w:spacing w:after="0"/>
              <w:rPr>
                <w:sz w:val="20"/>
                <w:szCs w:val="20"/>
                <w:color w:val="auto"/>
              </w:rPr>
            </w:pPr>
            <w:r>
              <w:rPr>
                <w:rFonts w:ascii="Arial" w:cs="Arial" w:eastAsia="Arial" w:hAnsi="Arial"/>
                <w:sz w:val="14"/>
                <w:szCs w:val="14"/>
                <w:b w:val="1"/>
                <w:bCs w:val="1"/>
                <w:color w:val="333333"/>
                <w:w w:val="96"/>
              </w:rPr>
              <w:t>As of March 31, 2018</w:t>
            </w:r>
          </w:p>
        </w:tc>
        <w:tc>
          <w:tcPr>
            <w:tcW w:w="1780" w:type="dxa"/>
            <w:vAlign w:val="bottom"/>
            <w:gridSpan w:val="2"/>
          </w:tcPr>
          <w:p>
            <w:pPr>
              <w:jc w:val="right"/>
              <w:ind w:right="8"/>
              <w:spacing w:after="0"/>
              <w:rPr>
                <w:sz w:val="20"/>
                <w:szCs w:val="20"/>
                <w:color w:val="auto"/>
              </w:rPr>
            </w:pPr>
            <w:r>
              <w:rPr>
                <w:rFonts w:ascii="Arial" w:cs="Arial" w:eastAsia="Arial" w:hAnsi="Arial"/>
                <w:sz w:val="14"/>
                <w:szCs w:val="14"/>
                <w:b w:val="1"/>
                <w:bCs w:val="1"/>
                <w:color w:val="333333"/>
              </w:rPr>
              <w:t>As of December 31, 2017</w:t>
            </w:r>
          </w:p>
        </w:tc>
      </w:tr>
      <w:tr>
        <w:trPr>
          <w:trHeight w:val="80"/>
        </w:trPr>
        <w:tc>
          <w:tcPr>
            <w:tcW w:w="79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r>
      <w:tr>
        <w:trPr>
          <w:trHeight w:val="184"/>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derivatives liability positions with credit contingent features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10.8</w:t>
            </w:r>
          </w:p>
        </w:tc>
        <w:tc>
          <w:tcPr>
            <w:tcW w:w="13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r>
      <w:tr>
        <w:trPr>
          <w:trHeight w:val="80"/>
        </w:trPr>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r>
      <w:tr>
        <w:trPr>
          <w:trHeight w:val="191"/>
        </w:trPr>
        <w:tc>
          <w:tcPr>
            <w:tcW w:w="7900" w:type="dxa"/>
            <w:vAlign w:val="bottom"/>
          </w:tcPr>
          <w:p>
            <w:pPr>
              <w:ind w:left="40"/>
              <w:spacing w:after="0"/>
              <w:rPr>
                <w:sz w:val="20"/>
                <w:szCs w:val="20"/>
                <w:color w:val="auto"/>
              </w:rPr>
            </w:pPr>
            <w:r>
              <w:rPr>
                <w:rFonts w:ascii="Arial" w:cs="Arial" w:eastAsia="Arial" w:hAnsi="Arial"/>
                <w:sz w:val="14"/>
                <w:szCs w:val="14"/>
                <w:color w:val="auto"/>
              </w:rPr>
              <w:t>Maximum potential collateral requirements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10.8</w:t>
            </w:r>
          </w:p>
        </w:tc>
        <w:tc>
          <w:tcPr>
            <w:tcW w:w="13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11.8</w:t>
            </w:r>
          </w:p>
        </w:tc>
      </w:tr>
      <w:tr>
        <w:trPr>
          <w:trHeight w:val="80"/>
        </w:trPr>
        <w:tc>
          <w:tcPr>
            <w:tcW w:w="79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pacing w:after="0" w:line="21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At March 31, 2018 and December 31, 2017, there was no collateral held by our counterparties on these derivative contracts with credit-risk-contingent features.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Goodwill arises because the purchase price paid for our acquisitions reflects numerous factors, including the strategic fit and expected synergies these acquisitions bring to our existing operations. Goodwill is recorded at fair value and is reviewed at least annually for impairment.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components of and changes in the carrying amount of goodwill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Aviation</w:t>
            </w:r>
          </w:p>
        </w:tc>
        <w:tc>
          <w:tcPr>
            <w:tcW w:w="5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Land</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Total</w:t>
            </w:r>
          </w:p>
        </w:tc>
      </w:tr>
      <w:tr>
        <w:trPr>
          <w:trHeight w:val="270"/>
        </w:trPr>
        <w:tc>
          <w:tcPr>
            <w:tcW w:w="4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December 31, 2017</w:t>
            </w:r>
          </w:p>
        </w:tc>
        <w:tc>
          <w:tcPr>
            <w:tcW w:w="3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326.9</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518.5</w:t>
            </w:r>
          </w:p>
        </w:tc>
        <w:tc>
          <w:tcPr>
            <w:tcW w:w="4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845.5</w:t>
            </w:r>
          </w:p>
        </w:tc>
      </w:tr>
      <w:tr>
        <w:trPr>
          <w:trHeight w:val="264"/>
        </w:trPr>
        <w:tc>
          <w:tcPr>
            <w:tcW w:w="4400" w:type="dxa"/>
            <w:vAlign w:val="bottom"/>
          </w:tcPr>
          <w:p>
            <w:pPr>
              <w:ind w:left="40"/>
              <w:spacing w:after="0"/>
              <w:rPr>
                <w:sz w:val="20"/>
                <w:szCs w:val="20"/>
                <w:color w:val="auto"/>
              </w:rPr>
            </w:pPr>
            <w:r>
              <w:rPr>
                <w:rFonts w:ascii="Arial" w:cs="Arial" w:eastAsia="Arial" w:hAnsi="Arial"/>
                <w:sz w:val="14"/>
                <w:szCs w:val="14"/>
                <w:color w:val="auto"/>
              </w:rPr>
              <w:t>Additions</w:t>
            </w:r>
          </w:p>
        </w:tc>
        <w:tc>
          <w:tcPr>
            <w:tcW w:w="3120" w:type="dxa"/>
            <w:vAlign w:val="bottom"/>
          </w:tcPr>
          <w:p>
            <w:pPr>
              <w:spacing w:after="0"/>
              <w:rPr>
                <w:sz w:val="22"/>
                <w:szCs w:val="22"/>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13.7</w:t>
            </w:r>
          </w:p>
        </w:tc>
        <w:tc>
          <w:tcPr>
            <w:tcW w:w="4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13.7</w:t>
            </w:r>
          </w:p>
        </w:tc>
      </w:tr>
      <w:tr>
        <w:trPr>
          <w:trHeight w:val="270"/>
        </w:trPr>
        <w:tc>
          <w:tcPr>
            <w:tcW w:w="4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Foreign exchange and other adjustments</w:t>
            </w:r>
          </w:p>
        </w:tc>
        <w:tc>
          <w:tcPr>
            <w:tcW w:w="31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4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w:t>
            </w:r>
          </w:p>
        </w:tc>
        <w:tc>
          <w:tcPr>
            <w:tcW w:w="4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w:t>
            </w:r>
          </w:p>
        </w:tc>
      </w:tr>
      <w:tr>
        <w:trPr>
          <w:trHeight w:val="264"/>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March 31, 2018</w:t>
            </w:r>
          </w:p>
        </w:tc>
        <w:tc>
          <w:tcPr>
            <w:tcW w:w="3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325.5</w:t>
            </w: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541.3</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866.9</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Interest Income, Expense and Other Finance Costs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30, 2018, we elected to amend our Credit Facility (the “Amendment”), and prepay certain amounts on our Term Loans. The Amendment lowers the borrowing capacity of our Credit Facility to approximately $1.16 billion with a sublimit of $400.0 million for the issuance of letters of credit and bankers' acceptances. Under the Credit Facility, we have the right to request increases in available borrowings up to an additional $200.0 million, subject to the satisfaction of certain conditions. The Credit Facility matures in October 2021. In connection with the Amendment, we also elected to make a $300.0 million payment on the outstanding amounts owed on the Term Loans.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debt consisted of the following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Pr>
          <w:p>
            <w:pPr>
              <w:spacing w:after="0"/>
              <w:rPr>
                <w:sz w:val="16"/>
                <w:szCs w:val="16"/>
                <w:color w:val="auto"/>
              </w:rPr>
            </w:pPr>
          </w:p>
        </w:tc>
      </w:tr>
      <w:tr>
        <w:trPr>
          <w:trHeight w:val="80"/>
        </w:trPr>
        <w:tc>
          <w:tcPr>
            <w:tcW w:w="766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r>
      <w:tr>
        <w:trPr>
          <w:trHeight w:val="252"/>
        </w:trPr>
        <w:tc>
          <w:tcPr>
            <w:tcW w:w="7660" w:type="dxa"/>
            <w:vAlign w:val="bottom"/>
          </w:tcPr>
          <w:p>
            <w:pPr>
              <w:spacing w:after="0"/>
              <w:rPr>
                <w:sz w:val="21"/>
                <w:szCs w:val="21"/>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6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Credit Facility</w:t>
            </w:r>
          </w:p>
        </w:tc>
        <w:tc>
          <w:tcPr>
            <w:tcW w:w="1320" w:type="dxa"/>
            <w:vAlign w:val="bottom"/>
          </w:tcPr>
          <w:p>
            <w:pPr>
              <w:jc w:val="right"/>
              <w:ind w:right="114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289.0</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60.0</w:t>
            </w: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Term Loans</w:t>
            </w:r>
          </w:p>
        </w:tc>
        <w:tc>
          <w:tcPr>
            <w:tcW w:w="13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531.6</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835.8</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Capital leases</w:t>
            </w:r>
          </w:p>
        </w:tc>
        <w:tc>
          <w:tcPr>
            <w:tcW w:w="13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10.0</w:t>
            </w:r>
          </w:p>
        </w:tc>
        <w:tc>
          <w:tcPr>
            <w:tcW w:w="50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10.4</w:t>
            </w:r>
          </w:p>
        </w:tc>
      </w:tr>
      <w:tr>
        <w:trPr>
          <w:trHeight w:val="270"/>
        </w:trPr>
        <w:tc>
          <w:tcPr>
            <w:tcW w:w="7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3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5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debt</w:t>
            </w:r>
          </w:p>
        </w:tc>
        <w:tc>
          <w:tcPr>
            <w:tcW w:w="1320" w:type="dxa"/>
            <w:vAlign w:val="bottom"/>
            <w:tcBorders>
              <w:bottom w:val="single" w:sz="8" w:color="auto"/>
            </w:tcBorders>
          </w:tcPr>
          <w:p>
            <w:pPr>
              <w:jc w:val="right"/>
              <w:ind w:right="11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834.4</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910.2</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maturities of long-term debt and capital leases</w:t>
            </w:r>
          </w:p>
        </w:tc>
        <w:tc>
          <w:tcPr>
            <w:tcW w:w="1320" w:type="dxa"/>
            <w:vAlign w:val="bottom"/>
            <w:shd w:val="clear" w:color="auto" w:fill="CCEEFF"/>
          </w:tcPr>
          <w:p>
            <w:pPr>
              <w:jc w:val="right"/>
              <w:ind w:right="11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Long-term debt</w:t>
            </w:r>
          </w:p>
        </w:tc>
        <w:tc>
          <w:tcPr>
            <w:tcW w:w="1320" w:type="dxa"/>
            <w:vAlign w:val="bottom"/>
            <w:tcBorders>
              <w:bottom w:val="single" w:sz="8" w:color="auto"/>
            </w:tcBorders>
          </w:tcPr>
          <w:p>
            <w:pPr>
              <w:jc w:val="right"/>
              <w:ind w:right="11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800.8</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884.6</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additional information about our interest income (expense), and other financing costs, net, for the periods presented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318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For the Three Months Ended</w:t>
            </w:r>
          </w:p>
        </w:tc>
        <w:tc>
          <w:tcPr>
            <w:tcW w:w="580" w:type="dxa"/>
            <w:vAlign w:val="bottom"/>
          </w:tcPr>
          <w:p>
            <w:pPr>
              <w:spacing w:after="0"/>
              <w:rPr>
                <w:sz w:val="16"/>
                <w:szCs w:val="16"/>
                <w:color w:val="auto"/>
              </w:rPr>
            </w:pPr>
          </w:p>
        </w:tc>
      </w:tr>
      <w:tr>
        <w:trPr>
          <w:trHeight w:val="276"/>
        </w:trPr>
        <w:tc>
          <w:tcPr>
            <w:tcW w:w="766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ind w:right="888"/>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24"/>
                <w:szCs w:val="24"/>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260" w:type="dxa"/>
            <w:vAlign w:val="bottom"/>
            <w:shd w:val="clear" w:color="auto" w:fill="CCEEFF"/>
          </w:tcPr>
          <w:p>
            <w:pPr>
              <w:jc w:val="right"/>
              <w:ind w:right="10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0.6</w:t>
            </w:r>
          </w:p>
        </w:tc>
        <w:tc>
          <w:tcPr>
            <w:tcW w:w="130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 and other financing costs</w:t>
            </w:r>
          </w:p>
        </w:tc>
        <w:tc>
          <w:tcPr>
            <w:tcW w:w="1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w:t>
            </w:r>
          </w:p>
        </w:tc>
        <w:tc>
          <w:tcPr>
            <w:tcW w:w="13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r>
      <w:tr>
        <w:trPr>
          <w:trHeight w:val="264"/>
        </w:trPr>
        <w:tc>
          <w:tcPr>
            <w:tcW w:w="76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w:t>
            </w:r>
          </w:p>
        </w:tc>
        <w:tc>
          <w:tcPr>
            <w:tcW w:w="130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carrying amounts of cash and cash equivalents, accounts receivable, net, accounts payable and accrued expenses and other current liabilities approximate fair value based on the short-term maturities of these instruments. The carrying values of our debt and notes receivables approximate fair value since these instruments bear interest either at variable rates or fixed rates which are not significantly different than market rates. Based on the fair value hierarchy, our debt of $834.4 million and $910.2 million as of March 31, 2018 and December 31, 2017, respectively, and our notes receivable of $44.7 million and $44.9 million as of March 31, 2018 and December 31, 2017, respectively, are categorized in Level 2.</w:t>
      </w:r>
    </w:p>
    <w:p>
      <w:pPr>
        <w:sectPr>
          <w:pgSz w:w="11900" w:h="16838" w:orient="portrait"/>
          <w:cols w:equalWidth="0" w:num="1">
            <w:col w:w="11420"/>
          </w:cols>
          <w:pgMar w:left="240" w:top="125" w:right="2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information about our gross assets and liabilities that are measured at fair value on a recurring basis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Fair Value measurements as of March 31, 2018</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42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 Inputs</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Level 2 Inputs</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Level 3 Inputs</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5"/>
              </w:rPr>
              <w:t>Total Fair Value</w:t>
            </w:r>
          </w:p>
        </w:tc>
      </w:tr>
      <w:tr>
        <w:trPr>
          <w:trHeight w:val="270"/>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Commodities contracts</w:t>
            </w:r>
          </w:p>
        </w:tc>
        <w:tc>
          <w:tcPr>
            <w:tcW w:w="2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179.9</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127.0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308.0</w:t>
            </w: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contracts</w:t>
            </w:r>
          </w:p>
        </w:tc>
        <w:tc>
          <w:tcPr>
            <w:tcW w:w="20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r>
      <w:tr>
        <w:trPr>
          <w:trHeight w:val="264"/>
        </w:trPr>
        <w:tc>
          <w:tcPr>
            <w:tcW w:w="42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Cash surrender value of life insurance</w:t>
            </w:r>
          </w:p>
        </w:tc>
        <w:tc>
          <w:tcPr>
            <w:tcW w:w="20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w:t>
            </w:r>
          </w:p>
        </w:tc>
      </w:tr>
      <w:tr>
        <w:trPr>
          <w:trHeight w:val="264"/>
        </w:trPr>
        <w:tc>
          <w:tcPr>
            <w:tcW w:w="42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assets at fair value</w:t>
            </w:r>
          </w:p>
        </w:tc>
        <w:tc>
          <w:tcPr>
            <w:tcW w:w="2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179.9</w:t>
            </w: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140.3</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321.3</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4"/>
        </w:trPr>
        <w:tc>
          <w:tcPr>
            <w:tcW w:w="4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20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Commodities contracts</w:t>
            </w:r>
          </w:p>
        </w:tc>
        <w:tc>
          <w:tcPr>
            <w:tcW w:w="2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187.8</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118.5</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0.7</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307.0</w:t>
            </w:r>
          </w:p>
        </w:tc>
      </w:tr>
      <w:tr>
        <w:trPr>
          <w:trHeight w:val="270"/>
        </w:trPr>
        <w:tc>
          <w:tcPr>
            <w:tcW w:w="42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Foreign currency contracts</w:t>
            </w:r>
          </w:p>
        </w:tc>
        <w:tc>
          <w:tcPr>
            <w:tcW w:w="20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13.2</w:t>
            </w: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w:t>
            </w:r>
          </w:p>
        </w:tc>
      </w:tr>
      <w:tr>
        <w:trPr>
          <w:trHeight w:val="264"/>
        </w:trPr>
        <w:tc>
          <w:tcPr>
            <w:tcW w:w="42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liabilities at fair value</w:t>
            </w:r>
          </w:p>
        </w:tc>
        <w:tc>
          <w:tcPr>
            <w:tcW w:w="2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187.8</w:t>
            </w: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131.7</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320.1</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gridSpan w:val="6"/>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48"/>
        </w:trPr>
        <w:tc>
          <w:tcPr>
            <w:tcW w:w="4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measurements as of December 31, 2017</w:t>
            </w:r>
          </w:p>
        </w:tc>
        <w:tc>
          <w:tcPr>
            <w:tcW w:w="1140" w:type="dxa"/>
            <w:vAlign w:val="bottom"/>
            <w:tcBorders>
              <w:bottom w:val="single" w:sz="8" w:color="auto"/>
            </w:tcBorders>
          </w:tcPr>
          <w:p>
            <w:pPr>
              <w:spacing w:after="0"/>
              <w:rPr>
                <w:sz w:val="24"/>
                <w:szCs w:val="24"/>
                <w:color w:val="auto"/>
              </w:rPr>
            </w:pPr>
          </w:p>
        </w:tc>
      </w:tr>
      <w:tr>
        <w:trPr>
          <w:trHeight w:val="264"/>
        </w:trPr>
        <w:tc>
          <w:tcPr>
            <w:tcW w:w="42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 Inputs</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Level 2 Inputs</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Level 3 Inputs</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5"/>
              </w:rPr>
              <w:t>Total Fair Value</w:t>
            </w:r>
          </w:p>
        </w:tc>
      </w:tr>
      <w:tr>
        <w:trPr>
          <w:trHeight w:val="264"/>
        </w:trPr>
        <w:tc>
          <w:tcPr>
            <w:tcW w:w="4220" w:type="dxa"/>
            <w:vAlign w:val="bottom"/>
          </w:tcPr>
          <w:p>
            <w:pPr>
              <w:ind w:left="40"/>
              <w:spacing w:after="0"/>
              <w:rPr>
                <w:sz w:val="20"/>
                <w:szCs w:val="20"/>
                <w:color w:val="auto"/>
              </w:rPr>
            </w:pPr>
            <w:r>
              <w:rPr>
                <w:rFonts w:ascii="Arial" w:cs="Arial" w:eastAsia="Arial" w:hAnsi="Arial"/>
                <w:sz w:val="14"/>
                <w:szCs w:val="14"/>
                <w:color w:val="auto"/>
              </w:rPr>
              <w:t>Assets:</w:t>
            </w:r>
          </w:p>
        </w:tc>
        <w:tc>
          <w:tcPr>
            <w:tcW w:w="2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Commodities contracts</w:t>
            </w:r>
          </w:p>
        </w:tc>
        <w:tc>
          <w:tcPr>
            <w:tcW w:w="2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106.1</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303.6</w:t>
            </w: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Foreign currency contracts</w:t>
            </w:r>
          </w:p>
        </w:tc>
        <w:tc>
          <w:tcPr>
            <w:tcW w:w="20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260" w:type="dxa"/>
            <w:vAlign w:val="bottom"/>
          </w:tcPr>
          <w:p>
            <w:pPr>
              <w:spacing w:after="0"/>
              <w:rPr>
                <w:sz w:val="22"/>
                <w:szCs w:val="22"/>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8.5</w:t>
            </w:r>
          </w:p>
        </w:tc>
      </w:tr>
      <w:tr>
        <w:trPr>
          <w:trHeight w:val="270"/>
        </w:trPr>
        <w:tc>
          <w:tcPr>
            <w:tcW w:w="42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Cash surrender value of life insurance</w:t>
            </w:r>
          </w:p>
        </w:tc>
        <w:tc>
          <w:tcPr>
            <w:tcW w:w="20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r>
      <w:tr>
        <w:trPr>
          <w:trHeight w:val="304"/>
        </w:trPr>
        <w:tc>
          <w:tcPr>
            <w:tcW w:w="42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assets at fair value</w:t>
            </w:r>
          </w:p>
        </w:tc>
        <w:tc>
          <w:tcPr>
            <w:tcW w:w="2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196.3</w:t>
            </w: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120.2</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317.7</w:t>
            </w:r>
          </w:p>
        </w:tc>
      </w:tr>
      <w:tr>
        <w:trPr>
          <w:trHeight w:val="284"/>
        </w:trPr>
        <w:tc>
          <w:tcPr>
            <w:tcW w:w="422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422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2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Commodities contracts</w:t>
            </w:r>
          </w:p>
        </w:tc>
        <w:tc>
          <w:tcPr>
            <w:tcW w:w="2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w:t>
            </w: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111.8</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323.9</w:t>
            </w:r>
          </w:p>
        </w:tc>
      </w:tr>
      <w:tr>
        <w:trPr>
          <w:trHeight w:val="264"/>
        </w:trPr>
        <w:tc>
          <w:tcPr>
            <w:tcW w:w="42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Foreign currency contracts</w:t>
            </w:r>
          </w:p>
        </w:tc>
        <w:tc>
          <w:tcPr>
            <w:tcW w:w="20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w:t>
            </w:r>
          </w:p>
        </w:tc>
      </w:tr>
      <w:tr>
        <w:trPr>
          <w:trHeight w:val="264"/>
        </w:trPr>
        <w:tc>
          <w:tcPr>
            <w:tcW w:w="42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liabilities at fair value</w:t>
            </w:r>
          </w:p>
        </w:tc>
        <w:tc>
          <w:tcPr>
            <w:tcW w:w="2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210.6</w:t>
            </w: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120.5</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332.5</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transfers between Level 1 and Level 2 during the periods presented. The fair values of our commodity contracts measured using Level 3 inputs were not material at March 31, 2018 and December 31, 2017, respectively.</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fair value of cash collateral paid or received against fair value amounts recognized for net derivative positions executed with the same counterparty under the same master netting or offset agreement.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summarize those commodity derivative balances subject to the right of offset as presented on our consolidated balance sheet. We have elected to offset the recognized fair value amounts for multiple derivative instruments executed with the same counterparty in our financial statements when a legal right of offset exists.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3"/>
          </w:tcPr>
          <w:p>
            <w:pPr>
              <w:jc w:val="right"/>
              <w:ind w:right="488"/>
              <w:spacing w:after="0"/>
              <w:rPr>
                <w:sz w:val="20"/>
                <w:szCs w:val="20"/>
                <w:color w:val="auto"/>
              </w:rPr>
            </w:pPr>
            <w:r>
              <w:rPr>
                <w:rFonts w:ascii="Arial" w:cs="Arial" w:eastAsia="Arial" w:hAnsi="Arial"/>
                <w:sz w:val="14"/>
                <w:szCs w:val="14"/>
                <w:b w:val="1"/>
                <w:bCs w:val="1"/>
                <w:color w:val="auto"/>
                <w:w w:val="98"/>
              </w:rPr>
              <w:t>Fair Value as of March 31, 2018</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Gross Amounts</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Gross Amounts</w:t>
            </w:r>
          </w:p>
        </w:tc>
        <w:tc>
          <w:tcPr>
            <w:tcW w:w="260" w:type="dxa"/>
            <w:vAlign w:val="bottom"/>
          </w:tcPr>
          <w:p>
            <w:pPr>
              <w:spacing w:after="0"/>
              <w:rPr>
                <w:sz w:val="23"/>
                <w:szCs w:val="23"/>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Gross Amounts</w:t>
            </w:r>
          </w:p>
        </w:tc>
        <w:tc>
          <w:tcPr>
            <w:tcW w:w="220" w:type="dxa"/>
            <w:vAlign w:val="bottom"/>
          </w:tcPr>
          <w:p>
            <w:pPr>
              <w:spacing w:after="0"/>
              <w:rPr>
                <w:sz w:val="23"/>
                <w:szCs w:val="23"/>
                <w:color w:val="auto"/>
              </w:rPr>
            </w:pPr>
          </w:p>
        </w:tc>
        <w:tc>
          <w:tcPr>
            <w:tcW w:w="116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Net Amounts</w:t>
            </w:r>
          </w:p>
        </w:tc>
        <w:tc>
          <w:tcPr>
            <w:tcW w:w="340" w:type="dxa"/>
            <w:vAlign w:val="bottom"/>
          </w:tcPr>
          <w:p>
            <w:pPr>
              <w:spacing w:after="0"/>
              <w:rPr>
                <w:sz w:val="23"/>
                <w:szCs w:val="23"/>
                <w:color w:val="auto"/>
              </w:rPr>
            </w:pPr>
          </w:p>
        </w:tc>
        <w:tc>
          <w:tcPr>
            <w:tcW w:w="1120" w:type="dxa"/>
            <w:vAlign w:val="bottom"/>
          </w:tcPr>
          <w:p>
            <w:pPr>
              <w:jc w:val="center"/>
              <w:ind w:right="168"/>
              <w:spacing w:after="0"/>
              <w:rPr>
                <w:sz w:val="20"/>
                <w:szCs w:val="20"/>
                <w:color w:val="auto"/>
              </w:rPr>
            </w:pPr>
            <w:r>
              <w:rPr>
                <w:rFonts w:ascii="Arial" w:cs="Arial" w:eastAsia="Arial" w:hAnsi="Arial"/>
                <w:sz w:val="14"/>
                <w:szCs w:val="14"/>
                <w:b w:val="1"/>
                <w:bCs w:val="1"/>
                <w:color w:val="auto"/>
                <w:w w:val="93"/>
              </w:rPr>
              <w:t>Cash</w:t>
            </w:r>
          </w:p>
        </w:tc>
        <w:tc>
          <w:tcPr>
            <w:tcW w:w="240" w:type="dxa"/>
            <w:vAlign w:val="bottom"/>
          </w:tcPr>
          <w:p>
            <w:pPr>
              <w:spacing w:after="0"/>
              <w:rPr>
                <w:sz w:val="23"/>
                <w:szCs w:val="23"/>
                <w:color w:val="auto"/>
              </w:rPr>
            </w:pPr>
          </w:p>
        </w:tc>
        <w:tc>
          <w:tcPr>
            <w:tcW w:w="122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without</w:t>
            </w: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Recognized</w:t>
            </w:r>
          </w:p>
        </w:tc>
        <w:tc>
          <w:tcPr>
            <w:tcW w:w="260" w:type="dxa"/>
            <w:vAlign w:val="bottom"/>
          </w:tcPr>
          <w:p>
            <w:pPr>
              <w:spacing w:after="0"/>
              <w:rPr>
                <w:sz w:val="23"/>
                <w:szCs w:val="23"/>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w w:val="88"/>
              </w:rPr>
              <w:t>Offset</w:t>
            </w:r>
          </w:p>
        </w:tc>
        <w:tc>
          <w:tcPr>
            <w:tcW w:w="220" w:type="dxa"/>
            <w:vAlign w:val="bottom"/>
          </w:tcPr>
          <w:p>
            <w:pPr>
              <w:spacing w:after="0"/>
              <w:rPr>
                <w:sz w:val="23"/>
                <w:szCs w:val="23"/>
                <w:color w:val="auto"/>
              </w:rPr>
            </w:pPr>
          </w:p>
        </w:tc>
        <w:tc>
          <w:tcPr>
            <w:tcW w:w="1160" w:type="dxa"/>
            <w:vAlign w:val="bottom"/>
          </w:tcPr>
          <w:p>
            <w:pPr>
              <w:jc w:val="center"/>
              <w:ind w:right="48"/>
              <w:spacing w:after="0"/>
              <w:rPr>
                <w:sz w:val="20"/>
                <w:szCs w:val="20"/>
                <w:color w:val="auto"/>
              </w:rPr>
            </w:pPr>
            <w:r>
              <w:rPr>
                <w:rFonts w:ascii="Arial" w:cs="Arial" w:eastAsia="Arial" w:hAnsi="Arial"/>
                <w:sz w:val="14"/>
                <w:szCs w:val="14"/>
                <w:b w:val="1"/>
                <w:bCs w:val="1"/>
                <w:color w:val="auto"/>
                <w:w w:val="88"/>
              </w:rPr>
              <w:t>Presented</w:t>
            </w:r>
          </w:p>
        </w:tc>
        <w:tc>
          <w:tcPr>
            <w:tcW w:w="340" w:type="dxa"/>
            <w:vAlign w:val="bottom"/>
          </w:tcPr>
          <w:p>
            <w:pPr>
              <w:spacing w:after="0"/>
              <w:rPr>
                <w:sz w:val="23"/>
                <w:szCs w:val="23"/>
                <w:color w:val="auto"/>
              </w:rPr>
            </w:pPr>
          </w:p>
        </w:tc>
        <w:tc>
          <w:tcPr>
            <w:tcW w:w="1120" w:type="dxa"/>
            <w:vAlign w:val="bottom"/>
          </w:tcPr>
          <w:p>
            <w:pPr>
              <w:jc w:val="center"/>
              <w:ind w:right="188"/>
              <w:spacing w:after="0"/>
              <w:rPr>
                <w:sz w:val="20"/>
                <w:szCs w:val="20"/>
                <w:color w:val="auto"/>
              </w:rPr>
            </w:pPr>
            <w:r>
              <w:rPr>
                <w:rFonts w:ascii="Arial" w:cs="Arial" w:eastAsia="Arial" w:hAnsi="Arial"/>
                <w:sz w:val="14"/>
                <w:szCs w:val="14"/>
                <w:b w:val="1"/>
                <w:bCs w:val="1"/>
                <w:color w:val="auto"/>
                <w:w w:val="97"/>
              </w:rPr>
              <w:t>Collateral</w:t>
            </w:r>
          </w:p>
        </w:tc>
        <w:tc>
          <w:tcPr>
            <w:tcW w:w="240" w:type="dxa"/>
            <w:vAlign w:val="bottom"/>
          </w:tcPr>
          <w:p>
            <w:pPr>
              <w:spacing w:after="0"/>
              <w:rPr>
                <w:sz w:val="23"/>
                <w:szCs w:val="23"/>
                <w:color w:val="auto"/>
              </w:rPr>
            </w:pPr>
          </w:p>
        </w:tc>
        <w:tc>
          <w:tcPr>
            <w:tcW w:w="1220" w:type="dxa"/>
            <w:vAlign w:val="bottom"/>
          </w:tcPr>
          <w:p>
            <w:pPr>
              <w:jc w:val="center"/>
              <w:ind w:right="88"/>
              <w:spacing w:after="0"/>
              <w:rPr>
                <w:sz w:val="20"/>
                <w:szCs w:val="20"/>
                <w:color w:val="auto"/>
              </w:rPr>
            </w:pPr>
            <w:r>
              <w:rPr>
                <w:rFonts w:ascii="Arial" w:cs="Arial" w:eastAsia="Arial" w:hAnsi="Arial"/>
                <w:sz w:val="14"/>
                <w:szCs w:val="14"/>
                <w:b w:val="1"/>
                <w:bCs w:val="1"/>
                <w:color w:val="auto"/>
                <w:w w:val="92"/>
              </w:rPr>
              <w:t>Right of Offset</w:t>
            </w:r>
          </w:p>
        </w:tc>
        <w:tc>
          <w:tcPr>
            <w:tcW w:w="260" w:type="dxa"/>
            <w:vAlign w:val="bottom"/>
          </w:tcPr>
          <w:p>
            <w:pPr>
              <w:spacing w:after="0"/>
              <w:rPr>
                <w:sz w:val="23"/>
                <w:szCs w:val="23"/>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Net Amounts</w:t>
            </w:r>
          </w:p>
        </w:tc>
        <w:tc>
          <w:tcPr>
            <w:tcW w:w="0" w:type="dxa"/>
            <w:vAlign w:val="bottom"/>
          </w:tcPr>
          <w:p>
            <w:pPr>
              <w:spacing w:after="0"/>
              <w:rPr>
                <w:sz w:val="1"/>
                <w:szCs w:val="1"/>
                <w:color w:val="auto"/>
              </w:rPr>
            </w:pPr>
          </w:p>
        </w:tc>
      </w:tr>
      <w:tr>
        <w:trPr>
          <w:trHeight w:val="80"/>
        </w:trPr>
        <w:tc>
          <w:tcPr>
            <w:tcW w:w="27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Commodities contracts</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color w:val="auto"/>
              </w:rPr>
              <w:t>308.0</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239.4</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68.6</w:t>
            </w:r>
          </w:p>
        </w:tc>
        <w:tc>
          <w:tcPr>
            <w:tcW w:w="3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ind w:left="96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contracts</w:t>
            </w: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7.5</w:t>
            </w:r>
          </w:p>
        </w:tc>
        <w:tc>
          <w:tcPr>
            <w:tcW w:w="2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74"/>
        </w:trPr>
        <w:tc>
          <w:tcPr>
            <w:tcW w:w="274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40" w:type="dxa"/>
            <w:vAlign w:val="bottom"/>
          </w:tcPr>
          <w:p>
            <w:pPr>
              <w:ind w:left="40"/>
              <w:spacing w:after="0"/>
              <w:rPr>
                <w:sz w:val="20"/>
                <w:szCs w:val="20"/>
                <w:color w:val="auto"/>
              </w:rPr>
            </w:pPr>
            <w:r>
              <w:rPr>
                <w:rFonts w:ascii="Arial" w:cs="Arial" w:eastAsia="Arial" w:hAnsi="Arial"/>
                <w:sz w:val="14"/>
                <w:szCs w:val="14"/>
                <w:color w:val="auto"/>
              </w:rPr>
              <w:t>Total assets at fair value</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color w:val="auto"/>
              </w:rPr>
              <w:t>315.5</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245.8</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69.7</w:t>
            </w:r>
          </w:p>
        </w:tc>
        <w:tc>
          <w:tcPr>
            <w:tcW w:w="3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ind w:left="96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69.7</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vMerge w:val="continue"/>
          </w:tcPr>
          <w:p>
            <w:pPr>
              <w:spacing w:after="0"/>
              <w:rPr>
                <w:sz w:val="9"/>
                <w:szCs w:val="9"/>
                <w:color w:val="auto"/>
              </w:rPr>
            </w:pPr>
          </w:p>
        </w:tc>
        <w:tc>
          <w:tcPr>
            <w:tcW w:w="1240" w:type="dxa"/>
            <w:vAlign w:val="bottom"/>
            <w:tcBorders>
              <w:bottom w:val="single" w:sz="8" w:color="auto"/>
            </w:tcBorders>
            <w:vMerge w:val="continue"/>
          </w:tcPr>
          <w:p>
            <w:pPr>
              <w:spacing w:after="0"/>
              <w:rPr>
                <w:sz w:val="9"/>
                <w:szCs w:val="9"/>
                <w:color w:val="auto"/>
              </w:rPr>
            </w:pPr>
          </w:p>
        </w:tc>
        <w:tc>
          <w:tcPr>
            <w:tcW w:w="260" w:type="dxa"/>
            <w:vAlign w:val="bottom"/>
            <w:tcBorders>
              <w:bottom w:val="single" w:sz="8" w:color="auto"/>
            </w:tcBorders>
            <w:vMerge w:val="continue"/>
          </w:tcPr>
          <w:p>
            <w:pPr>
              <w:spacing w:after="0"/>
              <w:rPr>
                <w:sz w:val="9"/>
                <w:szCs w:val="9"/>
                <w:color w:val="auto"/>
              </w:rPr>
            </w:pPr>
          </w:p>
        </w:tc>
        <w:tc>
          <w:tcPr>
            <w:tcW w:w="1240" w:type="dxa"/>
            <w:vAlign w:val="bottom"/>
            <w:tcBorders>
              <w:bottom w:val="single" w:sz="8" w:color="auto"/>
            </w:tcBorders>
            <w:vMerge w:val="continue"/>
          </w:tcPr>
          <w:p>
            <w:pPr>
              <w:spacing w:after="0"/>
              <w:rPr>
                <w:sz w:val="9"/>
                <w:szCs w:val="9"/>
                <w:color w:val="auto"/>
              </w:rPr>
            </w:pPr>
          </w:p>
        </w:tc>
        <w:tc>
          <w:tcPr>
            <w:tcW w:w="2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340" w:type="dxa"/>
            <w:vAlign w:val="bottom"/>
            <w:tcBorders>
              <w:bottom w:val="single" w:sz="8" w:color="auto"/>
            </w:tcBorders>
            <w:vMerge w:val="continue"/>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240" w:type="dxa"/>
            <w:vAlign w:val="bottom"/>
            <w:tcBorders>
              <w:bottom w:val="single" w:sz="8" w:color="auto"/>
            </w:tcBorders>
            <w:vMerge w:val="continue"/>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26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Commodities contracts</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307.0</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239.4</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67.6</w:t>
            </w:r>
          </w:p>
        </w:tc>
        <w:tc>
          <w:tcPr>
            <w:tcW w:w="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Foreign currency contracts</w:t>
            </w:r>
          </w:p>
        </w:tc>
        <w:tc>
          <w:tcPr>
            <w:tcW w:w="300" w:type="dxa"/>
            <w:vAlign w:val="bottom"/>
          </w:tcPr>
          <w:p>
            <w:pPr>
              <w:spacing w:after="0"/>
              <w:rPr>
                <w:sz w:val="16"/>
                <w:szCs w:val="16"/>
                <w:color w:val="auto"/>
              </w:rPr>
            </w:pP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color w:val="auto"/>
              </w:rPr>
              <w:t>13.2</w:t>
            </w:r>
          </w:p>
        </w:tc>
        <w:tc>
          <w:tcPr>
            <w:tcW w:w="26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6.4</w:t>
            </w:r>
          </w:p>
        </w:tc>
        <w:tc>
          <w:tcPr>
            <w:tcW w:w="2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6.8</w:t>
            </w: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20" w:type="dxa"/>
            <w:vAlign w:val="bottom"/>
            <w:vMerge w:val="restart"/>
          </w:tcPr>
          <w:p>
            <w:pPr>
              <w:ind w:left="9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74"/>
        </w:trPr>
        <w:tc>
          <w:tcPr>
            <w:tcW w:w="27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 at fair value</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320.1</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245.8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74.3</w:t>
            </w:r>
          </w:p>
        </w:tc>
        <w:tc>
          <w:tcPr>
            <w:tcW w:w="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74"/>
        </w:trPr>
        <w:tc>
          <w:tcPr>
            <w:tcW w:w="274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vMerge w:val="continue"/>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260" w:type="dxa"/>
            <w:vAlign w:val="bottom"/>
            <w:tcBorders>
              <w:bottom w:val="single" w:sz="8" w:color="auto"/>
            </w:tcBorders>
            <w:vMerge w:val="continue"/>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34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vMerge w:val="continue"/>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260" w:type="dxa"/>
            <w:vAlign w:val="bottom"/>
            <w:tcBorders>
              <w:bottom w:val="single" w:sz="8" w:color="auto"/>
            </w:tcBorders>
            <w:vMerge w:val="continue"/>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w w:val="91"/>
              </w:rPr>
              <w:t>Fair Value as of December 31, 2017</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2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Gross Amounts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Gross Amounts</w:t>
            </w:r>
          </w:p>
        </w:tc>
        <w:tc>
          <w:tcPr>
            <w:tcW w:w="260" w:type="dxa"/>
            <w:vAlign w:val="bottom"/>
          </w:tcPr>
          <w:p>
            <w:pPr>
              <w:spacing w:after="0"/>
              <w:rPr>
                <w:sz w:val="23"/>
                <w:szCs w:val="23"/>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Gross Amounts</w:t>
            </w:r>
          </w:p>
        </w:tc>
        <w:tc>
          <w:tcPr>
            <w:tcW w:w="220" w:type="dxa"/>
            <w:vAlign w:val="bottom"/>
          </w:tcPr>
          <w:p>
            <w:pPr>
              <w:spacing w:after="0"/>
              <w:rPr>
                <w:sz w:val="23"/>
                <w:szCs w:val="23"/>
                <w:color w:val="auto"/>
              </w:rPr>
            </w:pPr>
          </w:p>
        </w:tc>
        <w:tc>
          <w:tcPr>
            <w:tcW w:w="116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Net Amounts</w:t>
            </w:r>
          </w:p>
        </w:tc>
        <w:tc>
          <w:tcPr>
            <w:tcW w:w="340" w:type="dxa"/>
            <w:vAlign w:val="bottom"/>
          </w:tcPr>
          <w:p>
            <w:pPr>
              <w:spacing w:after="0"/>
              <w:rPr>
                <w:sz w:val="23"/>
                <w:szCs w:val="23"/>
                <w:color w:val="auto"/>
              </w:rPr>
            </w:pPr>
          </w:p>
        </w:tc>
        <w:tc>
          <w:tcPr>
            <w:tcW w:w="1120" w:type="dxa"/>
            <w:vAlign w:val="bottom"/>
          </w:tcPr>
          <w:p>
            <w:pPr>
              <w:jc w:val="center"/>
              <w:ind w:right="168"/>
              <w:spacing w:after="0"/>
              <w:rPr>
                <w:sz w:val="20"/>
                <w:szCs w:val="20"/>
                <w:color w:val="auto"/>
              </w:rPr>
            </w:pPr>
            <w:r>
              <w:rPr>
                <w:rFonts w:ascii="Arial" w:cs="Arial" w:eastAsia="Arial" w:hAnsi="Arial"/>
                <w:sz w:val="14"/>
                <w:szCs w:val="14"/>
                <w:b w:val="1"/>
                <w:bCs w:val="1"/>
                <w:color w:val="auto"/>
                <w:w w:val="93"/>
              </w:rPr>
              <w:t>Cash</w:t>
            </w:r>
          </w:p>
        </w:tc>
        <w:tc>
          <w:tcPr>
            <w:tcW w:w="240" w:type="dxa"/>
            <w:vAlign w:val="bottom"/>
          </w:tcPr>
          <w:p>
            <w:pPr>
              <w:spacing w:after="0"/>
              <w:rPr>
                <w:sz w:val="23"/>
                <w:szCs w:val="23"/>
                <w:color w:val="auto"/>
              </w:rPr>
            </w:pPr>
          </w:p>
        </w:tc>
        <w:tc>
          <w:tcPr>
            <w:tcW w:w="122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without</w:t>
            </w: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Recognized</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8"/>
              </w:rPr>
              <w:t>Offset</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Presented</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7"/>
              </w:rPr>
              <w:t>Collateral</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2"/>
              </w:rPr>
              <w:t>Right of Offset</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6"/>
              </w:rPr>
              <w:t>Net Amounts</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Commodities contracts</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303.6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228.4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75.1</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ind w:left="960"/>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270"/>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Foreign currency contracts</w:t>
            </w:r>
          </w:p>
        </w:tc>
        <w:tc>
          <w:tcPr>
            <w:tcW w:w="3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8.5</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30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assets at fair value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312.0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235.2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76.9</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311"/>
        </w:trPr>
        <w:tc>
          <w:tcPr>
            <w:tcW w:w="2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Commodities contracts</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323.9</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95.4</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Foreign currency contracts</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8.7</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liabilities at fair value</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332.5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235.2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97.4</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March 31, 2018 and December 31, 2017, we did not present any amounts gross on our consolidated balance sheet where we had the right of offset.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individual over-the-counter (OTC) counterparty exposure is managed within predetermined credit limits and includes the use of cash-call margins when appropriate, thereby reducing the risk of significant nonperformance. At March 31, 2018, two counterparties each represented over 10% of our credit exposure to OTC derivative counterparties for a total credit risk of $28.1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income tax provision for the periods presented and the respective effective income tax rates for such periods are as follows (in millions, except for income tax rates):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320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w w:val="93"/>
              </w:rPr>
              <w:t>For the Three Months Ended</w:t>
            </w:r>
          </w:p>
        </w:tc>
        <w:tc>
          <w:tcPr>
            <w:tcW w:w="600" w:type="dxa"/>
            <w:vAlign w:val="bottom"/>
          </w:tcPr>
          <w:p>
            <w:pPr>
              <w:spacing w:after="0"/>
              <w:rPr>
                <w:sz w:val="16"/>
                <w:szCs w:val="16"/>
                <w:color w:val="auto"/>
              </w:rPr>
            </w:pPr>
          </w:p>
        </w:tc>
      </w:tr>
      <w:tr>
        <w:trPr>
          <w:trHeight w:val="276"/>
        </w:trPr>
        <w:tc>
          <w:tcPr>
            <w:tcW w:w="76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right="568"/>
              <w:spacing w:after="0"/>
              <w:rPr>
                <w:sz w:val="20"/>
                <w:szCs w:val="20"/>
                <w:color w:val="auto"/>
              </w:rPr>
            </w:pPr>
            <w:r>
              <w:rPr>
                <w:rFonts w:ascii="Arial" w:cs="Arial" w:eastAsia="Arial" w:hAnsi="Arial"/>
                <w:sz w:val="14"/>
                <w:szCs w:val="14"/>
                <w:b w:val="1"/>
                <w:bCs w:val="1"/>
                <w:color w:val="auto"/>
                <w:w w:val="95"/>
              </w:rPr>
              <w:t>March 31,</w:t>
            </w:r>
          </w:p>
        </w:tc>
        <w:tc>
          <w:tcPr>
            <w:tcW w:w="600" w:type="dxa"/>
            <w:vAlign w:val="bottom"/>
            <w:tcBorders>
              <w:bottom w:val="single" w:sz="8" w:color="auto"/>
            </w:tcBorders>
          </w:tcPr>
          <w:p>
            <w:pPr>
              <w:spacing w:after="0"/>
              <w:rPr>
                <w:sz w:val="24"/>
                <w:szCs w:val="24"/>
                <w:color w:val="auto"/>
              </w:rPr>
            </w:pPr>
          </w:p>
        </w:tc>
      </w:tr>
      <w:tr>
        <w:trPr>
          <w:trHeight w:val="264"/>
        </w:trPr>
        <w:tc>
          <w:tcPr>
            <w:tcW w:w="76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r>
      <w:tr>
        <w:trPr>
          <w:trHeight w:val="264"/>
        </w:trPr>
        <w:tc>
          <w:tcPr>
            <w:tcW w:w="7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Income tax provision</w:t>
            </w:r>
          </w:p>
        </w:tc>
        <w:tc>
          <w:tcPr>
            <w:tcW w:w="1260" w:type="dxa"/>
            <w:vAlign w:val="bottom"/>
            <w:tcBorders>
              <w:bottom w:val="single" w:sz="8" w:color="auto"/>
            </w:tcBorders>
            <w:shd w:val="clear" w:color="auto" w:fill="CCEEFF"/>
          </w:tcPr>
          <w:p>
            <w:pPr>
              <w:jc w:val="right"/>
              <w:ind w:right="10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7.3</w:t>
            </w:r>
          </w:p>
        </w:tc>
        <w:tc>
          <w:tcPr>
            <w:tcW w:w="1300" w:type="dxa"/>
            <w:vAlign w:val="bottom"/>
            <w:tcBorders>
              <w:bottom w:val="single" w:sz="8" w:color="auto"/>
            </w:tcBorders>
            <w:shd w:val="clear" w:color="auto" w:fill="CCEEFF"/>
          </w:tcPr>
          <w:p>
            <w:pPr>
              <w:jc w:val="right"/>
              <w:ind w:right="10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w:t>
            </w:r>
          </w:p>
        </w:tc>
      </w:tr>
      <w:tr>
        <w:trPr>
          <w:trHeight w:val="20"/>
        </w:trPr>
        <w:tc>
          <w:tcPr>
            <w:tcW w:w="7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70"/>
        </w:trPr>
        <w:tc>
          <w:tcPr>
            <w:tcW w:w="76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r>
      <w:tr>
        <w:trPr>
          <w:trHeight w:val="258"/>
        </w:trPr>
        <w:tc>
          <w:tcPr>
            <w:tcW w:w="7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Effective income tax rate</w:t>
            </w:r>
          </w:p>
        </w:tc>
        <w:tc>
          <w:tcPr>
            <w:tcW w:w="1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19.0%</w:t>
            </w:r>
          </w:p>
        </w:tc>
        <w:tc>
          <w:tcPr>
            <w:tcW w:w="13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r>
      <w:tr>
        <w:trPr>
          <w:trHeight w:val="20"/>
        </w:trPr>
        <w:tc>
          <w:tcPr>
            <w:tcW w:w="7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provision for income taxes for the three months ended March 31, 2018 was $7.3 million. Our provision for income taxes was adjusted for an income tax benefit of $4.9 million, net, for discrete items primarily related to changes in estimates in uncertain tax positions, an adjustment for stock based compensation in accordance with ASU 2016-09, and changes in the valuation allowance in various jurisdictions. Without the $4.9 million in discrete items, the effective income tax rate would have been 31.7% for the three months ended March 31, 2018.</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provision for income taxes for the three months ended March 31, 2017 was $5.0 million and was adjusted for an income tax benefit of $1.2 million, net, for discrete items related to changes in estimates in uncertain tax positions and an adjustment for stock based compensation. Without the $1.2 million in discrete items, the three months ended March 31, 2017 effective income tax rate would have been 10.6%.</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provision for income taxes for each of the three months ended March 31, 2018 and 2017 was calculated based on the estimated annual effective income tax rate for 2018 and 2017 fiscal years. The actual effective income tax rate for the 2018 fiscal year may be materially different as a result of differences between estimated versus actual results and the geographic tax jurisdictions in which the results are earned.</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operate under a special income tax concession in Singapore which began January 1, 2008. Our current 5 year special income tax concession was effective January 1, 2018. The special income tax concession is conditional upon our meeting of certain employment and investment thresholds which, if not met in accordance with our agreement, may eliminate the benefit beginning with the first year in which the conditions are not satisfied. The income tax concession reduces the income tax rate on qualified sales and the impact of this income tax concession increased foreign income taxes by $0.1 million and decreased foreign income taxes by $0.8 million for the three months ended March 31, 2018 and 2017, respectively. The income tax concession had no impact on basic earnings per common share for the three months ended March 31, 2018 and an impact of $0.01 on basic earnings per common share for the three months ended March 31, 2017. The income tax concession had no impact on diluted earnings per common share for the three months ended March 31, 2018 and an impact of $0.01 on diluted earnings per common share for the three months ended March 31, 2017.</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various income tax returns under examination both in the U.S. and in foreign jurisdictions. The most significant of these are in Korea for the 2011 to 2014 tax years, in Denmark for the 2013 to 2015 tax years and the U.S. for the 2013 to 2016 tax years. In 2017, the South Korea branch of one of our subsidiaries received income tax assessment notices for the years 2011 to 2014 totaling $10.6 million (KRW 11.3 billion). We believe that these assessments are without merit and are currently appealing the actions. During the quarter ended March 31, 2018, one of our Denmark subsidiaries received an audit inquiry from the Denmark tax authorities relating to transfer pricing and related issues for the tax years 2013 to 2015. In addition, in 2017, we received a notice of examination from the U.S. Internal Revenue Service for the 2013 to 2016 tax years. We are currently responding to the requests from the U.S. and Denmark tax authorities.</w:t>
      </w:r>
    </w:p>
    <w:p>
      <w:pPr>
        <w:spacing w:after="0" w:line="18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An unfavorable resolution of one or more of the above matters could have a material adverse effect on our results of operations or cash flows in the quarter and year in which an adjustment is recorded or the tax is due or paid. As audits and examinations are still in process or we have not yet reached the final stages of the appeals process, the timing of the ultimate resolution and any payments that may be required for the above matters cannot be determined at this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 from Contracts with Customers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enter into contracts with customers in various ways including via master supply or blanket sales agreement when combined with some form of nomination and acceptance such as a purchase order or delivery ticket, stand-alone agreements, or through spot transactions where fuel is delivered for immediate settlement. Our contracts primarily require us to deliver fuel and fuel-related products, while other arrangements require us to complete agreed-upon services. Our contracts may contain fixed or variable pricing or some combination of those.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majority of our consolidated revenues are generated through the sale of fuel and fuel-related products. Revenue from the sale of fuel is recognized when delivery is made to our customers and they obtain control, the sales price is determinable, and collectability is reasonably assured. Fulfillment costs, including those associated with certain transportation costs are included in the transaction price, while taxes assessed by a government authority and certain fees charged by third parties are excluded.</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from services, including energy procurement advisory services, international trip planning support, and transaction and payment management processing, are recognized over the contract period when services have been performed and we have the right to invoice for those services. We generally charge a nominal fixed monthly fee coupled with a per transaction fee for the services we provide our customers. For our service contracts, we have applied the practical expedient to recognize revenue 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amount to which we have a right to invoice if we have a right to consideration from a customer in an amount that corresponds directly with the value to the customer of our performance completed to date.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record fuel sales and services, with the exception of revenue from merchant services, on a gross basis as we generally take inventory risk, have latitude in establishing the sales price, have discretion in the supplier selection, maintain credit risk and are the primary obligor in the sales arrangement. Whether the services have been performed and the customer has obtained control are factors we take into consideration in deciding when to recognize revenue. These factors are readily determinable and consistently applied throughout our business. Therefore, we generally have not needed to make material estimates or assumptions with respect to revenue recognition.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our revenues from contracts with customers (in millions) disaggregated by major geographic areas we conduct business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Prior period amounts have not been adjusted under the modified retrospective method.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310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For the Three Months Ended</w:t>
            </w:r>
          </w:p>
        </w:tc>
        <w:tc>
          <w:tcPr>
            <w:tcW w:w="660" w:type="dxa"/>
            <w:vAlign w:val="bottom"/>
          </w:tcPr>
          <w:p>
            <w:pPr>
              <w:spacing w:after="0"/>
              <w:rPr>
                <w:sz w:val="16"/>
                <w:szCs w:val="16"/>
                <w:color w:val="auto"/>
              </w:rPr>
            </w:pPr>
          </w:p>
        </w:tc>
      </w:tr>
      <w:tr>
        <w:trPr>
          <w:trHeight w:val="276"/>
        </w:trPr>
        <w:tc>
          <w:tcPr>
            <w:tcW w:w="76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ind w:right="808"/>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24"/>
                <w:szCs w:val="24"/>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Aviation</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392.0</w:t>
            </w:r>
          </w:p>
        </w:tc>
        <w:tc>
          <w:tcPr>
            <w:tcW w:w="124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258.6</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Marine</w:t>
            </w:r>
          </w:p>
        </w:tc>
        <w:tc>
          <w:tcPr>
            <w:tcW w:w="118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799.6</w:t>
            </w:r>
          </w:p>
        </w:tc>
        <w:tc>
          <w:tcPr>
            <w:tcW w:w="12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893.4</w:t>
            </w:r>
          </w:p>
        </w:tc>
      </w:tr>
      <w:tr>
        <w:trPr>
          <w:trHeight w:val="270"/>
        </w:trPr>
        <w:tc>
          <w:tcPr>
            <w:tcW w:w="7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Land</w:t>
            </w:r>
          </w:p>
        </w:tc>
        <w:tc>
          <w:tcPr>
            <w:tcW w:w="1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Asia Pacific</w:t>
            </w: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1,192.7</w:t>
            </w:r>
          </w:p>
        </w:tc>
        <w:tc>
          <w:tcPr>
            <w:tcW w:w="124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1,152.3</w:t>
            </w:r>
          </w:p>
        </w:tc>
      </w:tr>
      <w:tr>
        <w:trPr>
          <w:trHeight w:val="290"/>
        </w:trPr>
        <w:tc>
          <w:tcPr>
            <w:tcW w:w="76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r>
      <w:tr>
        <w:trPr>
          <w:trHeight w:val="258"/>
        </w:trPr>
        <w:tc>
          <w:tcPr>
            <w:tcW w:w="7660" w:type="dxa"/>
            <w:vAlign w:val="bottom"/>
          </w:tcPr>
          <w:p>
            <w:pPr>
              <w:ind w:left="40"/>
              <w:spacing w:after="0"/>
              <w:rPr>
                <w:sz w:val="20"/>
                <w:szCs w:val="20"/>
                <w:color w:val="auto"/>
              </w:rPr>
            </w:pPr>
            <w:r>
              <w:rPr>
                <w:rFonts w:ascii="Arial" w:cs="Arial" w:eastAsia="Arial" w:hAnsi="Arial"/>
                <w:sz w:val="14"/>
                <w:szCs w:val="14"/>
                <w:color w:val="auto"/>
              </w:rPr>
              <w:t>Aviation</w:t>
            </w: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670.0</w:t>
            </w:r>
          </w:p>
        </w:tc>
        <w:tc>
          <w:tcPr>
            <w:tcW w:w="124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453.3</w:t>
            </w: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Marine</w:t>
            </w:r>
          </w:p>
        </w:tc>
        <w:tc>
          <w:tcPr>
            <w:tcW w:w="11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637.4</w:t>
            </w:r>
          </w:p>
        </w:tc>
        <w:tc>
          <w:tcPr>
            <w:tcW w:w="12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659.2</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Land</w:t>
            </w:r>
          </w:p>
        </w:tc>
        <w:tc>
          <w:tcPr>
            <w:tcW w:w="1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679.8</w:t>
            </w:r>
          </w:p>
        </w:tc>
        <w:tc>
          <w:tcPr>
            <w:tcW w:w="1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602.2</w:t>
            </w:r>
          </w:p>
        </w:tc>
      </w:tr>
      <w:tr>
        <w:trPr>
          <w:trHeight w:val="270"/>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EMEA</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1,987.2</w:t>
            </w:r>
          </w:p>
        </w:tc>
        <w:tc>
          <w:tcPr>
            <w:tcW w:w="124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1,714.6</w:t>
            </w:r>
          </w:p>
        </w:tc>
      </w:tr>
      <w:tr>
        <w:trPr>
          <w:trHeight w:val="284"/>
        </w:trPr>
        <w:tc>
          <w:tcPr>
            <w:tcW w:w="76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264"/>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Aviation</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490.2</w:t>
            </w:r>
          </w:p>
        </w:tc>
        <w:tc>
          <w:tcPr>
            <w:tcW w:w="124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330.9</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Marine</w:t>
            </w:r>
          </w:p>
        </w:tc>
        <w:tc>
          <w:tcPr>
            <w:tcW w:w="118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155.2</w:t>
            </w:r>
          </w:p>
        </w:tc>
        <w:tc>
          <w:tcPr>
            <w:tcW w:w="12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156.1</w:t>
            </w:r>
          </w:p>
        </w:tc>
      </w:tr>
      <w:tr>
        <w:trPr>
          <w:trHeight w:val="270"/>
        </w:trPr>
        <w:tc>
          <w:tcPr>
            <w:tcW w:w="7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Land</w:t>
            </w:r>
          </w:p>
        </w:tc>
        <w:tc>
          <w:tcPr>
            <w:tcW w:w="1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184.2</w:t>
            </w:r>
          </w:p>
        </w:tc>
        <w:tc>
          <w:tcPr>
            <w:tcW w:w="12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171.0</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LATAM</w:t>
            </w: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829.7</w:t>
            </w:r>
          </w:p>
        </w:tc>
        <w:tc>
          <w:tcPr>
            <w:tcW w:w="124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658.0</w:t>
            </w:r>
          </w:p>
        </w:tc>
      </w:tr>
      <w:tr>
        <w:trPr>
          <w:trHeight w:val="276"/>
        </w:trPr>
        <w:tc>
          <w:tcPr>
            <w:tcW w:w="76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r>
      <w:tr>
        <w:trPr>
          <w:trHeight w:val="258"/>
        </w:trPr>
        <w:tc>
          <w:tcPr>
            <w:tcW w:w="7660" w:type="dxa"/>
            <w:vAlign w:val="bottom"/>
          </w:tcPr>
          <w:p>
            <w:pPr>
              <w:ind w:left="40"/>
              <w:spacing w:after="0"/>
              <w:rPr>
                <w:sz w:val="20"/>
                <w:szCs w:val="20"/>
                <w:color w:val="auto"/>
              </w:rPr>
            </w:pPr>
            <w:r>
              <w:rPr>
                <w:rFonts w:ascii="Arial" w:cs="Arial" w:eastAsia="Arial" w:hAnsi="Arial"/>
                <w:sz w:val="14"/>
                <w:szCs w:val="14"/>
                <w:color w:val="auto"/>
              </w:rPr>
              <w:t>Aviation</w:t>
            </w: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2,763.0</w:t>
            </w:r>
          </w:p>
        </w:tc>
        <w:tc>
          <w:tcPr>
            <w:tcW w:w="124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2,255.9</w:t>
            </w: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Marine</w:t>
            </w:r>
          </w:p>
        </w:tc>
        <w:tc>
          <w:tcPr>
            <w:tcW w:w="11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279.9</w:t>
            </w:r>
          </w:p>
        </w:tc>
        <w:tc>
          <w:tcPr>
            <w:tcW w:w="12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230.3</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Land</w:t>
            </w:r>
          </w:p>
        </w:tc>
        <w:tc>
          <w:tcPr>
            <w:tcW w:w="1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1,958.3</w:t>
            </w:r>
          </w:p>
        </w:tc>
        <w:tc>
          <w:tcPr>
            <w:tcW w:w="1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1,995.5</w:t>
            </w:r>
          </w:p>
        </w:tc>
      </w:tr>
      <w:tr>
        <w:trPr>
          <w:trHeight w:val="264"/>
        </w:trPr>
        <w:tc>
          <w:tcPr>
            <w:tcW w:w="7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North America</w:t>
            </w:r>
          </w:p>
        </w:tc>
        <w:tc>
          <w:tcPr>
            <w:tcW w:w="1180" w:type="dxa"/>
            <w:vAlign w:val="bottom"/>
            <w:tcBorders>
              <w:bottom w:val="single" w:sz="8" w:color="auto"/>
            </w:tcBorders>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5,001.2</w:t>
            </w:r>
          </w:p>
        </w:tc>
        <w:tc>
          <w:tcPr>
            <w:tcW w:w="1240" w:type="dxa"/>
            <w:vAlign w:val="bottom"/>
            <w:tcBorders>
              <w:bottom w:val="single" w:sz="8" w:color="auto"/>
            </w:tcBorders>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4,481.7</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 revenues (excluded from ASC 606)</w:t>
            </w:r>
          </w:p>
        </w:tc>
        <w:tc>
          <w:tcPr>
            <w:tcW w:w="118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170.6</w:t>
            </w:r>
          </w:p>
        </w:tc>
        <w:tc>
          <w:tcPr>
            <w:tcW w:w="124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187.7</w:t>
            </w:r>
          </w:p>
        </w:tc>
      </w:tr>
      <w:tr>
        <w:trPr>
          <w:trHeight w:val="264"/>
        </w:trPr>
        <w:tc>
          <w:tcPr>
            <w:tcW w:w="76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9,181.3</w:t>
            </w:r>
          </w:p>
        </w:tc>
        <w:tc>
          <w:tcPr>
            <w:tcW w:w="1240" w:type="dxa"/>
            <w:vAlign w:val="bottom"/>
            <w:tcBorders>
              <w:bottom w:val="single" w:sz="8" w:color="auto"/>
            </w:tcBorders>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8,194.3</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contract assets and liabilities balances and the changes in these balances were not material for the three months ended March 31, 2018.</w:t>
      </w:r>
    </w:p>
    <w:p>
      <w:pPr>
        <w:spacing w:after="0" w:line="2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Within our Land and Aviation segments, contracts with customers, include multi-year fuel sales contracts, which are priced at market-based indices and require minimum volume purchase commitments from our customers. The consideration expected from these contracts is considered variable due to the market-based pricing and the variability is not resolved until delivery is made to our customers. The variable consideration is allocated entirely to the respective performance obligation. We applied the optional exemptions from disclosing the information about our remaining performance obligations from these contracts.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Additionally, we applied the optional exemptions from disclosing the information about our remaining performance obligations for contracts from our service contracts in the amount to which we have the right to invoice or for contracts with customers that have an original expected duration of one year or less.</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Other practical expedients applied affecting our measurement and recognition of revenue as well as our disclosures relate to our treatment of shipping and handling and taxes. If we perform shipping and handling activities after our customer obtains control of goods or services, then we will account for these shipping and handling costs as activities to fulfill the promise to transfer the good. We record revenue net of taxes assessed by a governmental authority that are both imposed on and concurrent with a specific revenue-producing transaction and collected by us from a customer (for example, sales, use, value added, and certain excise taxes). Additionally, we will not adjust the promised amount of consideration for the effects of a significant financing component if we</w:t>
      </w:r>
    </w:p>
    <w:p>
      <w:pPr>
        <w:sectPr>
          <w:pgSz w:w="11900" w:h="16838" w:orient="portrait"/>
          <w:cols w:equalWidth="0" w:num="1">
            <w:col w:w="11420"/>
          </w:cols>
          <w:pgMar w:left="240" w:top="125"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expect, at contract inception, that the period between when we transfer a promised good or service to a customer and when the customer pays for that good or service is one year or less.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Segments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operate in three reportable segments consisting of aviation, land and marine. Corporate expenses are allocated to the segments based on usage, where possible, or on other factors according to the nature of the activity. Our operating segments are determined based on the different markets in which we provide products and services, which are defined primarily by the customers and the products and services provided to those customers. Accordingly, our aviation, land and marine segments are organized based on the specific markets their functional business components serve, which are primarily businesses and governmental customers operating in those respective markets.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our aviation segment, we offer fuel and fuel-related products and services to major commercial airlines, second and third tier airlines, cargo carriers, regional and low cost carriers, airports, fixed based operators, corporate fleets, fractional operators, private aircraft, military fleets and the U.S. and foreign governments as well as intergovernmental organizations. In addition, we supply products and services to U.S. and foreign government, intergovernmental and military customers, such as the North Atlantic Treaty Organization (NATO) and the U.S. Defense Logistics Agency.</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land segment, we offer fuel, lubricants, power and natural gas solutions through Kinect, our global energy management services platform, and related products and services to customers including petroleum distributors operating in the land transportation market, retail petroleum operators, and industrial, commercial, residential and government customers.</w:t>
      </w:r>
    </w:p>
    <w:p>
      <w:pPr>
        <w:spacing w:after="0" w:line="18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Within each of our segments we may enter into derivative contracts to mitigate the risk of market price fluctuations and also to offer our customers fuel pricing alternatives to meet their needs.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concerning our revenue, gross profit and income from operations by segment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320" w:type="dxa"/>
            <w:vAlign w:val="bottom"/>
            <w:gridSpan w:val="3"/>
          </w:tcPr>
          <w:p>
            <w:pPr>
              <w:jc w:val="right"/>
              <w:ind w:right="888"/>
              <w:spacing w:after="0"/>
              <w:rPr>
                <w:sz w:val="20"/>
                <w:szCs w:val="20"/>
                <w:color w:val="auto"/>
              </w:rPr>
            </w:pPr>
            <w:r>
              <w:rPr>
                <w:rFonts w:ascii="Arial" w:cs="Arial" w:eastAsia="Arial" w:hAnsi="Arial"/>
                <w:sz w:val="14"/>
                <w:szCs w:val="14"/>
                <w:b w:val="1"/>
                <w:bCs w:val="1"/>
                <w:color w:val="auto"/>
              </w:rPr>
              <w:t>For the Three Months Ended</w:t>
            </w:r>
          </w:p>
        </w:tc>
      </w:tr>
      <w:tr>
        <w:trPr>
          <w:trHeight w:val="276"/>
        </w:trPr>
        <w:tc>
          <w:tcPr>
            <w:tcW w:w="49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24"/>
                <w:szCs w:val="24"/>
                <w:color w:val="auto"/>
              </w:rPr>
            </w:pPr>
          </w:p>
        </w:tc>
      </w:tr>
      <w:tr>
        <w:trPr>
          <w:trHeight w:val="264"/>
        </w:trPr>
        <w:tc>
          <w:tcPr>
            <w:tcW w:w="4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Revenue:</w:t>
            </w:r>
          </w:p>
        </w:tc>
        <w:tc>
          <w:tcPr>
            <w:tcW w:w="3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70"/>
        </w:trPr>
        <w:tc>
          <w:tcPr>
            <w:tcW w:w="4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3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4,292.9</w:t>
            </w:r>
          </w:p>
        </w:tc>
        <w:tc>
          <w:tcPr>
            <w:tcW w:w="5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3,317.4</w:t>
            </w:r>
          </w:p>
        </w:tc>
      </w:tr>
      <w:tr>
        <w:trPr>
          <w:trHeight w:val="264"/>
        </w:trPr>
        <w:tc>
          <w:tcPr>
            <w:tcW w:w="490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3200" w:type="dxa"/>
            <w:vAlign w:val="bottom"/>
          </w:tcPr>
          <w:p>
            <w:pPr>
              <w:spacing w:after="0"/>
              <w:rPr>
                <w:sz w:val="22"/>
                <w:szCs w:val="22"/>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2,860.7</w:t>
            </w:r>
          </w:p>
        </w:tc>
        <w:tc>
          <w:tcPr>
            <w:tcW w:w="5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2,783.4</w:t>
            </w:r>
          </w:p>
        </w:tc>
      </w:tr>
      <w:tr>
        <w:trPr>
          <w:trHeight w:val="270"/>
        </w:trPr>
        <w:tc>
          <w:tcPr>
            <w:tcW w:w="49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32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2,027.7</w:t>
            </w:r>
          </w:p>
        </w:tc>
        <w:tc>
          <w:tcPr>
            <w:tcW w:w="5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2,093.5</w:t>
            </w:r>
          </w:p>
        </w:tc>
      </w:tr>
      <w:tr>
        <w:trPr>
          <w:trHeight w:val="304"/>
        </w:trPr>
        <w:tc>
          <w:tcPr>
            <w:tcW w:w="49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9,181.3</w:t>
            </w:r>
          </w:p>
        </w:tc>
        <w:tc>
          <w:tcPr>
            <w:tcW w:w="5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8,194.3</w:t>
            </w:r>
          </w:p>
        </w:tc>
      </w:tr>
      <w:tr>
        <w:trPr>
          <w:trHeight w:val="311"/>
        </w:trPr>
        <w:tc>
          <w:tcPr>
            <w:tcW w:w="4900" w:type="dxa"/>
            <w:vAlign w:val="bottom"/>
            <w:shd w:val="clear" w:color="auto" w:fill="CCEEFF"/>
          </w:tcPr>
          <w:p>
            <w:pPr>
              <w:spacing w:after="0"/>
              <w:rPr>
                <w:sz w:val="24"/>
                <w:szCs w:val="24"/>
                <w:color w:val="auto"/>
              </w:rPr>
            </w:pPr>
          </w:p>
        </w:tc>
        <w:tc>
          <w:tcPr>
            <w:tcW w:w="32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49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3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6"/>
        </w:trPr>
        <w:tc>
          <w:tcPr>
            <w:tcW w:w="4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3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110.0</w:t>
            </w:r>
          </w:p>
        </w:tc>
        <w:tc>
          <w:tcPr>
            <w:tcW w:w="5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r>
      <w:tr>
        <w:trPr>
          <w:trHeight w:val="264"/>
        </w:trPr>
        <w:tc>
          <w:tcPr>
            <w:tcW w:w="490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3200" w:type="dxa"/>
            <w:vAlign w:val="bottom"/>
          </w:tcPr>
          <w:p>
            <w:pPr>
              <w:spacing w:after="0"/>
              <w:rPr>
                <w:sz w:val="22"/>
                <w:szCs w:val="22"/>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102.2</w:t>
            </w:r>
          </w:p>
        </w:tc>
        <w:tc>
          <w:tcPr>
            <w:tcW w:w="5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97.8</w:t>
            </w:r>
          </w:p>
        </w:tc>
      </w:tr>
      <w:tr>
        <w:trPr>
          <w:trHeight w:val="270"/>
        </w:trPr>
        <w:tc>
          <w:tcPr>
            <w:tcW w:w="49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32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31.2</w:t>
            </w:r>
          </w:p>
        </w:tc>
        <w:tc>
          <w:tcPr>
            <w:tcW w:w="5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33.6</w:t>
            </w:r>
          </w:p>
        </w:tc>
      </w:tr>
      <w:tr>
        <w:trPr>
          <w:trHeight w:val="304"/>
        </w:trPr>
        <w:tc>
          <w:tcPr>
            <w:tcW w:w="49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243.4</w:t>
            </w:r>
          </w:p>
        </w:tc>
        <w:tc>
          <w:tcPr>
            <w:tcW w:w="5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231.4</w:t>
            </w:r>
          </w:p>
        </w:tc>
      </w:tr>
      <w:tr>
        <w:trPr>
          <w:trHeight w:val="257"/>
        </w:trPr>
        <w:tc>
          <w:tcPr>
            <w:tcW w:w="4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2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64"/>
        </w:trPr>
        <w:tc>
          <w:tcPr>
            <w:tcW w:w="4900" w:type="dxa"/>
            <w:vAlign w:val="bottom"/>
          </w:tcPr>
          <w:p>
            <w:pPr>
              <w:ind w:left="180"/>
              <w:spacing w:after="0"/>
              <w:rPr>
                <w:sz w:val="20"/>
                <w:szCs w:val="20"/>
                <w:color w:val="auto"/>
              </w:rPr>
            </w:pPr>
            <w:r>
              <w:rPr>
                <w:rFonts w:ascii="Arial" w:cs="Arial" w:eastAsia="Arial" w:hAnsi="Arial"/>
                <w:sz w:val="14"/>
                <w:szCs w:val="14"/>
                <w:color w:val="auto"/>
              </w:rPr>
              <w:t>Aviation segment</w:t>
            </w:r>
          </w:p>
        </w:tc>
        <w:tc>
          <w:tcPr>
            <w:tcW w:w="32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47.8</w:t>
            </w:r>
          </w:p>
        </w:tc>
        <w:tc>
          <w:tcPr>
            <w:tcW w:w="5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40.4</w:t>
            </w:r>
          </w:p>
        </w:tc>
      </w:tr>
      <w:tr>
        <w:trPr>
          <w:trHeight w:val="276"/>
        </w:trPr>
        <w:tc>
          <w:tcPr>
            <w:tcW w:w="4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32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19.6</w:t>
            </w:r>
          </w:p>
        </w:tc>
        <w:tc>
          <w:tcPr>
            <w:tcW w:w="5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w:t>
            </w:r>
          </w:p>
        </w:tc>
      </w:tr>
      <w:tr>
        <w:trPr>
          <w:trHeight w:val="264"/>
        </w:trPr>
        <w:tc>
          <w:tcPr>
            <w:tcW w:w="49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Marine segment</w:t>
            </w:r>
          </w:p>
        </w:tc>
        <w:tc>
          <w:tcPr>
            <w:tcW w:w="3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w:t>
            </w: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w:t>
            </w:r>
          </w:p>
        </w:tc>
      </w:tr>
      <w:tr>
        <w:trPr>
          <w:trHeight w:val="270"/>
        </w:trPr>
        <w:tc>
          <w:tcPr>
            <w:tcW w:w="4900" w:type="dxa"/>
            <w:vAlign w:val="bottom"/>
            <w:shd w:val="clear" w:color="auto" w:fill="CCEEFF"/>
          </w:tcPr>
          <w:p>
            <w:pPr>
              <w:spacing w:after="0"/>
              <w:rPr>
                <w:sz w:val="23"/>
                <w:szCs w:val="23"/>
                <w:color w:val="auto"/>
              </w:rPr>
            </w:pPr>
          </w:p>
        </w:tc>
        <w:tc>
          <w:tcPr>
            <w:tcW w:w="3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75.9</w:t>
            </w:r>
          </w:p>
        </w:tc>
        <w:tc>
          <w:tcPr>
            <w:tcW w:w="5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70.1</w:t>
            </w:r>
          </w:p>
        </w:tc>
      </w:tr>
      <w:tr>
        <w:trPr>
          <w:trHeight w:val="264"/>
        </w:trPr>
        <w:tc>
          <w:tcPr>
            <w:tcW w:w="49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Corporate overhead - unallocated</w:t>
            </w:r>
          </w:p>
        </w:tc>
        <w:tc>
          <w:tcPr>
            <w:tcW w:w="3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w:t>
            </w: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r>
      <w:tr>
        <w:trPr>
          <w:trHeight w:val="264"/>
        </w:trPr>
        <w:tc>
          <w:tcPr>
            <w:tcW w:w="4900" w:type="dxa"/>
            <w:vAlign w:val="bottom"/>
            <w:tcBorders>
              <w:bottom w:val="single" w:sz="8" w:color="auto"/>
            </w:tcBorders>
            <w:shd w:val="clear" w:color="auto" w:fill="CCEEFF"/>
          </w:tcPr>
          <w:p>
            <w:pPr>
              <w:spacing w:after="0"/>
              <w:rPr>
                <w:sz w:val="22"/>
                <w:szCs w:val="22"/>
                <w:color w:val="auto"/>
              </w:rPr>
            </w:pPr>
          </w:p>
        </w:tc>
        <w:tc>
          <w:tcPr>
            <w:tcW w:w="320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57.2</w:t>
            </w:r>
          </w:p>
        </w:tc>
        <w:tc>
          <w:tcPr>
            <w:tcW w:w="58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50.3</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concerning our accounts receivable, net and total assets by segment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Borders>
              <w:bottom w:val="single" w:sz="8" w:color="auto"/>
            </w:tcBorders>
          </w:tcPr>
          <w:p>
            <w:pPr>
              <w:spacing w:after="0"/>
              <w:rPr>
                <w:sz w:val="16"/>
                <w:szCs w:val="16"/>
                <w:color w:val="auto"/>
              </w:rPr>
            </w:pPr>
          </w:p>
        </w:tc>
      </w:tr>
      <w:tr>
        <w:trPr>
          <w:trHeight w:val="258"/>
        </w:trPr>
        <w:tc>
          <w:tcPr>
            <w:tcW w:w="76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20" w:type="dxa"/>
            <w:vAlign w:val="bottom"/>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6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 net:</w:t>
            </w:r>
          </w:p>
        </w:tc>
        <w:tc>
          <w:tcPr>
            <w:tcW w:w="12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w w:val="94"/>
              </w:rPr>
              <w:t>Aviation segment, net of allowance for bad debt of $11.1 and $10.8 as of March 31, 2018 and December 31, 2017, respectively</w:t>
            </w:r>
          </w:p>
        </w:tc>
        <w:tc>
          <w:tcPr>
            <w:tcW w:w="1280" w:type="dxa"/>
            <w:vAlign w:val="bottom"/>
          </w:tcPr>
          <w:p>
            <w:pPr>
              <w:jc w:val="right"/>
              <w:ind w:right="110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991.1</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1,013.0</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9"/>
              </w:rPr>
              <w:t>Land segment, net of allowance for bad debt of $4.1 and $6.6 as of March 31, 2018 and December 31, 2017, respectively</w:t>
            </w:r>
          </w:p>
        </w:tc>
        <w:tc>
          <w:tcPr>
            <w:tcW w:w="12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912.4</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874.7</w:t>
            </w: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w w:val="96"/>
              </w:rPr>
              <w:t>Marine segment, net of allowance for bad debt of $9.4 and $10.4 as of March 31, 2018 and December 31, 2017, respectively</w:t>
            </w:r>
          </w:p>
        </w:tc>
        <w:tc>
          <w:tcPr>
            <w:tcW w:w="12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762.7</w:t>
            </w: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817.9</w:t>
            </w:r>
          </w:p>
        </w:tc>
      </w:tr>
      <w:tr>
        <w:trPr>
          <w:trHeight w:val="264"/>
        </w:trPr>
        <w:tc>
          <w:tcPr>
            <w:tcW w:w="76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2,666.3</w:t>
            </w:r>
          </w:p>
        </w:tc>
        <w:tc>
          <w:tcPr>
            <w:tcW w:w="5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2,705.6</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1280" w:type="dxa"/>
            <w:vAlign w:val="bottom"/>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2,160.2</w:t>
            </w: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2,240.4</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12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2,144.3</w:t>
            </w:r>
          </w:p>
        </w:tc>
        <w:tc>
          <w:tcPr>
            <w:tcW w:w="50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2,091.4</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12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986.5</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1,097.1</w:t>
            </w: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Corporate</w:t>
            </w:r>
          </w:p>
        </w:tc>
        <w:tc>
          <w:tcPr>
            <w:tcW w:w="12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181.0</w:t>
            </w: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158.9</w:t>
            </w:r>
          </w:p>
        </w:tc>
      </w:tr>
      <w:tr>
        <w:trPr>
          <w:trHeight w:val="264"/>
        </w:trPr>
        <w:tc>
          <w:tcPr>
            <w:tcW w:w="76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5,472.1</w:t>
            </w:r>
          </w:p>
        </w:tc>
        <w:tc>
          <w:tcPr>
            <w:tcW w:w="5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5,587.8</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Common Share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millions,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320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For the Three Months Ended</w:t>
            </w:r>
          </w:p>
        </w:tc>
        <w:tc>
          <w:tcPr>
            <w:tcW w:w="560" w:type="dxa"/>
            <w:vAlign w:val="bottom"/>
          </w:tcPr>
          <w:p>
            <w:pPr>
              <w:spacing w:after="0"/>
              <w:rPr>
                <w:sz w:val="16"/>
                <w:szCs w:val="16"/>
                <w:color w:val="auto"/>
              </w:rPr>
            </w:pPr>
          </w:p>
        </w:tc>
      </w:tr>
      <w:tr>
        <w:trPr>
          <w:trHeight w:val="276"/>
        </w:trPr>
        <w:tc>
          <w:tcPr>
            <w:tcW w:w="766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ind w:right="908"/>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24"/>
                <w:szCs w:val="24"/>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Numerator:</w:t>
            </w:r>
          </w:p>
        </w:tc>
        <w:tc>
          <w:tcPr>
            <w:tcW w:w="1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Net income attributable to World Fuel</w:t>
            </w:r>
          </w:p>
        </w:tc>
        <w:tc>
          <w:tcPr>
            <w:tcW w:w="128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31.2</w:t>
            </w:r>
          </w:p>
        </w:tc>
        <w:tc>
          <w:tcPr>
            <w:tcW w:w="134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31.3</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Denominator:</w:t>
            </w:r>
          </w:p>
        </w:tc>
        <w:tc>
          <w:tcPr>
            <w:tcW w:w="1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Weighted average common shares for basic earnings per common share</w:t>
            </w:r>
          </w:p>
        </w:tc>
        <w:tc>
          <w:tcPr>
            <w:tcW w:w="128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67.5</w:t>
            </w:r>
          </w:p>
        </w:tc>
        <w:tc>
          <w:tcPr>
            <w:tcW w:w="134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68.7</w:t>
            </w:r>
          </w:p>
        </w:tc>
      </w:tr>
      <w:tr>
        <w:trPr>
          <w:trHeight w:val="270"/>
        </w:trPr>
        <w:tc>
          <w:tcPr>
            <w:tcW w:w="7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Effect of dilutive securities</w:t>
            </w:r>
          </w:p>
        </w:tc>
        <w:tc>
          <w:tcPr>
            <w:tcW w:w="12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3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r>
      <w:tr>
        <w:trPr>
          <w:trHeight w:val="30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Weighted average common shares for diluted earnings per common share</w:t>
            </w:r>
          </w:p>
        </w:tc>
        <w:tc>
          <w:tcPr>
            <w:tcW w:w="1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67.9</w:t>
            </w:r>
          </w:p>
        </w:tc>
        <w:tc>
          <w:tcPr>
            <w:tcW w:w="1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69.2</w:t>
            </w:r>
          </w:p>
        </w:tc>
      </w:tr>
      <w:tr>
        <w:trPr>
          <w:trHeight w:val="311"/>
        </w:trPr>
        <w:tc>
          <w:tcPr>
            <w:tcW w:w="76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157"/>
        </w:trPr>
        <w:tc>
          <w:tcPr>
            <w:tcW w:w="7660" w:type="dxa"/>
            <w:vAlign w:val="bottom"/>
          </w:tcPr>
          <w:p>
            <w:pPr>
              <w:ind w:left="40"/>
              <w:spacing w:after="0" w:line="157" w:lineRule="exact"/>
              <w:rPr>
                <w:sz w:val="20"/>
                <w:szCs w:val="20"/>
                <w:color w:val="auto"/>
              </w:rPr>
            </w:pPr>
            <w:r>
              <w:rPr>
                <w:rFonts w:ascii="Arial" w:cs="Arial" w:eastAsia="Arial" w:hAnsi="Arial"/>
                <w:sz w:val="14"/>
                <w:szCs w:val="14"/>
                <w:color w:val="auto"/>
                <w:w w:val="95"/>
              </w:rPr>
              <w:t>Weighted average securities which are not included in the calculation of diluted earnings per common share because their impact</w:t>
            </w: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28"/>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is anti-dilutive or their performance conditions have not been met</w:t>
            </w:r>
          </w:p>
        </w:tc>
        <w:tc>
          <w:tcPr>
            <w:tcW w:w="1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r>
      <w:tr>
        <w:trPr>
          <w:trHeight w:val="257"/>
        </w:trPr>
        <w:tc>
          <w:tcPr>
            <w:tcW w:w="76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r>
      <w:tr>
        <w:trPr>
          <w:trHeight w:val="30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earnings per common share</w:t>
            </w:r>
          </w:p>
        </w:tc>
        <w:tc>
          <w:tcPr>
            <w:tcW w:w="128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0.46</w:t>
            </w:r>
          </w:p>
        </w:tc>
        <w:tc>
          <w:tcPr>
            <w:tcW w:w="134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0.46</w:t>
            </w:r>
          </w:p>
        </w:tc>
      </w:tr>
      <w:tr>
        <w:trPr>
          <w:trHeight w:val="257"/>
        </w:trPr>
        <w:tc>
          <w:tcPr>
            <w:tcW w:w="76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earnings per common share</w:t>
            </w:r>
          </w:p>
        </w:tc>
        <w:tc>
          <w:tcPr>
            <w:tcW w:w="128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0.46</w:t>
            </w:r>
          </w:p>
        </w:tc>
        <w:tc>
          <w:tcPr>
            <w:tcW w:w="134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0.45</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right="8600" w:hanging="332"/>
        <w:spacing w:after="0" w:line="503" w:lineRule="auto"/>
        <w:tabs>
          <w:tab w:leader="none" w:pos="2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Tax Matters</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regularly under review by various domestic and foreign tax authorities with regards to indirect tax matters and are involved in various challenges and litigation in a number of countries, including, Brazil and South Korea, where the amounts under controversy may be material. In certain cases, we may be required to pay the assessed amount prior to final determination while we are challenging the assessment and the timing of these payments may have an adverse effect on our cash flows during the relevant period.</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quarter ended December 31, 2016, the Korean branch (“WFSK”) of one of our subsidiaries received assessments of approximately $10.6 million (KRW 11.9 billion) and during the quarter ended June 30, 2017, an assessment for an additional $17.9 million (KRW 20.1 billion) from the regional tax authorities of Seoul, South Korea (“SRTO”). The assessments primarily consist of fines and penalties for allegedly failing to issue Value Added Tax ("VAT") invoices and report certain transactions during</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period 2011-2014. These assessments do not involve failure to pay or collect VAT. We believe that these assessments are without merit and are currently appealing the actions.</w:t>
      </w:r>
    </w:p>
    <w:p>
      <w:pPr>
        <w:spacing w:after="0" w:line="1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are also involved in a number of tax disputes with federal, state and municipal tax authorities in Brazil, relating primarily to VAT (ICMS) tax matters. These disputes are at various stages of the legal process, including the administrative review phase and the collection action phase, and include assessments of fixed amounts of principal and penalties, plus interest.</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When we deem it appropriate and the amounts are reasonably estimable, we establish reserves for potential adjustments to our provision for the accrual of indirect taxes that may result from examinations or other actions by tax authorities. If events occur which indicate payment of these amounts is unnecessary, the reversal of the liabilities would result in the recognition of benefits in the period we determine the liabilities are no longer necessary. If our estimates of any of our federal, state, and foreign indirect tax liabilities are less than the ultimate assessment, it could result in a further charge to expense. Except with respect to the matters described above, we believe that the final outcome of any pending examinations, agreements, administrative or judicial proceedings will not have a material effect on our results of operations or cash flows.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 We have established loss provisions for these ordinary course claims as well as other matters in which losses are probable and can be reasonably estimated. As of March 31, 2018, we had recorded certain reserves which were not material.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fourth quarter of 2017, we began an enterprise-wide restructuring plan that was designed to streamline the organization and reallocate resources to better align our organizational structure and costs with our strategy. While these activities are ongoing, we expect the majority of these activities to be completed over the next 12 to 18 months. The restructuring plan involves reviewing non-core businesses and assets, our organizational structure, and expected business prospects in the markets we serve, as well as our existing technology platforms. Accordingly, based on the nature of the activities being reviewed, we cannot reasonably estimate the ultimate cost that will be incurred. During the first quarter of 2018, we incurred $4.3 million in restructuring charges, comprised primarily of employee-related costs, which are included in compensation and employee benefits on our consolidated statement of income and in accrued expenses and other current liabilities on our consolidated balance sheet.</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summary of our restructuring activities during the period and are included in accrued expenses and other current liabilities on our consolidated balance sheet (in millions):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7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Aviation</w:t>
            </w:r>
          </w:p>
        </w:tc>
        <w:tc>
          <w:tcPr>
            <w:tcW w:w="4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Land</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Marine</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Corporate</w:t>
            </w: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Consolidated</w:t>
            </w:r>
          </w:p>
        </w:tc>
      </w:tr>
      <w:tr>
        <w:trPr>
          <w:trHeight w:val="216"/>
        </w:trPr>
        <w:tc>
          <w:tcPr>
            <w:tcW w:w="2780" w:type="dxa"/>
            <w:vAlign w:val="bottom"/>
            <w:shd w:val="clear" w:color="auto" w:fill="CCEDFF"/>
          </w:tcPr>
          <w:p>
            <w:pPr>
              <w:ind w:left="20"/>
              <w:spacing w:after="0"/>
              <w:rPr>
                <w:sz w:val="20"/>
                <w:szCs w:val="20"/>
                <w:color w:val="auto"/>
              </w:rPr>
            </w:pPr>
            <w:r>
              <w:rPr>
                <w:rFonts w:ascii="Arial" w:cs="Arial" w:eastAsia="Arial" w:hAnsi="Arial"/>
                <w:sz w:val="14"/>
                <w:szCs w:val="14"/>
                <w:b w:val="1"/>
                <w:bCs w:val="1"/>
                <w:color w:val="auto"/>
              </w:rPr>
              <w:t>Balance as of December 31, 2017</w:t>
            </w:r>
          </w:p>
        </w:tc>
        <w:tc>
          <w:tcPr>
            <w:tcW w:w="1320" w:type="dxa"/>
            <w:vAlign w:val="bottom"/>
            <w:shd w:val="clear" w:color="auto" w:fill="CCEDFF"/>
          </w:tcPr>
          <w:p>
            <w:pPr>
              <w:jc w:val="right"/>
              <w:ind w:right="108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0.7</w:t>
            </w:r>
          </w:p>
        </w:tc>
        <w:tc>
          <w:tcPr>
            <w:tcW w:w="400" w:type="dxa"/>
            <w:vAlign w:val="bottom"/>
            <w:shd w:val="clear" w:color="auto" w:fill="CCEDFF"/>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25.0</w:t>
            </w:r>
          </w:p>
        </w:tc>
        <w:tc>
          <w:tcPr>
            <w:tcW w:w="360" w:type="dxa"/>
            <w:vAlign w:val="bottom"/>
            <w:shd w:val="clear" w:color="auto" w:fill="CCEDFF"/>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1.3</w:t>
            </w:r>
          </w:p>
        </w:tc>
        <w:tc>
          <w:tcPr>
            <w:tcW w:w="320" w:type="dxa"/>
            <w:vAlign w:val="bottom"/>
            <w:shd w:val="clear" w:color="auto" w:fill="CCEDFF"/>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DFF"/>
          </w:tcPr>
          <w:p>
            <w:pPr>
              <w:jc w:val="right"/>
              <w:ind w:right="8"/>
              <w:spacing w:after="0"/>
              <w:rPr>
                <w:sz w:val="20"/>
                <w:szCs w:val="20"/>
                <w:color w:val="auto"/>
              </w:rPr>
            </w:pPr>
            <w:r>
              <w:rPr>
                <w:rFonts w:ascii="Arial" w:cs="Arial" w:eastAsia="Arial" w:hAnsi="Arial"/>
                <w:sz w:val="14"/>
                <w:szCs w:val="14"/>
                <w:color w:val="auto"/>
              </w:rPr>
              <w:t>5.0</w:t>
            </w:r>
          </w:p>
        </w:tc>
        <w:tc>
          <w:tcPr>
            <w:tcW w:w="300" w:type="dxa"/>
            <w:vAlign w:val="bottom"/>
            <w:shd w:val="clear" w:color="auto" w:fill="CCEDFF"/>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DFF"/>
          </w:tcPr>
          <w:p>
            <w:pPr>
              <w:jc w:val="right"/>
              <w:ind w:right="48"/>
              <w:spacing w:after="0"/>
              <w:rPr>
                <w:sz w:val="20"/>
                <w:szCs w:val="20"/>
                <w:color w:val="auto"/>
              </w:rPr>
            </w:pPr>
            <w:r>
              <w:rPr>
                <w:rFonts w:ascii="Arial" w:cs="Arial" w:eastAsia="Arial" w:hAnsi="Arial"/>
                <w:sz w:val="14"/>
                <w:szCs w:val="14"/>
                <w:color w:val="auto"/>
              </w:rPr>
              <w:t>32.0</w:t>
            </w:r>
          </w:p>
        </w:tc>
      </w:tr>
      <w:tr>
        <w:trPr>
          <w:trHeight w:val="210"/>
        </w:trPr>
        <w:tc>
          <w:tcPr>
            <w:tcW w:w="2780" w:type="dxa"/>
            <w:vAlign w:val="bottom"/>
          </w:tcPr>
          <w:p>
            <w:pPr>
              <w:ind w:left="20"/>
              <w:spacing w:after="0"/>
              <w:rPr>
                <w:sz w:val="20"/>
                <w:szCs w:val="20"/>
                <w:color w:val="auto"/>
              </w:rPr>
            </w:pPr>
            <w:r>
              <w:rPr>
                <w:rFonts w:ascii="Arial" w:cs="Arial" w:eastAsia="Arial" w:hAnsi="Arial"/>
                <w:sz w:val="14"/>
                <w:szCs w:val="14"/>
                <w:color w:val="auto"/>
              </w:rPr>
              <w:t>Employee-related costs incurred</w:t>
            </w:r>
          </w:p>
        </w:tc>
        <w:tc>
          <w:tcPr>
            <w:tcW w:w="1320" w:type="dxa"/>
            <w:vAlign w:val="bottom"/>
          </w:tcPr>
          <w:p>
            <w:pPr>
              <w:spacing w:after="0"/>
              <w:rPr>
                <w:sz w:val="18"/>
                <w:szCs w:val="18"/>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400" w:type="dxa"/>
            <w:vAlign w:val="bottom"/>
          </w:tcPr>
          <w:p>
            <w:pPr>
              <w:spacing w:after="0"/>
              <w:rPr>
                <w:sz w:val="18"/>
                <w:szCs w:val="18"/>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360" w:type="dxa"/>
            <w:vAlign w:val="bottom"/>
          </w:tcPr>
          <w:p>
            <w:pPr>
              <w:spacing w:after="0"/>
              <w:rPr>
                <w:sz w:val="18"/>
                <w:szCs w:val="18"/>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8"/>
                <w:szCs w:val="18"/>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300" w:type="dxa"/>
            <w:vAlign w:val="bottom"/>
          </w:tcPr>
          <w:p>
            <w:pPr>
              <w:spacing w:after="0"/>
              <w:rPr>
                <w:sz w:val="18"/>
                <w:szCs w:val="18"/>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4.3</w:t>
            </w:r>
          </w:p>
        </w:tc>
      </w:tr>
      <w:tr>
        <w:trPr>
          <w:trHeight w:val="203"/>
        </w:trPr>
        <w:tc>
          <w:tcPr>
            <w:tcW w:w="2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Paid during the period</w:t>
            </w:r>
          </w:p>
        </w:tc>
        <w:tc>
          <w:tcPr>
            <w:tcW w:w="13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3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3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3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r>
      <w:tr>
        <w:trPr>
          <w:trHeight w:val="210"/>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Restructuring charges as of March 31, 2018</w:t>
            </w:r>
          </w:p>
        </w:tc>
        <w:tc>
          <w:tcPr>
            <w:tcW w:w="132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w:t>
            </w:r>
          </w:p>
        </w:tc>
      </w:tr>
      <w:tr>
        <w:trPr>
          <w:trHeight w:val="20"/>
        </w:trPr>
        <w:tc>
          <w:tcPr>
            <w:tcW w:w="2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discussion should be read in conjunction with our 2017 10-K Report and the consolidated financial statements and related notes in “Item 1</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Financial Statements” appearing elsewhere in this 10-Q Report. The following discussion may contain forward-looking statements, and our actual results may differ significantly from the results suggested by these forward-looking statements. Some factors that may cause our results to differ are disclosed in “Item 1A — Risk Factors” of our 2017 10-K Report.</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Certain statements made in this report and the information incorporated by reference in it, or made by us in other reports, filings with the Securities and Exchange Commission (“SEC”), press releases, teleconferences, industry conferences or otherwise, are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w:t>
      </w:r>
    </w:p>
    <w:p>
      <w:pPr>
        <w:spacing w:after="0" w:line="1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Forward-looking statements are estimates and projections reflecting our best judgment and involve risks, uncertainties or other factors relating to our operations and business environment, all of which are difficult to predict and many of which are beyond our control. Our actual results may differ materially from the future results, performance or achievements expressed or implied by the forward-looking statements. These statements are based on our management’s expectations, beliefs and assumptions concerning future events affecting us, which in turn are based on currently available information.</w:t>
      </w:r>
    </w:p>
    <w:p>
      <w:pPr>
        <w:spacing w:after="0" w:line="154"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Examples of forward-looking statements in this 10-Q Report include, but are not limited to, our expectations about the conditions in the aviation, land, and marine markets, the timing and impact of our cost reduction initiatives and restructuring activities, our expectations regarding government-related activity and the related profit contribution, our expectations about the financial and operational impact of acquisitions on our aviation and land segments, the timing and benefits of our multi-year project and upgrade of our Enterprise Resource Planning (“ERP”) platform, our expectations about oversupplied market conditions in the U.S, our ability to drive greater leverage and ratability in our land operating model, our ability to divest or exit certain businesses, our ability to improve cost competitiveness, gain structural efficiencies and rationalize our operating model, our ability to realize synergies associated with our acquisitions and identify and implement a single common technology platform for our land segment, as well as our business strategy, business prospects, operating results, the impact of the Tax Act, effectiveness of internal controls to manage risk, working capital, liquidity, capital expenditure requirements and adequacy of funding to meet such capital expenditures and working capital requirements and future acquisitions. These forward-looking statements are qualified in their entirety by cautionary statements and risk factor disclosures contained in our Securities and Exchange Commission filings. Important assumptions relating to the forward-looking statements include, among others, assumptions regarding our ability to effectively leverage technology and operating systems and realize the anticipated benefits, our ability to successfully execute and achieve efficiencies and other benefits related to our transformation initiatives and address market conditions, our ability to effectively integrate and derive benefits from acquisitions, our ability to capitalize on new market opportunities, the demand for our products, the cost, terms and availability of fuel from suppliers, pricing levels, the timing and cost of capital expenditures, outcome of pending litigation, competitive conditions, general economic conditions and synergies relating to acquisitions, joint ventures and alliances. These assumptions could prove inaccurate. Although we believe that the estimates and projections reflected in the forward-looking statements are reasonable, our expectations may prove to be incorrect.</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prolonged periods of low oil prices and limited market volatility;</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political, economic or regulatory conditions generally and in the markets in which we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effectively hedge certain financial risks and other risks associated with derivatives;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or reduced sales to a significant government customer;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sudden changes in the market price of fuel;</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meet financial forecasts associated with our operating plan;</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lower than expected valuations associated with our cash flows and revenues, which could impair our ability to realize the value of recorded intangible assets and goodwill;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cyber and other information security-related incidents;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impacts associated with the U.K. referendum vote to exit from the European Union;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of fuel and other products we sell to meet specifications;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manage growth;</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achieve the expected level of benefit from our restructuring activities and cost reduction initiatives;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manage the implementation of an upgrade to our ERP platform;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material disruptions in the availability or supply of fuel;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operating in high risk locations;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uninsured losses;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natural disasters, such as earthquakes and hurricanes;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 variability that adversely affects our revenues and operating results;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in our senior revolving credit facility (“Credit Facility”) and our senior term loans (“Term Loans”);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U.S. or foreign tax laws (including the Tax Act), interpretations of such laws, changes in the mix of taxable income among different tax jurisdictions, or adverse results of tax audits, assessments, or disputes;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failure to generate sufficient future taxable income in jurisdictions with material deferred tax assets and net operating loss carryforwards;</w:t>
      </w:r>
    </w:p>
    <w:p>
      <w:pPr>
        <w:spacing w:after="0" w:line="74"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litigation and other proceedings, including the costs associated in defending any 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liquidity and solvency of banks within our Credit Facility and Term Loans;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interest rates; and</w:t>
      </w:r>
    </w:p>
    <w:p>
      <w:pPr>
        <w:spacing w:after="0" w:line="63"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our 2017 10-K Report and those described from time to time in our other filings with the SEC.</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The forward-looking statements in this 10-Q Report are based on assumptions management believes are reasonable. However, due to the uncertainties associated with forward-looking statements, you should not place undue reliance on any forward-looking statements.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us following this report that modify or impact any of the forward-looking statements contained in or accompanying this 10-Q Report will be deemed to modify or supersede such forward-looking statements.</w:t>
      </w:r>
    </w:p>
    <w:p>
      <w:pPr>
        <w:spacing w:after="0" w:line="1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Securities Exchange Act, as amended (the “Exchange Act”).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a leading global fuel services company, principally engaged in the distribution of fuel and related products and services in the aviation, marine and land transportation industries. In recent years, we have expanded our product and service offerings to include energy advisory services and supply fulfillment with respect to natural gas and power and transaction and payment management solutions to commercial and industrial customers. Our intention is to become a leading global energy management company offering a full suite of energy advisory, management and fulfillment services and technology solutions across the energy product spectrum. We also seek to become a leading transaction and payment management company, offering payment management solutions to commercial and industrial customers, principally in the aviation, land and marine transportation industries.</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overall aviation market remains strong, reflecting healthy airline financial performance and continued strong overall demand. Our aviation segment has benefited from our increased logistics capability and expanded footprint from the acquisition of various international aviation fueling operations, which has facilitated our expansion into additional territories and airport locations. The aviation segment has also benefited from continued strong demand from government customers, principally the North Atlantic Treaty Organization (NATO) in Afghanistan. Sales to government customers account for a material portion of our aviation segment's profitability and while we expect our government-related activity to remain strong in 2018, we believe the related profit contribution will decrease as compared to 2017 due to reduced margins associated with the renewal of our contract with NATO. Sales to government customers are driven by global events and military-related activities and therefore can vary significantly from period to period and materially impact our results of operations.</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land segment has grown primarily through acquisitions as we seek to build out our land fuel distribution capabilities, primarily in the U.S. and U.K. Recently, our land segment has been negatively impacted by lower profitability from our supply and trading activities as a result of market conditions, specifically within the U.S., which we do not expect will meaningfully improve in 2018. In addition, our operating results in the U.S. and U.K. in previous years have been adversely impacted by unseasonably warm winter weather conditions. Through the first quarter of 2018, our land operations in the U.K. experienced improvements in demand due to colder winter weather. In addition, our land segment has also benefited from strong sales to government customers, principally NATO in Afghanistan, and, we expect such activity to remain strong in the near term although at reduced margins. Lastly, we are focused on realizing the synergies associated with our acquisitions, identifying and implementing a single common technology platform and driving greater leverage and ratability in our operating model.</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marine segment continues to be adversely impacted by the weak conditions within the global shipping and offshore oil exploration markets and as a result, our marine segment experienced lower overall volumes in our core resale business as compared to historical levels. We also experienced lower demand for our price risk management products, principally as a result of limited market volatility. Due to growing competitive pressures in maritime markets, including the prolonged decline of maritime shipping volumes along with lower demand for price risk management products and our decision to exit our marine business in certain international markets, we expect lower overall volumes and associated operating margins over the course of 2018, as compared to our historical levels.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result of the challenges in the markets where we operate, we continue to rationalize our operating model to gain efficiencies through various initiatives that are ongoing throughout the Company, including moving to cloud-based technology solutions. Furthermore, during the fourth quarter of 2017, we began an enterprise-wide restructuring plan that is designed to streamline the organization, and reallocate resources to better align our organizational structure and costs with our strategy, ultimately to improve operating efficiencies. The restructuring program involves reviewing non-core businesses and investments, our organizational structure, and business prospects in the markets we serve. We will also consider our existing technology platforms, specifically with an aim to more fully integrate recent acquisitions and increase associated profit contribution. While these activities are ongoing, we expect the majority of these activities to be completed over the next 12 to 18 months.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operate in three reportable segments consisting of aviation, land and marine. In our aviation segment, we offer fuel and related products and services to major commercial airlines, second and third tier airlines, cargo carriers, regional and low cost carriers, airports, fixed based operators, corporate fleets, fractional operators, private aircraft, military fleets and the U.S. and foreign governments as well as intergovernmental organizations. In our land segment, we offer fuel, lubricants, power and natural gas solutions through Kinect, our global energy management services platform, and related products and services to customers including petroleum distributors operating in the land transportation market, retail petroleum operators, and industrial, commercial, residential and government customers. 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 Within each of our segments we may enter into derivative contracts to mitigate the risk of market price fluctuations and also to offer our customers fuel pricing alternatives to meet their needs.</w:t>
      </w:r>
    </w:p>
    <w:p>
      <w:pPr>
        <w:spacing w:after="0" w:line="16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our aviation and land segments, we primarily purchase and resell fuel and other products, and we do not act as brokers. Profit from our aviation and land segments is primarily determined by the volume and the gross profit achieved on fuel sales and a percentage of card payment and processing revenue. In our marine segment, we primarily purchase and resell fuel and also act as brokers for others. Profit from our marine segment is determined primarily by the volume and gross profit achieved on fuel resales and by the volume and commission rate of the brokering business. Profitability in our segments also depends on our operating expenses, which may be materially affected to the extent that we are required to provide for potential bad debt.</w:t>
      </w:r>
    </w:p>
    <w:p>
      <w:pPr>
        <w:spacing w:after="0" w:line="158"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7"/>
          <w:szCs w:val="17"/>
          <w:color w:val="auto"/>
        </w:rPr>
        <w:t>Corporate expenses are allocated to each segment based on usage, where possible, or on other factors according to the nature of the activity. We evaluate and manage our business segments using the performance measurement of income from operations. Selected financial information with respect to our business segments is provided in Note 9 to the accompanying consolidated financial statements included in this 10</w:t>
      </w:r>
      <w:r>
        <w:rPr>
          <w:rFonts w:ascii="MS PGothic" w:cs="MS PGothic" w:eastAsia="MS PGothic" w:hAnsi="MS PGothic"/>
          <w:sz w:val="17"/>
          <w:szCs w:val="17"/>
          <w:color w:val="auto"/>
        </w:rPr>
        <w:t>‑</w:t>
      </w:r>
      <w:r>
        <w:rPr>
          <w:rFonts w:ascii="Arial" w:cs="Arial" w:eastAsia="Arial" w:hAnsi="Arial"/>
          <w:sz w:val="17"/>
          <w:szCs w:val="17"/>
          <w:color w:val="auto"/>
        </w:rPr>
        <w:t>Q Report.</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March 31, 2018 Compared to Three Months Ended March 31, 2017</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the first quarter of 2018 was $9.2 billion, an increase of $1.0 billion, or 12.0%, as compared to the first quarter of 2017. Our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during these periods was attributable to the following segments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520" w:type="dxa"/>
            <w:vAlign w:val="bottom"/>
            <w:gridSpan w:val="3"/>
          </w:tcPr>
          <w:p>
            <w:pPr>
              <w:jc w:val="right"/>
              <w:ind w:right="454"/>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42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26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3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4,292.9</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3,317.4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975.5</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3280" w:type="dxa"/>
            <w:vAlign w:val="bottom"/>
          </w:tcPr>
          <w:p>
            <w:pPr>
              <w:spacing w:after="0"/>
              <w:rPr>
                <w:sz w:val="21"/>
                <w:szCs w:val="21"/>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2,860.7</w:t>
            </w:r>
          </w:p>
        </w:tc>
        <w:tc>
          <w:tcPr>
            <w:tcW w:w="5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2,783.4</w:t>
            </w: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77.3</w:t>
            </w:r>
          </w:p>
        </w:tc>
      </w:tr>
      <w:tr>
        <w:trPr>
          <w:trHeight w:val="27"/>
        </w:trPr>
        <w:tc>
          <w:tcPr>
            <w:tcW w:w="42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3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2,027.7</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2,093.5</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37"/>
        </w:trPr>
        <w:tc>
          <w:tcPr>
            <w:tcW w:w="4260" w:type="dxa"/>
            <w:vAlign w:val="bottom"/>
            <w:tcBorders>
              <w:top w:val="single" w:sz="8" w:color="auto"/>
            </w:tcBorders>
          </w:tcPr>
          <w:p>
            <w:pPr>
              <w:spacing w:after="0"/>
              <w:rPr>
                <w:sz w:val="20"/>
                <w:szCs w:val="20"/>
                <w:color w:val="auto"/>
              </w:rPr>
            </w:pPr>
          </w:p>
        </w:tc>
        <w:tc>
          <w:tcPr>
            <w:tcW w:w="32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9,181.3</w:t>
            </w:r>
          </w:p>
        </w:tc>
        <w:tc>
          <w:tcPr>
            <w:tcW w:w="5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8,194.3</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987.0</w:t>
            </w:r>
          </w:p>
        </w:tc>
      </w:tr>
      <w:tr>
        <w:trPr>
          <w:trHeight w:val="27"/>
        </w:trPr>
        <w:tc>
          <w:tcPr>
            <w:tcW w:w="42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Revenues in our aviation segment were $4.3 billion for the first quarter of 2018, an increase of $1.0 billion, or 29.4% as compared to the first quarter of 2017. The increase in aviation revenues was attributable to increased volumes associated with our core resale operations in North America and from our acquired international fueling operations. Total volumes for the first quarter of 2018 were 2.0 billion gallons, an increase of 7.4%, as compared to the comparable prior year period. The overall increase in revenue was also driven by higher average jet fuel prices per gallon sold in the first quarter of 2018, where the average price per gallon sold was $2.18, as compared to $1.81 in the first quarter of 2017.</w:t>
      </w:r>
    </w:p>
    <w:p>
      <w:pPr>
        <w:spacing w:after="0" w:line="1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Revenues in our land segment were $2.9 billion for the first quarter of 2018, an increase of $0.1 billion, or 2.8%, as compared to the first quarter of 2017. The overall increase in revenue was influenced by a higher average fuel price per gallon sold in the first quarter of 2018, as compared to the first quarter of 2017. Volumes in our land segment declined moderately, experiencing a 38.8 million gallon volume decrease for the first quarter of 2018.</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marine segment were $2.0 billion for the first quarter of 2018, a decrease of $65.7 million, or 3.1%, as compared to the first quarter of 2017. Volumes in our marine segment declined 15.5% to 5.8 million metric tons for the first quarter of 2018, as compared to the 2017 period, driven principally by lower volumes in our core resale operations, specifically in Asia. The decrease in revenues was partially offset by higher average fuel prices, where we experienced a 14.6% increase in the average price per metric ton sold, to $351.1 in the first quarter of 2018 as compared to $306.4 in the first quarter of 2017.</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first quarter of 2018 was $243.4 million, an increase of $12.0 million, or 5.2%, as compared to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2017.</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gross profit during these periods was attributable to the following segments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52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42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496"/>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26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380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110.0</w:t>
            </w:r>
          </w:p>
        </w:tc>
        <w:tc>
          <w:tcPr>
            <w:tcW w:w="9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100.0</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3800" w:type="dxa"/>
            <w:vAlign w:val="bottom"/>
          </w:tcPr>
          <w:p>
            <w:pPr>
              <w:spacing w:after="0"/>
              <w:rPr>
                <w:sz w:val="21"/>
                <w:szCs w:val="21"/>
                <w:color w:val="auto"/>
              </w:rPr>
            </w:pPr>
          </w:p>
        </w:tc>
        <w:tc>
          <w:tcPr>
            <w:tcW w:w="540" w:type="dxa"/>
            <w:vAlign w:val="bottom"/>
          </w:tcPr>
          <w:p>
            <w:pPr>
              <w:jc w:val="right"/>
              <w:ind w:right="34"/>
              <w:spacing w:after="0"/>
              <w:rPr>
                <w:sz w:val="20"/>
                <w:szCs w:val="20"/>
                <w:color w:val="auto"/>
              </w:rPr>
            </w:pPr>
            <w:r>
              <w:rPr>
                <w:rFonts w:ascii="Arial" w:cs="Arial" w:eastAsia="Arial" w:hAnsi="Arial"/>
                <w:sz w:val="18"/>
                <w:szCs w:val="18"/>
                <w:color w:val="auto"/>
                <w:w w:val="88"/>
              </w:rPr>
              <w:t>102.2</w:t>
            </w:r>
          </w:p>
        </w:tc>
        <w:tc>
          <w:tcPr>
            <w:tcW w:w="9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97.8</w:t>
            </w: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4.4</w:t>
            </w:r>
          </w:p>
        </w:tc>
      </w:tr>
      <w:tr>
        <w:trPr>
          <w:trHeight w:val="27"/>
        </w:trPr>
        <w:tc>
          <w:tcPr>
            <w:tcW w:w="42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38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31.2</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4260" w:type="dxa"/>
            <w:vAlign w:val="bottom"/>
            <w:tcBorders>
              <w:top w:val="single" w:sz="8" w:color="auto"/>
            </w:tcBorders>
          </w:tcPr>
          <w:p>
            <w:pPr>
              <w:spacing w:after="0"/>
              <w:rPr>
                <w:sz w:val="20"/>
                <w:szCs w:val="20"/>
                <w:color w:val="auto"/>
              </w:rPr>
            </w:pPr>
          </w:p>
        </w:tc>
        <w:tc>
          <w:tcPr>
            <w:tcW w:w="380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88"/>
              </w:rPr>
              <w:t>243.4</w:t>
            </w:r>
          </w:p>
        </w:tc>
        <w:tc>
          <w:tcPr>
            <w:tcW w:w="94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231.4</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12.0</w:t>
            </w:r>
          </w:p>
        </w:tc>
      </w:tr>
      <w:tr>
        <w:trPr>
          <w:trHeight w:val="27"/>
        </w:trPr>
        <w:tc>
          <w:tcPr>
            <w:tcW w:w="426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aviation segment gross profit for the first quarter of 2018 was $110.0 million, an increase of $10.0 million, or 10.0%, as compared to the first quarter of 2017. The increase in aviation gross profit was primarily due to increased activity from our government-related business and from our acquired international fueling operations.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land segment gross profit for the first quarter of 2018 was $102.2 million, an increase of $4.4 million, or 4.5%, as compared to the first quarter of 2017. The increase in land segment gross profit is primarily attributable to higher profitability within Europe, driven principally by colder weather conditions and from activity associated with recently acquired businesses within Kinect, our global energy management services platform. These increases were partially offset by lower profitability related to our supply and trading activities in the U.S.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marine segment gross profit for the first quarter of 2018 was $31.2 million, a decrease of $2.4 million, or 7.1%, as compared to the first quarter of 2017. Our marine segment continues to be adversely impacted by overall suppressed market conditions in the maritime industry. The gross profit decline was principally driven by reduced volumes in our core resale business, primarily in Asia.</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first quarter of 2018 were $186.2 million, an increase of $5.1 million, or 2.8%,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quarter of 2017. The total increase in operating expenses was primarily attributable to our acquired businesses and employee-related severance costs. The following table sets forth our expense categories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53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4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496"/>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18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employee benefits</w:t>
            </w:r>
          </w:p>
        </w:tc>
        <w:tc>
          <w:tcPr>
            <w:tcW w:w="388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113.9</w:t>
            </w:r>
          </w:p>
        </w:tc>
        <w:tc>
          <w:tcPr>
            <w:tcW w:w="9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104.5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880" w:type="dxa"/>
            <w:vAlign w:val="bottom"/>
          </w:tcPr>
          <w:p>
            <w:pPr>
              <w:spacing w:after="0"/>
              <w:rPr>
                <w:sz w:val="21"/>
                <w:szCs w:val="21"/>
                <w:color w:val="auto"/>
              </w:rPr>
            </w:pPr>
          </w:p>
        </w:tc>
        <w:tc>
          <w:tcPr>
            <w:tcW w:w="540" w:type="dxa"/>
            <w:vAlign w:val="bottom"/>
          </w:tcPr>
          <w:p>
            <w:pPr>
              <w:jc w:val="right"/>
              <w:ind w:right="34"/>
              <w:spacing w:after="0"/>
              <w:rPr>
                <w:sz w:val="20"/>
                <w:szCs w:val="20"/>
                <w:color w:val="auto"/>
              </w:rPr>
            </w:pPr>
            <w:r>
              <w:rPr>
                <w:rFonts w:ascii="Arial" w:cs="Arial" w:eastAsia="Arial" w:hAnsi="Arial"/>
                <w:sz w:val="18"/>
                <w:szCs w:val="18"/>
                <w:color w:val="auto"/>
              </w:rPr>
              <w:t>72.3</w:t>
            </w:r>
          </w:p>
        </w:tc>
        <w:tc>
          <w:tcPr>
            <w:tcW w:w="9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76.6</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1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180" w:type="dxa"/>
            <w:vAlign w:val="bottom"/>
            <w:tcBorders>
              <w:bottom w:val="single" w:sz="8" w:color="CCEEFF"/>
            </w:tcBorders>
            <w:shd w:val="clear" w:color="auto" w:fill="CCEEFF"/>
          </w:tcPr>
          <w:p>
            <w:pPr>
              <w:spacing w:after="0"/>
              <w:rPr>
                <w:sz w:val="22"/>
                <w:szCs w:val="22"/>
                <w:color w:val="auto"/>
              </w:rPr>
            </w:pPr>
          </w:p>
        </w:tc>
        <w:tc>
          <w:tcPr>
            <w:tcW w:w="388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186.2</w:t>
            </w:r>
          </w:p>
        </w:tc>
        <w:tc>
          <w:tcPr>
            <w:tcW w:w="9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181.1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r>
      <w:tr>
        <w:trPr>
          <w:trHeight w:val="20"/>
        </w:trPr>
        <w:tc>
          <w:tcPr>
            <w:tcW w:w="4180" w:type="dxa"/>
            <w:vAlign w:val="bottom"/>
            <w:tcBorders>
              <w:top w:val="single" w:sz="8" w:color="auto"/>
              <w:bottom w:val="single" w:sz="8" w:color="auto"/>
            </w:tcBorders>
          </w:tcPr>
          <w:p>
            <w:pPr>
              <w:spacing w:after="0" w:line="20" w:lineRule="exact"/>
              <w:rPr>
                <w:sz w:val="1"/>
                <w:szCs w:val="1"/>
                <w:color w:val="auto"/>
              </w:rPr>
            </w:pPr>
          </w:p>
        </w:tc>
        <w:tc>
          <w:tcPr>
            <w:tcW w:w="3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180" w:type="dxa"/>
            <w:vAlign w:val="bottom"/>
          </w:tcPr>
          <w:p>
            <w:pPr>
              <w:spacing w:after="0"/>
              <w:rPr>
                <w:sz w:val="24"/>
                <w:szCs w:val="24"/>
                <w:color w:val="auto"/>
              </w:rPr>
            </w:pPr>
          </w:p>
        </w:tc>
        <w:tc>
          <w:tcPr>
            <w:tcW w:w="3880" w:type="dxa"/>
            <w:vAlign w:val="bottom"/>
          </w:tcPr>
          <w:p>
            <w:pPr>
              <w:jc w:val="right"/>
              <w:ind w:right="2177"/>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Income from operations during these periods was attributable to the following segments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520" w:type="dxa"/>
            <w:vAlign w:val="bottom"/>
            <w:gridSpan w:val="3"/>
          </w:tcPr>
          <w:p>
            <w:pPr>
              <w:jc w:val="right"/>
              <w:ind w:right="453"/>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4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84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2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47.8</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270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19.6</w:t>
            </w:r>
          </w:p>
        </w:tc>
        <w:tc>
          <w:tcPr>
            <w:tcW w:w="4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21.4</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27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8.6</w:t>
            </w: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r>
      <w:tr>
        <w:trPr>
          <w:trHeight w:val="237"/>
        </w:trPr>
        <w:tc>
          <w:tcPr>
            <w:tcW w:w="484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75.9</w:t>
            </w: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70.1</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w:t>
            </w:r>
          </w:p>
        </w:tc>
      </w:tr>
      <w:tr>
        <w:trPr>
          <w:trHeight w:val="27"/>
        </w:trPr>
        <w:tc>
          <w:tcPr>
            <w:tcW w:w="4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overhead - unallocated</w:t>
            </w:r>
          </w:p>
        </w:tc>
        <w:tc>
          <w:tcPr>
            <w:tcW w:w="27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37"/>
        </w:trPr>
        <w:tc>
          <w:tcPr>
            <w:tcW w:w="484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57.2</w:t>
            </w:r>
          </w:p>
        </w:tc>
        <w:tc>
          <w:tcPr>
            <w:tcW w:w="4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50.3</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w:t>
            </w:r>
          </w:p>
        </w:tc>
      </w:tr>
      <w:tr>
        <w:trPr>
          <w:trHeight w:val="27"/>
        </w:trPr>
        <w:tc>
          <w:tcPr>
            <w:tcW w:w="48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income from operations for the first quarter of 2018 was $57.2 million, an increase of $6.9 million, or 13.7%, as compared to the first quarter of 2017. The increase was primarily attributable to our aviation segment, which benefited from increased activity from our government-related business, partially offset by a decrease in our land segment due to operating expenses was primarily attributable to our acquired businesses. Within our marine segment, we experienced lower volumes in our core resale business, primarily in Asia, and a further decline in profits from our price risk management product activities globally, which were offset by lower operating expenses, from restructuring activities. Within our land segment, we experienced lower profitability related to our supply and trading activities in the U.S. as compared to the comparable prior year period, which was partially offset by higher profitability within Europe, driven principally by colder weather conditions and from activity associated with recently acquired businesses.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Corporate overhead costs not charged to the business segments for the first quarter of 2018 were $18.7 million, a decrease of $1.1 million, or 5.6%, as compared to the first quarter of 2017.</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For the first quarter of 2018, we had non-operating expenses, net of $18.6 million, an increase of $4.4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first quarter of 2017, driven principally by higher finance costs associated with outstanding borrowings.</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For the first quarter of 2018, our effective income tax rate was 19.0% and our income tax provision was $7.3 million, as compared to an</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income tax rate of 13.9% and an income tax provision of $5.0 million for the first quarter of 2017. The higher effective income tax rate for the first quarter of 2018 was impacted by differences in the results of our subsidiaries in tax jurisdictions with different income tax rates and to the new provisions contained in the Tax Cuts and Jobs Act. The provision also includes net discrete income tax benefits totaling $4.9 million, primarily related to changes in estimates in uncertain tax positions, an adjustment for stock based compensation, and changes in the valuation allowance in various jurisdictions. Without the $4.9 million in discrete items, the effective income tax rate would have been 31.7% for the first quarter of 2018.</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Net Income Attributable to Noncontrolling Interest</w:t>
      </w:r>
      <w:r>
        <w:rPr>
          <w:rFonts w:ascii="Arial" w:cs="Arial" w:eastAsia="Arial" w:hAnsi="Arial"/>
          <w:sz w:val="18"/>
          <w:szCs w:val="18"/>
          <w:color w:val="auto"/>
        </w:rPr>
        <w:t>. For the first quarter of 2018, net income attributable to noncontrolling interest was $0.1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$0.4 million as compared to the first quarter of 2017.</w:t>
      </w:r>
    </w:p>
    <w:p>
      <w:pPr>
        <w:spacing w:after="0" w:line="14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Net Income and Diluted Earnings per Common Share</w:t>
      </w:r>
      <w:r>
        <w:rPr>
          <w:rFonts w:ascii="Arial" w:cs="Arial" w:eastAsia="Arial" w:hAnsi="Arial"/>
          <w:sz w:val="17"/>
          <w:szCs w:val="17"/>
          <w:color w:val="auto"/>
        </w:rPr>
        <w:t>. For the first quarter of 2018, we had net income of $31.2 million and diluted earnings per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share of $0.46 as compared to net income of $31.3 million and diluted earnings per common share of $0.45 for the first quarter of 2017.</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reflects the major categories of cash flows for the three months ended March 31, 2018 and 2017 (in millions). For additional details, please see the consolidated statements of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3080" w:type="dxa"/>
            <w:vAlign w:val="bottom"/>
            <w:gridSpan w:val="3"/>
          </w:tcPr>
          <w:p>
            <w:pPr>
              <w:jc w:val="center"/>
              <w:ind w:left="642"/>
              <w:spacing w:after="0"/>
              <w:rPr>
                <w:sz w:val="20"/>
                <w:szCs w:val="20"/>
                <w:color w:val="auto"/>
              </w:rPr>
            </w:pPr>
            <w:r>
              <w:rPr>
                <w:rFonts w:ascii="Arial" w:cs="Arial" w:eastAsia="Arial" w:hAnsi="Arial"/>
                <w:sz w:val="14"/>
                <w:szCs w:val="14"/>
                <w:b w:val="1"/>
                <w:bCs w:val="1"/>
                <w:color w:val="auto"/>
                <w:w w:val="94"/>
              </w:rPr>
              <w:t>For the Three Months Ended</w:t>
            </w:r>
          </w:p>
        </w:tc>
        <w:tc>
          <w:tcPr>
            <w:tcW w:w="660" w:type="dxa"/>
            <w:vAlign w:val="bottom"/>
          </w:tcPr>
          <w:p>
            <w:pPr>
              <w:spacing w:after="0"/>
              <w:rPr>
                <w:sz w:val="16"/>
                <w:szCs w:val="16"/>
                <w:color w:val="auto"/>
              </w:rPr>
            </w:pPr>
          </w:p>
        </w:tc>
      </w:tr>
      <w:tr>
        <w:trPr>
          <w:trHeight w:val="276"/>
        </w:trPr>
        <w:tc>
          <w:tcPr>
            <w:tcW w:w="76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right="379"/>
              <w:spacing w:after="0"/>
              <w:rPr>
                <w:sz w:val="20"/>
                <w:szCs w:val="20"/>
                <w:color w:val="auto"/>
              </w:rPr>
            </w:pPr>
            <w:r>
              <w:rPr>
                <w:rFonts w:ascii="Arial" w:cs="Arial" w:eastAsia="Arial" w:hAnsi="Arial"/>
                <w:sz w:val="14"/>
                <w:szCs w:val="14"/>
                <w:b w:val="1"/>
                <w:bCs w:val="1"/>
                <w:color w:val="auto"/>
                <w:w w:val="99"/>
              </w:rPr>
              <w:t>March 31,</w:t>
            </w:r>
          </w:p>
        </w:tc>
        <w:tc>
          <w:tcPr>
            <w:tcW w:w="660" w:type="dxa"/>
            <w:vAlign w:val="bottom"/>
            <w:tcBorders>
              <w:bottom w:val="single" w:sz="8" w:color="auto"/>
            </w:tcBorders>
          </w:tcPr>
          <w:p>
            <w:pPr>
              <w:spacing w:after="0"/>
              <w:rPr>
                <w:sz w:val="24"/>
                <w:szCs w:val="24"/>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1140" w:type="dxa"/>
            <w:vAlign w:val="bottom"/>
            <w:tcBorders>
              <w:bottom w:val="single" w:sz="8" w:color="CCEEFF"/>
            </w:tcBorders>
            <w:shd w:val="clear" w:color="auto" w:fill="CCEEFF"/>
          </w:tcPr>
          <w:p>
            <w:pPr>
              <w:jc w:val="right"/>
              <w:ind w:right="96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(228.8)</w:t>
            </w:r>
          </w:p>
        </w:tc>
        <w:tc>
          <w:tcPr>
            <w:tcW w:w="122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140" w:type="dxa"/>
            <w:vAlign w:val="bottom"/>
          </w:tcPr>
          <w:p>
            <w:pPr>
              <w:spacing w:after="0"/>
              <w:rPr>
                <w:sz w:val="21"/>
                <w:szCs w:val="21"/>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86.1</w:t>
            </w:r>
          </w:p>
        </w:tc>
        <w:tc>
          <w:tcPr>
            <w:tcW w:w="1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(80.8)</w:t>
            </w:r>
          </w:p>
        </w:tc>
        <w:tc>
          <w:tcPr>
            <w:tcW w:w="1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r>
      <w:tr>
        <w:trPr>
          <w:trHeight w:val="20"/>
        </w:trPr>
        <w:tc>
          <w:tcPr>
            <w:tcW w:w="7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*The adoption of ASU 2016-15 resulted in operating cash flow decreases and investing cash flow increases of $120.0 million and $72.8 million for the three months ended March 31, 2018 and 2017, respectively.</w:t>
      </w:r>
    </w:p>
    <w:p>
      <w:pPr>
        <w:spacing w:after="0" w:line="15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For the first three months of 2018, net cash used in operating activities was $228.8 million as compared to net cash provided by</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activities of $64.1 million for the first three months of 2017. The $293.0 million change in operating cash flows was principally due to a net $127.9 million year-over-year decline in accounts receivables, associated with newly adopted cash flow statement requirements, higher fuel prices and the associated timing of collections. At the beginning of 2018, accounting standards update 2016-15 (“ASU 2016-15”) was effective for us and provides revised guidance on the presentation of certain items, including those associated with retained beneficial interests in accounts receivable sale programs. We have Receivables Purchase Agreements (“RPAs”) with Wells Fargo and Citibank, where we sell 100% of outstanding qualifying accounts receivable balances, and receive cash consideration equal to either 90% or 94% of the total balance, depending on the customer, less a discount margin equivalent to LIBOR plus 1% to 3%. Under the terms of the RPAs, we are also entitled to retained beneficial interests, which gives us the right to receive additional cash consideration of either 10% or 6%, as applicable. Under the revised guidance, cash inflows attributable to held beneficial interests are no longer treated as a component of accounts receivables, net in operating activities, but instead are classified separately as an investing activity. Accordingly, cash receipts of retained beneficial interests of $120.0 million were included in investing activities during the three months ended March 31, 2018. In addition, cash flows from inventory decreased $85.5 million as a result of strategic and seasonal inventory purchases and higher average fuel prices during the period.</w:t>
      </w:r>
    </w:p>
    <w:p>
      <w:pPr>
        <w:spacing w:after="0" w:line="16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For the first three months of 2018, net cash provided by investing activities was $86.1 million as compared to net cash used in</w:t>
      </w:r>
      <w:r>
        <w:rPr>
          <w:rFonts w:ascii="Arial" w:cs="Arial" w:eastAsia="Arial" w:hAnsi="Arial"/>
          <w:sz w:val="17"/>
          <w:szCs w:val="17"/>
          <w:i w:val="1"/>
          <w:iCs w:val="1"/>
          <w:color w:val="auto"/>
        </w:rPr>
        <w:t xml:space="preserve"> </w:t>
      </w:r>
      <w:r>
        <w:rPr>
          <w:rFonts w:ascii="Arial" w:cs="Arial" w:eastAsia="Arial" w:hAnsi="Arial"/>
          <w:sz w:val="17"/>
          <w:szCs w:val="17"/>
          <w:color w:val="auto"/>
        </w:rPr>
        <w:t>investing activities of $25.1 million for the first three months of 2017. The $111.2 million change in cash used in investing activities was principally due to decreased cash used for the acquisition of businesses and increased cash receipts of retained beneficial interests in receivables sales.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the first three months of 2018, net cash used in financing activities was $80.8 million as compared to $120.2 million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in financing activities for the first three months of 2017. The $39.5 million change was due to a $27.5 million decrease in net borrowings under our credit facility in the first three months of 2018 as compared to the first three months of 2017 and $11.1 million in cash used for common stock repurchases in the first three months of 2017.</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Liquidity Measures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As of March 31, 2018 and December 31, 2017, we had cash and cash equivalents of $152.9 million and $372.3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Our primary use of cash and cash equivalents are to fund working capital and strategic investments. We are usually extended unsecured trade credit from our suppliers for our fuel purchases. Increases in oil prices can negatively affect liquidity by increasing the amount of cash needed to fund fuel purchases as well as reducing the amount of fuel which we can purchase on an unsecured basis from our suppliers.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Credit Facility and Term Loans. </w:t>
      </w:r>
      <w:r>
        <w:rPr>
          <w:rFonts w:ascii="Arial" w:cs="Arial" w:eastAsia="Arial" w:hAnsi="Arial"/>
          <w:sz w:val="17"/>
          <w:szCs w:val="17"/>
          <w:color w:val="auto"/>
        </w:rPr>
        <w:t>On January 30, 2018, we amended our Credit Facility and elected to prepay $300.0 million of our outstanding Term</w:t>
      </w:r>
      <w:r>
        <w:rPr>
          <w:rFonts w:ascii="Arial" w:cs="Arial" w:eastAsia="Arial" w:hAnsi="Arial"/>
          <w:sz w:val="17"/>
          <w:szCs w:val="17"/>
          <w:i w:val="1"/>
          <w:iCs w:val="1"/>
          <w:color w:val="auto"/>
        </w:rPr>
        <w:t xml:space="preserve"> </w:t>
      </w:r>
      <w:r>
        <w:rPr>
          <w:rFonts w:ascii="Arial" w:cs="Arial" w:eastAsia="Arial" w:hAnsi="Arial"/>
          <w:sz w:val="17"/>
          <w:szCs w:val="17"/>
          <w:color w:val="auto"/>
        </w:rPr>
        <w:t>Loans and decrease the borrowing capacity of our Credit Facility to $1.16 billion.We had $531.6 million and $835.8 million in Term Loans outstanding as of March 31, 2018 and December 31, 2017, respectively. Our Credit Facility includes a sublimit of $400.0 million for the issuance of letters of credit and bankers' acceptances. Under the Credit Facility, we have the right to request increases in available borrowings up to an additional $200.0 million, subject to the satisfaction of certain conditions. The credit facility matures in October 2021. We had outstanding borrowings under our Credit Facility totaling $289.0 million and $60.0 million as of March 31, 2018 and December 31, 2017, respectively. Our issued letters of credit under the Credit Facility totaled $6.9 million and $8.6 million as of March 31, 2018 and December 31, 2017, respectively. As of March 31, 2018 and December 31, 2017, the unused portion of our Credit Facility was $804.1 million and $1.19 billion, respectively.</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liquidity, consisting of cash and cash equivalents and availability under the Credit Facility fluctuates based on a number of factors, including the timing of receipts from our customers and payments to our suppliers as well as commodity prices. Availability under our Credit Facility is also limited by, among other things our financial leverage ratio, which limits the total amount of indebtedness we may incur, and may therefore fluctuate from period to period.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Our Credit Facility and our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w:t>
      </w:r>
      <w:r>
        <w:rPr>
          <w:rFonts w:ascii="MS PGothic" w:cs="MS PGothic" w:eastAsia="MS PGothic" w:hAnsi="MS PGothic"/>
          <w:sz w:val="18"/>
          <w:szCs w:val="18"/>
          <w:color w:val="auto"/>
        </w:rPr>
        <w:t>‑</w:t>
      </w:r>
      <w:r>
        <w:rPr>
          <w:rFonts w:ascii="Arial" w:cs="Arial" w:eastAsia="Arial" w:hAnsi="Arial"/>
          <w:sz w:val="18"/>
          <w:szCs w:val="18"/>
          <w:color w:val="auto"/>
        </w:rPr>
        <w:t>defaults under certain other agreements to which we are a party and impair our ability to obtain working capital advances and issue letters of credit, which would have a material adverse effect on our business, financial condition, results of operations and cash flows. As of March 31, 2018, we were in compliance with all financial covenants contained in our Credit Facility and our Term Loans.</w:t>
      </w:r>
    </w:p>
    <w:p>
      <w:pPr>
        <w:spacing w:after="0" w:line="2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Other Agreements</w:t>
      </w:r>
      <w:r>
        <w:rPr>
          <w:rFonts w:ascii="Arial" w:cs="Arial" w:eastAsia="Arial" w:hAnsi="Arial"/>
          <w:sz w:val="18"/>
          <w:szCs w:val="18"/>
          <w:color w:val="auto"/>
        </w:rPr>
        <w:t>. Additionally, we have other uncommitted credit lines primarily for the issuance of letters of credit, bank guarantees and bankers’</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acceptances. These credit lines are renewable on an annual basis and are subject to fees at market rates. As of March 31, 2018 and December 31, 2017, our outstanding letters of credit and bank guarantees under these credit lines totaled $291.8 million and $272.0 million, respectively. We also have RPAs that allow for the sale of up to an aggregate of $500.0 million of our accounts receivable. Our sold accounts receivable under the RPAs was $347.3 million and $377.3 million, as of March 31, 2018 and December 31, 2017, respectively.</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Short-Term Debt</w:t>
      </w:r>
      <w:r>
        <w:rPr>
          <w:rFonts w:ascii="Arial" w:cs="Arial" w:eastAsia="Arial" w:hAnsi="Arial"/>
          <w:sz w:val="18"/>
          <w:szCs w:val="18"/>
          <w:color w:val="auto"/>
        </w:rPr>
        <w:t>. As of March 31, 2018, our short-term debt of $33.6 million primarily represents the current maturities (within the next twelve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of Term Loan borrowings, certain promissory notes related to acquisitions and capital lease obligations.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ERP</w:t>
      </w:r>
      <w:r>
        <w:rPr>
          <w:rFonts w:ascii="Arial" w:cs="Arial" w:eastAsia="Arial" w:hAnsi="Arial"/>
          <w:sz w:val="17"/>
          <w:szCs w:val="17"/>
          <w:color w:val="auto"/>
        </w:rPr>
        <w:t>. We previously committed to undertake a multi-year project designed to drive greater improvement in operating efficiencies and optimize</w:t>
      </w:r>
      <w:r>
        <w:rPr>
          <w:rFonts w:ascii="Arial" w:cs="Arial" w:eastAsia="Arial" w:hAnsi="Arial"/>
          <w:sz w:val="17"/>
          <w:szCs w:val="17"/>
          <w:i w:val="1"/>
          <w:iCs w:val="1"/>
          <w:color w:val="auto"/>
        </w:rPr>
        <w:t xml:space="preserve"> </w:t>
      </w:r>
      <w:r>
        <w:rPr>
          <w:rFonts w:ascii="Arial" w:cs="Arial" w:eastAsia="Arial" w:hAnsi="Arial"/>
          <w:sz w:val="17"/>
          <w:szCs w:val="17"/>
          <w:color w:val="auto"/>
        </w:rPr>
        <w:t>scalability, particularly when integrating future acquisitions. We planned to accomplish this in part by a global design and deployment of an upgrade to our existing ERP platform. We made certain provider determinations and completed design phases of the upgrade, and the overall costs incurred to date have not been material. Our digital transformation is predicated on bringing agility to business teams and driving improved operational performance through technology solutions. In connection with our recently announced restructuring plan, the organizational structure will be assessed and the ultimate solutions deployed by us will be geared towards facilitating an optimized and collaborative workforce, coupled with an exceptional experience to our customers and suppliers. These restructuring activities may have a material impact on our timing and overall expected cost of the project. If we fail to successfully implement the upgrade to our existing ERP platform, or other technology platforms we decide upon, or should we experience material delays, or fail to properly manage the project, our ability to grow our business could be adversely affected. Estimating the expected expenditures related to these activities is highly complex and is subject to variables that can materially change our costs. Should the actual costs exceed our estimates, our liquidity and results of operations could be adversely affected.</w:t>
      </w:r>
    </w:p>
    <w:p>
      <w:pPr>
        <w:spacing w:after="0" w:line="1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believe that our cash and cash equivalents as of March 31, 2018 and available funds from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by operating activities), the state of worldwide credit markets, and our levels of outstanding debt. Depending on the severity and direct impact of these factors on us, financing may be limited or unavailable on terms favorable to us.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Except for changes in the contractual obligations and off-balance sheet arrangements described below, there were no other material changes from December 31, 2017 to March 31, 2018. For a discussion of these matters, refer to “Contractual Obligations and Off-Balance Sheet Arrangements” in Item 7 of our 2017 10-K Report.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Derivative Obligations. </w:t>
      </w:r>
      <w:r>
        <w:rPr>
          <w:rFonts w:ascii="Arial" w:cs="Arial" w:eastAsia="Arial" w:hAnsi="Arial"/>
          <w:sz w:val="18"/>
          <w:szCs w:val="18"/>
          <w:color w:val="auto"/>
        </w:rPr>
        <w:t>As of March 31, 2018, our net derivative obligations were $66.3 million, principally due within one year.</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Purchase Commitment Obligations. </w:t>
      </w:r>
      <w:r>
        <w:rPr>
          <w:rFonts w:ascii="Arial" w:cs="Arial" w:eastAsia="Arial" w:hAnsi="Arial"/>
          <w:sz w:val="18"/>
          <w:szCs w:val="18"/>
          <w:color w:val="auto"/>
        </w:rPr>
        <w:t>As of March 31, 2018, fixed purchase commitments under our derivative programs amounted to $223.1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due within one year.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Letters of Credit and Bank Guarantees. </w:t>
      </w:r>
      <w:r>
        <w:rPr>
          <w:rFonts w:ascii="Arial" w:cs="Arial" w:eastAsia="Arial" w:hAnsi="Arial"/>
          <w:sz w:val="18"/>
          <w:szCs w:val="18"/>
          <w:color w:val="auto"/>
        </w:rPr>
        <w:t>In the normal course of business, we are required to provide letters of credit to certain suppliers. A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letters of credit expire within one year from their issuance, and expired letters of credit are renewed as needed. As of March 31, 2018, we had issued letters of credit and bank guarantees totaling $298.7 million under our Credit Facility and other uncommitted credit lines. For additional information on our Credit Facility and other credit lines, see the discussion in “Liquidity and Capital Resources” above.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new accounting pronouncements is included in Note 1, Basis of Presentation and Significant Accounting Policies, in the “Notes to the Consolidated Financial Statements” in this 10-Q Report.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information about our derivative instruments, at their respective fair value positions as of March 31, 2018, see Notes to the Consolidated Financial Statements – </w:t>
      </w:r>
      <w:r>
        <w:rPr>
          <w:rFonts w:ascii="Arial" w:cs="Arial" w:eastAsia="Arial" w:hAnsi="Arial"/>
          <w:sz w:val="18"/>
          <w:szCs w:val="18"/>
          <w:i w:val="1"/>
          <w:iCs w:val="1"/>
          <w:color w:val="auto"/>
        </w:rPr>
        <w:t>Note 3. Derivatives.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material changes to our exposures to interest rate or foreign currency risk since December 31, 2017. Please refer to our 2017 10-K Report for a complete discussion of our exposure to these risks.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the end of the period covered by this 10-Q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March 31, 2018.</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March 31, 2018.</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July 20, 2016, we were informed that the U.S. Department of Justice (the “DOJ”) is conducting an investigation into the aviation fuel supply industry, including certain activities by us and other industry participants at an airport in Central America. In connection therewith, we were served with formal requests by the DOJ about its activities at that airport and its aviation fuel supply business more broadly. We are cooperating with the investigation.</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are under review by the IRS and various other domestic and foreign tax authorities with regards to income tax and indirect tax matters and are involved in various challenges and litigation in a number of countries, including, in particular, U.S., Brazil, Denmark and South Korea, where the amounts under controversy may be material. See Notes 7 and 11 of the accompanying consolidated financial statements for additional details regarding certain tax matters.</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are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 We are not currently a party to any such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consolidated financial statements or disclosures for that period.</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information with respect to repurchases of common stock made by us during the quarterly period ended March 31, 2018 (in thousands, except average price per share):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320" w:type="dxa"/>
            <w:vAlign w:val="bottom"/>
          </w:tcPr>
          <w:p>
            <w:pPr>
              <w:jc w:val="center"/>
              <w:ind w:left="868"/>
              <w:spacing w:after="0"/>
              <w:rPr>
                <w:sz w:val="20"/>
                <w:szCs w:val="20"/>
                <w:color w:val="auto"/>
              </w:rPr>
            </w:pPr>
            <w:r>
              <w:rPr>
                <w:rFonts w:ascii="Arial" w:cs="Arial" w:eastAsia="Arial" w:hAnsi="Arial"/>
                <w:sz w:val="14"/>
                <w:szCs w:val="14"/>
                <w:b w:val="1"/>
                <w:bCs w:val="1"/>
                <w:color w:val="auto"/>
                <w:w w:val="95"/>
              </w:rPr>
              <w:t>Total Number</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2140" w:type="dxa"/>
            <w:vAlign w:val="bottom"/>
            <w:vMerge w:val="restart"/>
          </w:tcPr>
          <w:p>
            <w:pPr>
              <w:jc w:val="center"/>
              <w:ind w:left="888"/>
              <w:spacing w:after="0"/>
              <w:rPr>
                <w:sz w:val="20"/>
                <w:szCs w:val="20"/>
                <w:color w:val="auto"/>
              </w:rPr>
            </w:pPr>
            <w:r>
              <w:rPr>
                <w:rFonts w:ascii="Arial" w:cs="Arial" w:eastAsia="Arial" w:hAnsi="Arial"/>
                <w:sz w:val="14"/>
                <w:szCs w:val="14"/>
                <w:b w:val="1"/>
                <w:bCs w:val="1"/>
                <w:color w:val="auto"/>
                <w:w w:val="95"/>
              </w:rPr>
              <w:t>Total Number</w:t>
            </w:r>
          </w:p>
        </w:tc>
        <w:tc>
          <w:tcPr>
            <w:tcW w:w="4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32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0"/>
              </w:rPr>
              <w:t>of Shares Purchased</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Average Price</w:t>
            </w:r>
          </w:p>
        </w:tc>
        <w:tc>
          <w:tcPr>
            <w:tcW w:w="232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49"/>
        </w:trPr>
        <w:tc>
          <w:tcPr>
            <w:tcW w:w="2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214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87"/>
              </w:rPr>
              <w:t>of Shares</w:t>
            </w:r>
          </w:p>
        </w:tc>
        <w:tc>
          <w:tcPr>
            <w:tcW w:w="46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232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92"/>
        </w:trPr>
        <w:tc>
          <w:tcPr>
            <w:tcW w:w="2360" w:type="dxa"/>
            <w:vAlign w:val="bottom"/>
            <w:tcBorders>
              <w:bottom w:val="single" w:sz="8" w:color="auto"/>
            </w:tcBorders>
            <w:vMerge w:val="continue"/>
          </w:tcPr>
          <w:p>
            <w:pPr>
              <w:spacing w:after="0"/>
              <w:rPr>
                <w:sz w:val="16"/>
                <w:szCs w:val="16"/>
                <w:color w:val="auto"/>
              </w:rPr>
            </w:pPr>
          </w:p>
        </w:tc>
        <w:tc>
          <w:tcPr>
            <w:tcW w:w="2140" w:type="dxa"/>
            <w:vAlign w:val="bottom"/>
            <w:tcBorders>
              <w:bottom w:val="single" w:sz="8" w:color="auto"/>
            </w:tcBorders>
          </w:tcPr>
          <w:p>
            <w:pPr>
              <w:jc w:val="center"/>
              <w:ind w:left="868"/>
              <w:spacing w:after="0"/>
              <w:rPr>
                <w:sz w:val="20"/>
                <w:szCs w:val="20"/>
                <w:color w:val="auto"/>
              </w:rPr>
            </w:pPr>
            <w:r>
              <w:rPr>
                <w:rFonts w:ascii="Arial" w:cs="Arial" w:eastAsia="Arial" w:hAnsi="Arial"/>
                <w:sz w:val="14"/>
                <w:szCs w:val="14"/>
                <w:b w:val="1"/>
                <w:bCs w:val="1"/>
                <w:color w:val="auto"/>
                <w:w w:val="90"/>
              </w:rPr>
              <w:t xml:space="preserve">Purchased </w:t>
            </w:r>
            <w:r>
              <w:rPr>
                <w:rFonts w:ascii="Arial" w:cs="Arial" w:eastAsia="Arial" w:hAnsi="Arial"/>
                <w:sz w:val="7"/>
                <w:szCs w:val="7"/>
                <w:b w:val="1"/>
                <w:bCs w:val="1"/>
                <w:color w:val="auto"/>
                <w:w w:val="90"/>
              </w:rPr>
              <w:t>(1)</w:t>
            </w:r>
          </w:p>
        </w:tc>
        <w:tc>
          <w:tcPr>
            <w:tcW w:w="4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Paid Per Share</w:t>
            </w:r>
          </w:p>
        </w:tc>
        <w:tc>
          <w:tcPr>
            <w:tcW w:w="2320" w:type="dxa"/>
            <w:vAlign w:val="bottom"/>
            <w:tcBorders>
              <w:bottom w:val="single" w:sz="8" w:color="auto"/>
            </w:tcBorders>
          </w:tcPr>
          <w:p>
            <w:pPr>
              <w:jc w:val="center"/>
              <w:ind w:left="868"/>
              <w:spacing w:after="0"/>
              <w:rPr>
                <w:sz w:val="20"/>
                <w:szCs w:val="20"/>
                <w:color w:val="auto"/>
              </w:rPr>
            </w:pPr>
            <w:r>
              <w:rPr>
                <w:rFonts w:ascii="Arial" w:cs="Arial" w:eastAsia="Arial" w:hAnsi="Arial"/>
                <w:sz w:val="14"/>
                <w:szCs w:val="14"/>
                <w:b w:val="1"/>
                <w:bCs w:val="1"/>
                <w:color w:val="auto"/>
                <w:w w:val="93"/>
              </w:rPr>
              <w:t>or Programs</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7"/>
                <w:szCs w:val="7"/>
                <w:b w:val="1"/>
                <w:bCs w:val="1"/>
                <w:color w:val="auto"/>
                <w:w w:val="92"/>
              </w:rPr>
              <w:t>(2)</w:t>
            </w:r>
          </w:p>
        </w:tc>
        <w:tc>
          <w:tcPr>
            <w:tcW w:w="0" w:type="dxa"/>
            <w:vAlign w:val="bottom"/>
          </w:tcPr>
          <w:p>
            <w:pPr>
              <w:spacing w:after="0"/>
              <w:rPr>
                <w:sz w:val="1"/>
                <w:szCs w:val="1"/>
                <w:color w:val="auto"/>
              </w:rPr>
            </w:pPr>
          </w:p>
        </w:tc>
      </w:tr>
      <w:tr>
        <w:trPr>
          <w:trHeight w:val="270"/>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1/1/2018 - 1/31/2018</w:t>
            </w:r>
          </w:p>
        </w:tc>
        <w:tc>
          <w:tcPr>
            <w:tcW w:w="214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660" w:type="dxa"/>
            <w:vAlign w:val="bottom"/>
            <w:shd w:val="clear" w:color="auto" w:fill="CCEEFF"/>
          </w:tcPr>
          <w:p>
            <w:pPr>
              <w:jc w:val="right"/>
              <w:ind w:right="1388"/>
              <w:spacing w:after="0"/>
              <w:rPr>
                <w:sz w:val="20"/>
                <w:szCs w:val="20"/>
                <w:color w:val="auto"/>
              </w:rPr>
            </w:pPr>
            <w:r>
              <w:rPr>
                <w:rFonts w:ascii="Arial" w:cs="Arial" w:eastAsia="Arial" w:hAnsi="Arial"/>
                <w:sz w:val="14"/>
                <w:szCs w:val="14"/>
                <w:color w:val="auto"/>
              </w:rPr>
              <w:t>$</w:t>
            </w:r>
          </w:p>
        </w:tc>
        <w:tc>
          <w:tcPr>
            <w:tcW w:w="2320" w:type="dxa"/>
            <w:vAlign w:val="bottom"/>
            <w:shd w:val="clear" w:color="auto" w:fill="CCEEFF"/>
          </w:tcPr>
          <w:p>
            <w:pPr>
              <w:jc w:val="right"/>
              <w:ind w:right="1848"/>
              <w:spacing w:after="0"/>
              <w:rPr>
                <w:sz w:val="20"/>
                <w:szCs w:val="20"/>
                <w:color w:val="auto"/>
              </w:rPr>
            </w:pPr>
            <w:r>
              <w:rPr>
                <w:rFonts w:ascii="Arial" w:cs="Arial" w:eastAsia="Arial" w:hAnsi="Arial"/>
                <w:sz w:val="14"/>
                <w:szCs w:val="14"/>
                <w:color w:val="auto"/>
              </w:rPr>
              <w:t>28.18</w:t>
            </w:r>
          </w:p>
        </w:tc>
        <w:tc>
          <w:tcPr>
            <w:tcW w:w="3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64"/>
        </w:trPr>
        <w:tc>
          <w:tcPr>
            <w:tcW w:w="2360" w:type="dxa"/>
            <w:vAlign w:val="bottom"/>
          </w:tcPr>
          <w:p>
            <w:pPr>
              <w:ind w:left="40"/>
              <w:spacing w:after="0"/>
              <w:rPr>
                <w:sz w:val="20"/>
                <w:szCs w:val="20"/>
                <w:color w:val="auto"/>
              </w:rPr>
            </w:pPr>
            <w:r>
              <w:rPr>
                <w:rFonts w:ascii="Arial" w:cs="Arial" w:eastAsia="Arial" w:hAnsi="Arial"/>
                <w:sz w:val="14"/>
                <w:szCs w:val="14"/>
                <w:color w:val="auto"/>
              </w:rPr>
              <w:t>2/1/2018 - 2/28/2018</w:t>
            </w:r>
          </w:p>
        </w:tc>
        <w:tc>
          <w:tcPr>
            <w:tcW w:w="2140" w:type="dxa"/>
            <w:vAlign w:val="bottom"/>
          </w:tcPr>
          <w:p>
            <w:pPr>
              <w:spacing w:after="0"/>
              <w:rPr>
                <w:sz w:val="22"/>
                <w:szCs w:val="22"/>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1660" w:type="dxa"/>
            <w:vAlign w:val="bottom"/>
          </w:tcPr>
          <w:p>
            <w:pPr>
              <w:spacing w:after="0"/>
              <w:rPr>
                <w:sz w:val="22"/>
                <w:szCs w:val="22"/>
                <w:color w:val="auto"/>
              </w:rPr>
            </w:pPr>
          </w:p>
        </w:tc>
        <w:tc>
          <w:tcPr>
            <w:tcW w:w="2320" w:type="dxa"/>
            <w:vAlign w:val="bottom"/>
          </w:tcPr>
          <w:p>
            <w:pPr>
              <w:jc w:val="right"/>
              <w:ind w:right="1848"/>
              <w:spacing w:after="0"/>
              <w:rPr>
                <w:sz w:val="20"/>
                <w:szCs w:val="20"/>
                <w:color w:val="auto"/>
              </w:rPr>
            </w:pPr>
            <w:r>
              <w:rPr>
                <w:rFonts w:ascii="Arial" w:cs="Arial" w:eastAsia="Arial" w:hAnsi="Arial"/>
                <w:sz w:val="14"/>
                <w:szCs w:val="14"/>
                <w:color w:val="auto"/>
              </w:rPr>
              <w:t>24.66</w:t>
            </w:r>
          </w:p>
        </w:tc>
        <w:tc>
          <w:tcPr>
            <w:tcW w:w="340" w:type="dxa"/>
            <w:vAlign w:val="bottom"/>
          </w:tcPr>
          <w:p>
            <w:pPr>
              <w:ind w:left="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70"/>
        </w:trPr>
        <w:tc>
          <w:tcPr>
            <w:tcW w:w="2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3/1/2018 - 3/31/2018</w:t>
            </w:r>
          </w:p>
        </w:tc>
        <w:tc>
          <w:tcPr>
            <w:tcW w:w="21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spacing w:after="0"/>
              <w:rPr>
                <w:sz w:val="23"/>
                <w:szCs w:val="23"/>
                <w:color w:val="auto"/>
              </w:rPr>
            </w:pPr>
          </w:p>
        </w:tc>
        <w:tc>
          <w:tcPr>
            <w:tcW w:w="2320" w:type="dxa"/>
            <w:vAlign w:val="bottom"/>
            <w:tcBorders>
              <w:bottom w:val="single" w:sz="8" w:color="auto"/>
            </w:tcBorders>
            <w:shd w:val="clear" w:color="auto" w:fill="CCEEFF"/>
          </w:tcPr>
          <w:p>
            <w:pPr>
              <w:jc w:val="right"/>
              <w:ind w:right="1848"/>
              <w:spacing w:after="0"/>
              <w:rPr>
                <w:sz w:val="20"/>
                <w:szCs w:val="20"/>
                <w:color w:val="auto"/>
              </w:rPr>
            </w:pPr>
            <w:r>
              <w:rPr>
                <w:rFonts w:ascii="Arial" w:cs="Arial" w:eastAsia="Arial" w:hAnsi="Arial"/>
                <w:sz w:val="14"/>
                <w:szCs w:val="14"/>
                <w:color w:val="auto"/>
              </w:rPr>
              <w:t>23.43</w:t>
            </w: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64"/>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w:t>
            </w:r>
          </w:p>
        </w:tc>
        <w:tc>
          <w:tcPr>
            <w:tcW w:w="21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w:t>
            </w:r>
          </w:p>
        </w:tc>
        <w:tc>
          <w:tcPr>
            <w:tcW w:w="1660" w:type="dxa"/>
            <w:vAlign w:val="bottom"/>
            <w:tcBorders>
              <w:bottom w:val="single" w:sz="8" w:color="auto"/>
            </w:tcBorders>
          </w:tcPr>
          <w:p>
            <w:pPr>
              <w:jc w:val="right"/>
              <w:ind w:right="1388"/>
              <w:spacing w:after="0"/>
              <w:rPr>
                <w:sz w:val="20"/>
                <w:szCs w:val="20"/>
                <w:color w:val="auto"/>
              </w:rPr>
            </w:pPr>
            <w:r>
              <w:rPr>
                <w:rFonts w:ascii="Arial" w:cs="Arial" w:eastAsia="Arial" w:hAnsi="Arial"/>
                <w:sz w:val="14"/>
                <w:szCs w:val="14"/>
                <w:color w:val="auto"/>
              </w:rPr>
              <w:t>$</w:t>
            </w:r>
          </w:p>
        </w:tc>
        <w:tc>
          <w:tcPr>
            <w:tcW w:w="2320" w:type="dxa"/>
            <w:vAlign w:val="bottom"/>
            <w:tcBorders>
              <w:bottom w:val="single" w:sz="8" w:color="auto"/>
            </w:tcBorders>
          </w:tcPr>
          <w:p>
            <w:pPr>
              <w:jc w:val="right"/>
              <w:ind w:right="1848"/>
              <w:spacing w:after="0"/>
              <w:rPr>
                <w:sz w:val="20"/>
                <w:szCs w:val="20"/>
                <w:color w:val="auto"/>
              </w:rPr>
            </w:pPr>
            <w:r>
              <w:rPr>
                <w:rFonts w:ascii="Arial" w:cs="Arial" w:eastAsia="Arial" w:hAnsi="Arial"/>
                <w:sz w:val="14"/>
                <w:szCs w:val="14"/>
                <w:color w:val="auto"/>
              </w:rPr>
              <w:t>25.15</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0"/>
        </w:trPr>
        <w:tc>
          <w:tcPr>
            <w:tcW w:w="23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hanging="332"/>
        <w:spacing w:after="0" w:line="264" w:lineRule="auto"/>
        <w:tabs>
          <w:tab w:leader="none" w:pos="27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140" w:lineRule="exact"/>
        <w:rPr>
          <w:rFonts w:ascii="Arial" w:cs="Arial" w:eastAsia="Arial" w:hAnsi="Arial"/>
          <w:sz w:val="18"/>
          <w:szCs w:val="18"/>
          <w:color w:val="auto"/>
        </w:rPr>
      </w:pPr>
    </w:p>
    <w:p>
      <w:pPr>
        <w:ind w:left="340" w:hanging="332"/>
        <w:spacing w:after="0" w:line="297" w:lineRule="auto"/>
        <w:tabs>
          <w:tab w:leader="none" w:pos="271"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October 2017, our Board of Directors approved a new common stock repurchase program which replaced the remainder of the existing program and authorized the purchase of up to $100.0 million in common stock (the “Repurchase Program”). The Repurchase Program does not require a minimum number of shares of common stock to be purchased, has no expiration date and may be suspended or discontinued at any time. As of March 31, 2018, $100.0 million remains available for purchase under the Repurchase Program. The timing and amount of shares of common stock to be repurchased under the Repurchase Program will depend on market conditions, share price, securities law and other legal requirements and factors.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exhibits set forth in the following index of exhibits are filed as part of this 10-Q Report: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w w:val="95"/>
              </w:rPr>
              <w:t>Exhibit No.</w:t>
            </w:r>
          </w:p>
        </w:tc>
        <w:tc>
          <w:tcPr>
            <w:tcW w:w="946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460" w:type="dxa"/>
            <w:vAlign w:val="bottom"/>
            <w:tcBorders>
              <w:bottom w:val="single" w:sz="8" w:color="auto"/>
            </w:tcBorders>
          </w:tcPr>
          <w:p>
            <w:pPr>
              <w:spacing w:after="0"/>
              <w:rPr>
                <w:sz w:val="2"/>
                <w:szCs w:val="2"/>
                <w:color w:val="auto"/>
              </w:rPr>
            </w:pPr>
          </w:p>
        </w:tc>
      </w:tr>
      <w:tr>
        <w:trPr>
          <w:trHeight w:val="196"/>
        </w:trPr>
        <w:tc>
          <w:tcPr>
            <w:tcW w:w="600" w:type="dxa"/>
            <w:vAlign w:val="bottom"/>
          </w:tcPr>
          <w:p>
            <w:pPr>
              <w:spacing w:after="0"/>
              <w:rPr>
                <w:sz w:val="17"/>
                <w:szCs w:val="17"/>
                <w:color w:val="auto"/>
              </w:rPr>
            </w:pPr>
          </w:p>
        </w:tc>
        <w:tc>
          <w:tcPr>
            <w:tcW w:w="320" w:type="dxa"/>
            <w:vAlign w:val="bottom"/>
            <w:tcBorders>
              <w:bottom w:val="single" w:sz="8" w:color="0000FF"/>
            </w:tcBorders>
          </w:tcPr>
          <w:p>
            <w:pPr>
              <w:jc w:val="right"/>
              <w:spacing w:after="0" w:line="196" w:lineRule="exact"/>
              <w:rPr>
                <w:rFonts w:ascii="Arial" w:cs="Arial" w:eastAsia="Arial" w:hAnsi="Arial"/>
                <w:sz w:val="18"/>
                <w:szCs w:val="18"/>
                <w:color w:val="0000FF"/>
                <w:w w:val="85"/>
              </w:rPr>
            </w:pPr>
            <w:hyperlink w:anchor="page34">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60" w:type="dxa"/>
            <w:vAlign w:val="bottom"/>
          </w:tcPr>
          <w:p>
            <w:pPr>
              <w:ind w:left="20"/>
              <w:spacing w:after="0" w:line="196" w:lineRule="exact"/>
              <w:rPr>
                <w:sz w:val="20"/>
                <w:szCs w:val="20"/>
                <w:color w:val="auto"/>
              </w:rPr>
            </w:pPr>
            <w:r>
              <w:rPr>
                <w:rFonts w:ascii="Arial" w:cs="Arial" w:eastAsia="Arial" w:hAnsi="Arial"/>
                <w:sz w:val="18"/>
                <w:szCs w:val="18"/>
                <w:color w:val="auto"/>
              </w:rPr>
              <w:t>Certification of the Chief Executive Officer pursuant to Rule 13a-14(a) or Rule 15d — 14(a).</w:t>
            </w:r>
          </w:p>
        </w:tc>
      </w:tr>
      <w:tr>
        <w:trPr>
          <w:trHeight w:val="547"/>
        </w:trPr>
        <w:tc>
          <w:tcPr>
            <w:tcW w:w="600" w:type="dxa"/>
            <w:vAlign w:val="bottom"/>
          </w:tcPr>
          <w:p>
            <w:pPr>
              <w:spacing w:after="0"/>
              <w:rPr>
                <w:sz w:val="24"/>
                <w:szCs w:val="24"/>
                <w:color w:val="auto"/>
              </w:rPr>
            </w:pPr>
          </w:p>
        </w:tc>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35">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Certification of the Chief Financial Officer pursuant to Rule 13a-14(a) or Rule 15d — 14(a).</w:t>
            </w:r>
          </w:p>
        </w:tc>
      </w:tr>
      <w:tr>
        <w:trPr>
          <w:trHeight w:val="547"/>
        </w:trPr>
        <w:tc>
          <w:tcPr>
            <w:tcW w:w="600" w:type="dxa"/>
            <w:vAlign w:val="bottom"/>
          </w:tcPr>
          <w:p>
            <w:pPr>
              <w:spacing w:after="0"/>
              <w:rPr>
                <w:sz w:val="24"/>
                <w:szCs w:val="24"/>
                <w:color w:val="auto"/>
              </w:rPr>
            </w:pPr>
          </w:p>
        </w:tc>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36">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8"/>
              </w:rPr>
              <w:t>Certification of Chief Executive Officer and Chief Financial Officer under Section 906 of the Sarbanes-Oxley Act of 2002.</w:t>
            </w:r>
          </w:p>
        </w:tc>
      </w:tr>
    </w:tbl>
    <w:p>
      <w:pPr>
        <w:spacing w:after="0" w:line="337" w:lineRule="exact"/>
        <w:rPr>
          <w:sz w:val="20"/>
          <w:szCs w:val="20"/>
          <w:color w:val="auto"/>
        </w:rPr>
      </w:pPr>
    </w:p>
    <w:p>
      <w:pPr>
        <w:jc w:val="both"/>
        <w:ind w:left="1980" w:right="40" w:hanging="1357"/>
        <w:spacing w:after="0" w:line="259"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materials from World Fuel Services Corporation’s Quarterly Report on Form 10-Q for the quarter ended March 31, 2018,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April 27, 2018</w:t>
      </w:r>
      <w:r>
        <w:rPr>
          <w:sz w:val="20"/>
          <w:szCs w:val="20"/>
          <w:color w:val="auto"/>
        </w:rPr>
        <w:tab/>
      </w:r>
      <w:r>
        <w:rPr>
          <w:rFonts w:ascii="Arial" w:cs="Arial" w:eastAsia="Arial" w:hAnsi="Arial"/>
          <w:sz w:val="16"/>
          <w:szCs w:val="16"/>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for the period ended March 31, 2018;</w:t>
      </w:r>
    </w:p>
    <w:p>
      <w:pPr>
        <w:spacing w:after="0" w:line="18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40"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27, 2018</w:t>
      </w:r>
    </w:p>
    <w:p>
      <w:pPr>
        <w:spacing w:after="0" w:line="38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for the period ended March 31, 2018;</w:t>
      </w:r>
    </w:p>
    <w:p>
      <w:pPr>
        <w:spacing w:after="0" w:line="18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40"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April 27, 2018</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Michael J. Kasbar, the Chairman, President and Chief Executive Officer of World Fuel Services Corporation (the “Company”), and Ira M. Birns, the Executive Vice President and Chief Financial Officer of the Company, certify for the purposes of Section 1350 of Chapter 63 of Title 18 of the United States Code that, to the best of our knowledge,</w:t>
      </w:r>
    </w:p>
    <w:p>
      <w:pPr>
        <w:spacing w:after="0" w:line="357" w:lineRule="exact"/>
        <w:rPr>
          <w:sz w:val="20"/>
          <w:szCs w:val="20"/>
          <w:color w:val="auto"/>
        </w:rPr>
      </w:pPr>
    </w:p>
    <w:p>
      <w:pPr>
        <w:ind w:left="660" w:right="3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March 31, 2018 (the “Report”)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27, 2018</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290830</wp:posOffset>
            </wp:positionV>
            <wp:extent cx="70751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1"/>
    </w:lvl>
  </w:abstractNum>
  <w:abstractNum w:abstractNumId="3">
    <w:nsid w:val="79E2A9E3"/>
    <w:multiLevelType w:val="hybridMultilevel"/>
    <w:lvl w:ilvl="0">
      <w:lvlJc w:val="left"/>
      <w:lvlText w:val="\emdash "/>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0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2019-12-28T22:27:25Z</dcterms:created>
  <dcterms:modified xsi:type="dcterms:W3CDTF">2019-12-28T22:27:25Z</dcterms:modified>
</cp:coreProperties>
</file>