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CROSBY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60"/>
              <w:spacing w:after="0"/>
              <w:rPr>
                <w:sz w:val="20"/>
                <w:szCs w:val="20"/>
                <w:color w:val="auto"/>
              </w:rPr>
            </w:pPr>
            <w:r>
              <w:rPr>
                <w:rFonts w:ascii="Arial" w:cs="Arial" w:eastAsia="Arial" w:hAnsi="Arial"/>
                <w:sz w:val="18"/>
                <w:szCs w:val="18"/>
                <w:color w:val="0000FF"/>
              </w:rPr>
              <w:t>EVP, Global Land</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05/10/2018</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20"/>
              <w:spacing w:after="0"/>
              <w:rPr>
                <w:sz w:val="20"/>
                <w:szCs w:val="20"/>
                <w:color w:val="auto"/>
              </w:rPr>
            </w:pPr>
            <w:r>
              <w:rPr>
                <w:rFonts w:ascii="Arial" w:cs="Arial" w:eastAsia="Arial" w:hAnsi="Arial"/>
                <w:sz w:val="18"/>
                <w:szCs w:val="18"/>
                <w:color w:val="0000FF"/>
                <w:w w:val="97"/>
              </w:rPr>
              <w:t>05/10/2018</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1,214</w:t>
            </w:r>
          </w:p>
        </w:tc>
        <w:tc>
          <w:tcPr>
            <w:tcW w:w="700" w:type="dxa"/>
            <w:vAlign w:val="bottom"/>
          </w:tcPr>
          <w:p>
            <w:pPr>
              <w:ind w:left="320"/>
              <w:spacing w:after="0"/>
              <w:rPr>
                <w:sz w:val="20"/>
                <w:szCs w:val="20"/>
                <w:color w:val="auto"/>
              </w:rPr>
            </w:pPr>
            <w:r>
              <w:rPr>
                <w:rFonts w:ascii="Arial" w:cs="Arial" w:eastAsia="Arial" w:hAnsi="Arial"/>
                <w:sz w:val="18"/>
                <w:szCs w:val="18"/>
                <w:color w:val="0000FF"/>
              </w:rPr>
              <w:t>A</w:t>
            </w:r>
          </w:p>
        </w:tc>
        <w:tc>
          <w:tcPr>
            <w:tcW w:w="700" w:type="dxa"/>
            <w:vAlign w:val="bottom"/>
            <w:gridSpan w:val="2"/>
          </w:tcPr>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44,407</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05/10/2018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533</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22.81</w:t>
            </w:r>
            <w:r>
              <w:rPr>
                <w:rFonts w:ascii="Arial" w:cs="Arial" w:eastAsia="Arial" w:hAnsi="Arial"/>
                <w:sz w:val="22"/>
                <w:szCs w:val="22"/>
                <w:color w:val="008000"/>
                <w:w w:val="82"/>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43,874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 aggregate of 972 shares of restricted stock and 1,214 restricted stock units held by the reporting person vested and settled on May 10, 2018. The issuer withheld the reported shares to cover the reporting person's tax liability associated with these shares of restricted stock and restricted stock units.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for the issuer's common stock on the NYSE on May 10, 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05/14/2018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879"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2019-12-24T03:55:38Z</dcterms:created>
  <dcterms:modified xsi:type="dcterms:W3CDTF">2019-12-24T03:55:38Z</dcterms:modified>
</cp:coreProperties>
</file>