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290195</wp:posOffset>
            </wp:positionV>
            <wp:extent cx="149161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290195</wp:posOffset>
            </wp:positionV>
            <wp:extent cx="149161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November 26, 2013</w:t>
      </w:r>
    </w:p>
    <w:p>
      <w:pPr>
        <w:spacing w:after="0" w:line="23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WORLD FUEL SERVICES CORPORATION</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840" w:type="dxa"/>
        <w:tblCellMar>
          <w:top w:w="0" w:type="dxa"/>
          <w:left w:w="0" w:type="dxa"/>
          <w:bottom w:w="0" w:type="dxa"/>
          <w:right w:w="0" w:type="dxa"/>
        </w:tblCellMar>
      </w:tblPr>
      <w:tr>
        <w:trPr>
          <w:trHeight w:val="234"/>
        </w:trPr>
        <w:tc>
          <w:tcPr>
            <w:tcW w:w="4220" w:type="dxa"/>
            <w:vAlign w:val="bottom"/>
          </w:tcPr>
          <w:p>
            <w:pPr>
              <w:jc w:val="center"/>
              <w:ind w:right="2030"/>
              <w:spacing w:after="0"/>
              <w:rPr>
                <w:sz w:val="20"/>
                <w:szCs w:val="20"/>
                <w:color w:val="auto"/>
              </w:rPr>
            </w:pPr>
            <w:r>
              <w:rPr>
                <w:rFonts w:ascii="Arial" w:cs="Arial" w:eastAsia="Arial" w:hAnsi="Arial"/>
                <w:sz w:val="18"/>
                <w:szCs w:val="18"/>
                <w:b w:val="1"/>
                <w:bCs w:val="1"/>
                <w:color w:val="auto"/>
                <w:w w:val="96"/>
              </w:rPr>
              <w:t>Florida</w:t>
            </w:r>
          </w:p>
        </w:tc>
        <w:tc>
          <w:tcPr>
            <w:tcW w:w="2560" w:type="dxa"/>
            <w:vAlign w:val="bottom"/>
          </w:tcPr>
          <w:p>
            <w:pPr>
              <w:jc w:val="center"/>
              <w:ind w:right="1150"/>
              <w:spacing w:after="0"/>
              <w:rPr>
                <w:sz w:val="20"/>
                <w:szCs w:val="20"/>
                <w:color w:val="auto"/>
              </w:rPr>
            </w:pPr>
            <w:r>
              <w:rPr>
                <w:rFonts w:ascii="Arial" w:cs="Arial" w:eastAsia="Arial" w:hAnsi="Arial"/>
                <w:sz w:val="18"/>
                <w:szCs w:val="18"/>
                <w:b w:val="1"/>
                <w:bCs w:val="1"/>
                <w:color w:val="auto"/>
                <w:w w:val="92"/>
              </w:rPr>
              <w:t>1-9533</w:t>
            </w:r>
          </w:p>
        </w:tc>
        <w:tc>
          <w:tcPr>
            <w:tcW w:w="2580" w:type="dxa"/>
            <w:vAlign w:val="bottom"/>
          </w:tcPr>
          <w:p>
            <w:pPr>
              <w:jc w:val="right"/>
              <w:ind w:right="130"/>
              <w:spacing w:after="0"/>
              <w:rPr>
                <w:sz w:val="20"/>
                <w:szCs w:val="20"/>
                <w:color w:val="auto"/>
              </w:rPr>
            </w:pPr>
            <w:r>
              <w:rPr>
                <w:rFonts w:ascii="Arial" w:cs="Arial" w:eastAsia="Arial" w:hAnsi="Arial"/>
                <w:sz w:val="18"/>
                <w:szCs w:val="18"/>
                <w:b w:val="1"/>
                <w:bCs w:val="1"/>
                <w:color w:val="auto"/>
              </w:rPr>
              <w:t>59-2459427</w:t>
            </w:r>
          </w:p>
        </w:tc>
      </w:tr>
      <w:tr>
        <w:trPr>
          <w:trHeight w:val="229"/>
        </w:trPr>
        <w:tc>
          <w:tcPr>
            <w:tcW w:w="4220" w:type="dxa"/>
            <w:vAlign w:val="bottom"/>
          </w:tcPr>
          <w:p>
            <w:pPr>
              <w:jc w:val="center"/>
              <w:ind w:right="2030"/>
              <w:spacing w:after="0"/>
              <w:rPr>
                <w:sz w:val="20"/>
                <w:szCs w:val="20"/>
                <w:color w:val="auto"/>
              </w:rPr>
            </w:pPr>
            <w:r>
              <w:rPr>
                <w:rFonts w:ascii="Arial" w:cs="Arial" w:eastAsia="Arial" w:hAnsi="Arial"/>
                <w:sz w:val="18"/>
                <w:szCs w:val="18"/>
                <w:color w:val="auto"/>
                <w:w w:val="93"/>
              </w:rPr>
              <w:t>(State or other jurisdiction of</w:t>
            </w:r>
          </w:p>
        </w:tc>
        <w:tc>
          <w:tcPr>
            <w:tcW w:w="2560" w:type="dxa"/>
            <w:vAlign w:val="bottom"/>
          </w:tcPr>
          <w:p>
            <w:pPr>
              <w:jc w:val="center"/>
              <w:ind w:right="1170"/>
              <w:spacing w:after="0"/>
              <w:rPr>
                <w:sz w:val="20"/>
                <w:szCs w:val="20"/>
                <w:color w:val="auto"/>
              </w:rPr>
            </w:pPr>
            <w:r>
              <w:rPr>
                <w:rFonts w:ascii="Arial" w:cs="Arial" w:eastAsia="Arial" w:hAnsi="Arial"/>
                <w:sz w:val="18"/>
                <w:szCs w:val="18"/>
                <w:color w:val="auto"/>
                <w:w w:val="93"/>
              </w:rPr>
              <w:t>(Commission File</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3"/>
              </w:rPr>
              <w:t>(I.R.S. Employer</w:t>
            </w:r>
          </w:p>
        </w:tc>
      </w:tr>
      <w:tr>
        <w:trPr>
          <w:trHeight w:val="230"/>
        </w:trPr>
        <w:tc>
          <w:tcPr>
            <w:tcW w:w="4220" w:type="dxa"/>
            <w:vAlign w:val="bottom"/>
          </w:tcPr>
          <w:p>
            <w:pPr>
              <w:jc w:val="center"/>
              <w:ind w:right="2030"/>
              <w:spacing w:after="0"/>
              <w:rPr>
                <w:sz w:val="20"/>
                <w:szCs w:val="20"/>
                <w:color w:val="auto"/>
              </w:rPr>
            </w:pPr>
            <w:r>
              <w:rPr>
                <w:rFonts w:ascii="Arial" w:cs="Arial" w:eastAsia="Arial" w:hAnsi="Arial"/>
                <w:sz w:val="18"/>
                <w:szCs w:val="18"/>
                <w:color w:val="auto"/>
                <w:w w:val="92"/>
              </w:rPr>
              <w:t>incorporation)</w:t>
            </w:r>
          </w:p>
        </w:tc>
        <w:tc>
          <w:tcPr>
            <w:tcW w:w="2560" w:type="dxa"/>
            <w:vAlign w:val="bottom"/>
          </w:tcPr>
          <w:p>
            <w:pPr>
              <w:jc w:val="center"/>
              <w:ind w:right="1170"/>
              <w:spacing w:after="0"/>
              <w:rPr>
                <w:sz w:val="20"/>
                <w:szCs w:val="20"/>
                <w:color w:val="auto"/>
              </w:rPr>
            </w:pPr>
            <w:r>
              <w:rPr>
                <w:rFonts w:ascii="Arial" w:cs="Arial" w:eastAsia="Arial" w:hAnsi="Arial"/>
                <w:sz w:val="18"/>
                <w:szCs w:val="18"/>
                <w:color w:val="auto"/>
                <w:w w:val="94"/>
              </w:rPr>
              <w:t>Number)</w:t>
            </w:r>
          </w:p>
        </w:tc>
        <w:tc>
          <w:tcPr>
            <w:tcW w:w="2580" w:type="dxa"/>
            <w:vAlign w:val="bottom"/>
          </w:tcPr>
          <w:p>
            <w:pPr>
              <w:jc w:val="center"/>
              <w:ind w:left="1150"/>
              <w:spacing w:after="0"/>
              <w:rPr>
                <w:sz w:val="20"/>
                <w:szCs w:val="20"/>
                <w:color w:val="auto"/>
              </w:rPr>
            </w:pPr>
            <w:r>
              <w:rPr>
                <w:rFonts w:ascii="Arial" w:cs="Arial" w:eastAsia="Arial" w:hAnsi="Arial"/>
                <w:sz w:val="18"/>
                <w:szCs w:val="18"/>
                <w:color w:val="auto"/>
                <w:w w:val="95"/>
              </w:rPr>
              <w:t>Identification No.)</w:t>
            </w:r>
          </w:p>
        </w:tc>
      </w:tr>
      <w:tr>
        <w:trPr>
          <w:trHeight w:val="941"/>
        </w:trPr>
        <w:tc>
          <w:tcPr>
            <w:tcW w:w="4220" w:type="dxa"/>
            <w:vAlign w:val="bottom"/>
          </w:tcPr>
          <w:p>
            <w:pPr>
              <w:jc w:val="center"/>
              <w:ind w:left="1670"/>
              <w:spacing w:after="0"/>
              <w:rPr>
                <w:sz w:val="20"/>
                <w:szCs w:val="20"/>
                <w:color w:val="auto"/>
              </w:rPr>
            </w:pPr>
            <w:r>
              <w:rPr>
                <w:rFonts w:ascii="Arial" w:cs="Arial" w:eastAsia="Arial" w:hAnsi="Arial"/>
                <w:sz w:val="18"/>
                <w:szCs w:val="18"/>
                <w:b w:val="1"/>
                <w:bCs w:val="1"/>
                <w:color w:val="auto"/>
                <w:w w:val="88"/>
              </w:rPr>
              <w:t>9800 N.W. 41</w:t>
            </w:r>
            <w:r>
              <w:rPr>
                <w:rFonts w:ascii="Arial" w:cs="Arial" w:eastAsia="Arial" w:hAnsi="Arial"/>
                <w:sz w:val="30"/>
                <w:szCs w:val="30"/>
                <w:b w:val="1"/>
                <w:bCs w:val="1"/>
                <w:color w:val="auto"/>
                <w:w w:val="88"/>
                <w:vertAlign w:val="superscript"/>
              </w:rPr>
              <w:t>st</w:t>
            </w:r>
            <w:r>
              <w:rPr>
                <w:rFonts w:ascii="Arial" w:cs="Arial" w:eastAsia="Arial" w:hAnsi="Arial"/>
                <w:sz w:val="18"/>
                <w:szCs w:val="18"/>
                <w:b w:val="1"/>
                <w:bCs w:val="1"/>
                <w:color w:val="auto"/>
                <w:w w:val="88"/>
              </w:rPr>
              <w:t xml:space="preserve"> Street, Suite 400</w:t>
            </w:r>
          </w:p>
        </w:tc>
        <w:tc>
          <w:tcPr>
            <w:tcW w:w="25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34"/>
        </w:trPr>
        <w:tc>
          <w:tcPr>
            <w:tcW w:w="4220" w:type="dxa"/>
            <w:vAlign w:val="bottom"/>
          </w:tcPr>
          <w:p>
            <w:pPr>
              <w:jc w:val="center"/>
              <w:ind w:left="1670"/>
              <w:spacing w:after="0"/>
              <w:rPr>
                <w:sz w:val="20"/>
                <w:szCs w:val="20"/>
                <w:color w:val="auto"/>
              </w:rPr>
            </w:pPr>
            <w:r>
              <w:rPr>
                <w:rFonts w:ascii="Arial" w:cs="Arial" w:eastAsia="Arial" w:hAnsi="Arial"/>
                <w:sz w:val="18"/>
                <w:szCs w:val="18"/>
                <w:b w:val="1"/>
                <w:bCs w:val="1"/>
                <w:color w:val="auto"/>
                <w:w w:val="97"/>
              </w:rPr>
              <w:t>Miami, Florida</w:t>
            </w:r>
          </w:p>
        </w:tc>
        <w:tc>
          <w:tcPr>
            <w:tcW w:w="2560" w:type="dxa"/>
            <w:vAlign w:val="bottom"/>
          </w:tcPr>
          <w:p>
            <w:pPr>
              <w:spacing w:after="0"/>
              <w:rPr>
                <w:sz w:val="20"/>
                <w:szCs w:val="20"/>
                <w:color w:val="auto"/>
              </w:rPr>
            </w:pPr>
          </w:p>
        </w:tc>
        <w:tc>
          <w:tcPr>
            <w:tcW w:w="2580" w:type="dxa"/>
            <w:vAlign w:val="bottom"/>
          </w:tcPr>
          <w:p>
            <w:pPr>
              <w:jc w:val="right"/>
              <w:ind w:right="350"/>
              <w:spacing w:after="0"/>
              <w:rPr>
                <w:sz w:val="20"/>
                <w:szCs w:val="20"/>
                <w:color w:val="auto"/>
              </w:rPr>
            </w:pPr>
            <w:r>
              <w:rPr>
                <w:rFonts w:ascii="Arial" w:cs="Arial" w:eastAsia="Arial" w:hAnsi="Arial"/>
                <w:sz w:val="18"/>
                <w:szCs w:val="18"/>
                <w:b w:val="1"/>
                <w:bCs w:val="1"/>
                <w:color w:val="auto"/>
              </w:rPr>
              <w:t>33178</w:t>
            </w:r>
          </w:p>
        </w:tc>
      </w:tr>
      <w:tr>
        <w:trPr>
          <w:trHeight w:val="243"/>
        </w:trPr>
        <w:tc>
          <w:tcPr>
            <w:tcW w:w="6780" w:type="dxa"/>
            <w:vAlign w:val="bottom"/>
            <w:gridSpan w:val="2"/>
          </w:tcPr>
          <w:p>
            <w:pPr>
              <w:jc w:val="center"/>
              <w:ind w:right="710"/>
              <w:spacing w:after="0"/>
              <w:rPr>
                <w:sz w:val="20"/>
                <w:szCs w:val="20"/>
                <w:color w:val="auto"/>
              </w:rPr>
            </w:pPr>
            <w:r>
              <w:rPr>
                <w:rFonts w:ascii="Arial" w:cs="Arial" w:eastAsia="Arial" w:hAnsi="Arial"/>
                <w:sz w:val="18"/>
                <w:szCs w:val="18"/>
                <w:color w:val="auto"/>
                <w:w w:val="92"/>
              </w:rPr>
              <w:t>(Address of principal executive offices)</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3" w:right="35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213" w:lineRule="exact"/>
        <w:rPr>
          <w:sz w:val="20"/>
          <w:szCs w:val="20"/>
          <w:color w:val="auto"/>
        </w:rPr>
      </w:pPr>
    </w:p>
    <w:p>
      <w:pPr>
        <w:jc w:val="both"/>
        <w:ind w:firstLine="732"/>
        <w:spacing w:after="0"/>
        <w:rPr>
          <w:sz w:val="20"/>
          <w:szCs w:val="20"/>
          <w:color w:val="auto"/>
        </w:rPr>
      </w:pPr>
      <w:r>
        <w:rPr>
          <w:rFonts w:ascii="Arial" w:cs="Arial" w:eastAsia="Arial" w:hAnsi="Arial"/>
          <w:sz w:val="22"/>
          <w:szCs w:val="22"/>
          <w:color w:val="auto"/>
        </w:rPr>
        <w:t>World Fuel Services Corporation announced today that its board of directors has declared a quarterly cash dividend of $0.0375 per share payable on January 3, 2014 to shareholders of record on December 13, 2013. A copy of the press release is attached hereto as Exhibit 99.1.</w:t>
      </w:r>
    </w:p>
    <w:p>
      <w:pPr>
        <w:spacing w:after="0" w:line="186" w:lineRule="exact"/>
        <w:rPr>
          <w:sz w:val="20"/>
          <w:szCs w:val="20"/>
          <w:color w:val="auto"/>
        </w:rPr>
      </w:pPr>
    </w:p>
    <w:p>
      <w:pPr>
        <w:jc w:val="both"/>
        <w:ind w:firstLine="530"/>
        <w:spacing w:after="0" w:line="297" w:lineRule="auto"/>
        <w:rPr>
          <w:sz w:val="20"/>
          <w:szCs w:val="20"/>
          <w:color w:val="auto"/>
        </w:rPr>
      </w:pPr>
      <w:r>
        <w:rPr>
          <w:rFonts w:ascii="Arial" w:cs="Arial" w:eastAsia="Arial" w:hAnsi="Arial"/>
          <w:sz w:val="19"/>
          <w:szCs w:val="19"/>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128"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3" w:lineRule="exact"/>
        <w:rPr>
          <w:sz w:val="20"/>
          <w:szCs w:val="20"/>
          <w:color w:val="auto"/>
        </w:rPr>
      </w:pPr>
    </w:p>
    <w:p>
      <w:pPr>
        <w:ind w:left="1040" w:hanging="451"/>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79"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u w:val="single" w:color="auto"/>
          <w:color w:val="auto"/>
        </w:rPr>
        <w:t>Exhibit No.   Description</w:t>
      </w:r>
    </w:p>
    <w:p>
      <w:pPr>
        <w:spacing w:after="0" w:line="279" w:lineRule="exact"/>
        <w:rPr>
          <w:sz w:val="20"/>
          <w:szCs w:val="20"/>
          <w:color w:val="auto"/>
        </w:rPr>
      </w:pPr>
    </w:p>
    <w:p>
      <w:pPr>
        <w:ind w:left="1280"/>
        <w:spacing w:after="0"/>
        <w:tabs>
          <w:tab w:leader="none" w:pos="21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November 26,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21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spacing w:after="0"/>
        <w:tabs>
          <w:tab w:leader="none" w:pos="560" w:val="left"/>
          <w:tab w:leader="none" w:pos="5700" w:val="left"/>
        </w:tabs>
        <w:rPr>
          <w:sz w:val="20"/>
          <w:szCs w:val="20"/>
          <w:color w:val="auto"/>
        </w:rPr>
      </w:pPr>
      <w:r>
        <w:rPr>
          <w:rFonts w:ascii="Arial" w:cs="Arial" w:eastAsia="Arial" w:hAnsi="Arial"/>
          <w:sz w:val="18"/>
          <w:szCs w:val="18"/>
          <w:color w:val="auto"/>
        </w:rPr>
        <w:t>Date:</w:t>
        <w:tab/>
        <w:t>November 26, 2013</w:t>
      </w:r>
      <w:r>
        <w:rPr>
          <w:sz w:val="20"/>
          <w:szCs w:val="20"/>
          <w:color w:val="auto"/>
        </w:rPr>
        <w:tab/>
      </w:r>
      <w:r>
        <w:rPr>
          <w:rFonts w:ascii="Arial" w:cs="Arial" w:eastAsia="Arial" w:hAnsi="Arial"/>
          <w:sz w:val="16"/>
          <w:szCs w:val="16"/>
          <w:b w:val="1"/>
          <w:bCs w:val="1"/>
          <w:color w:val="auto"/>
        </w:rPr>
        <w:t>World Fuel Services Corporation</w:t>
      </w: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R. Alexander Lake</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 Alexander Lake</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General Counsel and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27202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160"/>
          </w:cols>
          <w:pgMar w:left="240" w:top="111" w:right="499" w:bottom="1440" w:gutter="0" w:footer="0" w:header="0"/>
        </w:sectPr>
      </w:pPr>
    </w:p>
    <w:bookmarkStart w:id="3" w:name="page4"/>
    <w:bookmarkEnd w:id="3"/>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7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November 26, 2013.</w:t>
      </w:r>
    </w:p>
    <w:p>
      <w:pPr>
        <w:sectPr>
          <w:pgSz w:w="11900" w:h="16838" w:orient="portrait"/>
          <w:cols w:equalWidth="0" w:num="1">
            <w:col w:w="10219"/>
          </w:cols>
          <w:pgMar w:left="240" w:top="11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World Fuel Services Corporation Declares Regular Quarterly Cash Dividend</w:t>
      </w:r>
    </w:p>
    <w:p>
      <w:pPr>
        <w:spacing w:after="0" w:line="212" w:lineRule="exact"/>
        <w:rPr>
          <w:sz w:val="20"/>
          <w:szCs w:val="20"/>
          <w:color w:val="auto"/>
        </w:rPr>
      </w:pPr>
    </w:p>
    <w:p>
      <w:pPr>
        <w:ind w:right="60"/>
        <w:spacing w:after="0"/>
        <w:rPr>
          <w:sz w:val="20"/>
          <w:szCs w:val="20"/>
          <w:color w:val="auto"/>
        </w:rPr>
      </w:pPr>
      <w:r>
        <w:rPr>
          <w:rFonts w:ascii="Arial" w:cs="Arial" w:eastAsia="Arial" w:hAnsi="Arial"/>
          <w:sz w:val="22"/>
          <w:szCs w:val="22"/>
          <w:color w:val="auto"/>
        </w:rPr>
        <w:t>MIAMI--(BUSINESS WIRE)--November 26, 2013--World Fuel Services Corporation (NYSE:INT) announced today that its board of directors has declared a quarterly cash dividend of $0.0375 per share payable on January 3, 2014 to shareholders of record on December 13, 2013.</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World Fuel Services Corporation</w:t>
      </w:r>
    </w:p>
    <w:p>
      <w:pPr>
        <w:spacing w:after="0" w:line="206" w:lineRule="exact"/>
        <w:rPr>
          <w:sz w:val="20"/>
          <w:szCs w:val="20"/>
          <w:color w:val="auto"/>
        </w:rPr>
      </w:pPr>
    </w:p>
    <w:p>
      <w:pPr>
        <w:ind w:right="280"/>
        <w:spacing w:after="0" w:line="238" w:lineRule="auto"/>
        <w:rPr>
          <w:sz w:val="20"/>
          <w:szCs w:val="20"/>
          <w:color w:val="auto"/>
        </w:rPr>
      </w:pPr>
      <w:r>
        <w:rPr>
          <w:rFonts w:ascii="Arial" w:cs="Arial" w:eastAsia="Arial" w:hAnsi="Arial"/>
          <w:sz w:val="22"/>
          <w:szCs w:val="22"/>
          <w:color w:val="auto"/>
        </w:rPr>
        <w:t>Headquartered in Miami, Florida, World Fuel Services is a leading global fuel logistics company, principally engaged in the marketing, sale and distribution of aviation, marine and land fuel products and related services on a worldwide basis. World Fuel Services sells fuel and delivers services to its clients at more than 8,000 locations in more than 200 countries and territories worldwide.</w:t>
      </w:r>
    </w:p>
    <w:p>
      <w:pPr>
        <w:spacing w:after="0" w:line="185"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 xml:space="preserve">The company's global team of market makers provides deep domain expertise in all aspects of aviation, marine and land fuel management. Aviation customers include commercial airlines, cargo carriers, private aircraft and fixed base operators (FBOs), as well as the United States and foreign governments. World Fuel Services' marine customers include international container and tanker fleets, cruise lines and time-charter operators, as well as the United States and foreign governments. Land customers include petroleum distributors, retail petroleum operators, and industrial, commercial, and government accounts. The company also offers transaction management services which consist of card payment solutions and merchant processing services to customers in the aviation, marine and land transportation industries. For more information, call 305-428-8000 or visit </w:t>
      </w:r>
      <w:r>
        <w:rPr>
          <w:rFonts w:ascii="Arial" w:cs="Arial" w:eastAsia="Arial" w:hAnsi="Arial"/>
          <w:sz w:val="19"/>
          <w:szCs w:val="19"/>
          <w:u w:val="single" w:color="auto"/>
          <w:color w:val="auto"/>
        </w:rPr>
        <w:t>www.wfscorp.com</w:t>
      </w:r>
      <w:r>
        <w:rPr>
          <w:rFonts w:ascii="Arial" w:cs="Arial" w:eastAsia="Arial" w:hAnsi="Arial"/>
          <w:sz w:val="19"/>
          <w:szCs w:val="19"/>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World Fuel Services Corporation</w:t>
      </w:r>
    </w:p>
    <w:p>
      <w:pPr>
        <w:spacing w:after="0" w:line="230" w:lineRule="auto"/>
        <w:rPr>
          <w:sz w:val="20"/>
          <w:szCs w:val="20"/>
          <w:color w:val="auto"/>
        </w:rPr>
      </w:pPr>
      <w:r>
        <w:rPr>
          <w:rFonts w:ascii="Arial" w:cs="Arial" w:eastAsia="Arial" w:hAnsi="Arial"/>
          <w:sz w:val="22"/>
          <w:szCs w:val="22"/>
          <w:color w:val="auto"/>
        </w:rPr>
        <w:t>Ira M. Birns, 305-428-8000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Executive Vice President &amp; Chief Financial Officer</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2019-12-05T22:54:53Z</dcterms:created>
  <dcterms:modified xsi:type="dcterms:W3CDTF">2019-12-05T22:54:53Z</dcterms:modified>
</cp:coreProperties>
</file>