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6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_________________________</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Date of Report (Date of earliest event reported): May 24, 2019</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WORLD FUEL SERVICES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400"/>
          </w:cols>
          <w:pgMar w:left="240" w:top="477" w:right="259" w:bottom="1440" w:gutter="0" w:footer="0" w:header="0"/>
        </w:sectPr>
      </w:pPr>
    </w:p>
    <w:p>
      <w:pPr>
        <w:spacing w:after="0" w:line="385" w:lineRule="exact"/>
        <w:rPr>
          <w:sz w:val="24"/>
          <w:szCs w:val="24"/>
          <w:color w:val="auto"/>
        </w:rPr>
      </w:pPr>
    </w:p>
    <w:p>
      <w:pPr>
        <w:jc w:val="center"/>
        <w:ind w:left="280"/>
        <w:spacing w:after="0"/>
        <w:rPr>
          <w:sz w:val="20"/>
          <w:szCs w:val="20"/>
          <w:color w:val="auto"/>
        </w:rPr>
      </w:pPr>
      <w:r>
        <w:rPr>
          <w:rFonts w:ascii="Arial" w:cs="Arial" w:eastAsia="Arial" w:hAnsi="Arial"/>
          <w:sz w:val="22"/>
          <w:szCs w:val="22"/>
          <w:b w:val="1"/>
          <w:bCs w:val="1"/>
          <w:color w:val="auto"/>
        </w:rPr>
        <w:t>Florida</w:t>
      </w:r>
    </w:p>
    <w:p>
      <w:pPr>
        <w:spacing w:after="0" w:line="14" w:lineRule="exact"/>
        <w:rPr>
          <w:sz w:val="24"/>
          <w:szCs w:val="24"/>
          <w:color w:val="auto"/>
        </w:rPr>
      </w:pPr>
    </w:p>
    <w:p>
      <w:pPr>
        <w:jc w:val="center"/>
        <w:ind w:left="280"/>
        <w:spacing w:after="0"/>
        <w:rPr>
          <w:sz w:val="20"/>
          <w:szCs w:val="20"/>
          <w:color w:val="auto"/>
        </w:rPr>
      </w:pPr>
      <w:r>
        <w:rPr>
          <w:rFonts w:ascii="Arial" w:cs="Arial" w:eastAsia="Arial" w:hAnsi="Arial"/>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1-9533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59-2459427</w:t>
      </w:r>
    </w:p>
    <w:p>
      <w:pPr>
        <w:spacing w:after="0" w:line="14" w:lineRule="exact"/>
        <w:rPr>
          <w:sz w:val="24"/>
          <w:szCs w:val="24"/>
          <w:color w:val="auto"/>
        </w:rPr>
      </w:pPr>
    </w:p>
    <w:p>
      <w:pPr>
        <w:jc w:val="center"/>
        <w:ind w:right="60"/>
        <w:spacing w:after="0"/>
        <w:rPr>
          <w:sz w:val="20"/>
          <w:szCs w:val="20"/>
          <w:color w:val="auto"/>
        </w:rPr>
      </w:pPr>
      <w:r>
        <w:rPr>
          <w:rFonts w:ascii="Arial" w:cs="Arial" w:eastAsia="Arial" w:hAnsi="Arial"/>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4560" w:space="720"/>
            <w:col w:w="2380" w:space="540"/>
            <w:col w:w="3200"/>
          </w:cols>
          <w:pgMar w:left="240" w:top="477" w:right="259" w:bottom="1440" w:gutter="0" w:footer="0" w:header="0"/>
          <w:type w:val="continuous"/>
        </w:sectPr>
      </w:pPr>
    </w:p>
    <w:p>
      <w:pPr>
        <w:spacing w:after="0" w:line="341" w:lineRule="exact"/>
        <w:rPr>
          <w:sz w:val="24"/>
          <w:szCs w:val="24"/>
          <w:color w:val="auto"/>
        </w:rPr>
      </w:pPr>
    </w:p>
    <w:p>
      <w:pPr>
        <w:jc w:val="center"/>
        <w:ind w:right="440"/>
        <w:spacing w:after="0"/>
        <w:rPr>
          <w:sz w:val="20"/>
          <w:szCs w:val="20"/>
          <w:color w:val="auto"/>
        </w:rPr>
      </w:pPr>
      <w:r>
        <w:rPr>
          <w:rFonts w:ascii="Arial" w:cs="Arial" w:eastAsia="Arial" w:hAnsi="Arial"/>
          <w:sz w:val="22"/>
          <w:szCs w:val="22"/>
          <w:b w:val="1"/>
          <w:bCs w:val="1"/>
          <w:color w:val="auto"/>
        </w:rPr>
        <w:t>9800 N.W. 41</w:t>
      </w:r>
      <w:r>
        <w:rPr>
          <w:rFonts w:ascii="Arial" w:cs="Arial" w:eastAsia="Arial" w:hAnsi="Arial"/>
          <w:sz w:val="14"/>
          <w:szCs w:val="14"/>
          <w:b w:val="1"/>
          <w:bCs w:val="1"/>
          <w:color w:val="auto"/>
        </w:rPr>
        <w:t>st</w:t>
      </w:r>
      <w:r>
        <w:rPr>
          <w:rFonts w:ascii="Arial" w:cs="Arial" w:eastAsia="Arial" w:hAnsi="Arial"/>
          <w:sz w:val="22"/>
          <w:szCs w:val="22"/>
          <w:b w:val="1"/>
          <w:bCs w:val="1"/>
          <w:color w:val="auto"/>
        </w:rPr>
        <w:t xml:space="preserve"> Street</w:t>
      </w:r>
    </w:p>
    <w:p>
      <w:pPr>
        <w:spacing w:after="0" w:line="4" w:lineRule="exact"/>
        <w:rPr>
          <w:sz w:val="24"/>
          <w:szCs w:val="24"/>
          <w:color w:val="auto"/>
        </w:rPr>
      </w:pPr>
    </w:p>
    <w:p>
      <w:pPr>
        <w:jc w:val="center"/>
        <w:ind w:right="440"/>
        <w:spacing w:after="0"/>
        <w:rPr>
          <w:sz w:val="20"/>
          <w:szCs w:val="20"/>
          <w:color w:val="auto"/>
        </w:rPr>
      </w:pPr>
      <w:r>
        <w:rPr>
          <w:rFonts w:ascii="Arial" w:cs="Arial" w:eastAsia="Arial" w:hAnsi="Arial"/>
          <w:sz w:val="22"/>
          <w:szCs w:val="22"/>
          <w:b w:val="1"/>
          <w:bCs w:val="1"/>
          <w:color w:val="auto"/>
        </w:rPr>
        <w:t>Miami, FL</w:t>
      </w:r>
    </w:p>
    <w:p>
      <w:pPr>
        <w:jc w:val="center"/>
        <w:ind w:right="440"/>
        <w:spacing w:after="0"/>
        <w:rPr>
          <w:sz w:val="20"/>
          <w:szCs w:val="20"/>
          <w:color w:val="auto"/>
        </w:rPr>
      </w:pPr>
      <w:r>
        <w:rPr>
          <w:rFonts w:ascii="Arial" w:cs="Arial" w:eastAsia="Arial" w:hAnsi="Arial"/>
          <w:sz w:val="19"/>
          <w:szCs w:val="19"/>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4" w:lineRule="exact"/>
        <w:rPr>
          <w:sz w:val="24"/>
          <w:szCs w:val="24"/>
          <w:color w:val="auto"/>
        </w:rPr>
      </w:pPr>
    </w:p>
    <w:p>
      <w:pPr>
        <w:jc w:val="center"/>
        <w:ind w:right="1160"/>
        <w:spacing w:after="0"/>
        <w:rPr>
          <w:sz w:val="20"/>
          <w:szCs w:val="20"/>
          <w:color w:val="auto"/>
        </w:rPr>
      </w:pPr>
      <w:r>
        <w:rPr>
          <w:rFonts w:ascii="Arial" w:cs="Arial" w:eastAsia="Arial" w:hAnsi="Arial"/>
          <w:sz w:val="22"/>
          <w:szCs w:val="22"/>
          <w:b w:val="1"/>
          <w:bCs w:val="1"/>
          <w:color w:val="auto"/>
        </w:rPr>
        <w:t>33178</w:t>
      </w:r>
    </w:p>
    <w:p>
      <w:pPr>
        <w:spacing w:after="0" w:line="14" w:lineRule="exact"/>
        <w:rPr>
          <w:sz w:val="24"/>
          <w:szCs w:val="24"/>
          <w:color w:val="auto"/>
        </w:rPr>
      </w:pPr>
    </w:p>
    <w:p>
      <w:pPr>
        <w:jc w:val="center"/>
        <w:ind w:right="1160"/>
        <w:spacing w:after="0"/>
        <w:rPr>
          <w:sz w:val="20"/>
          <w:szCs w:val="20"/>
          <w:color w:val="auto"/>
        </w:rPr>
      </w:pPr>
      <w:r>
        <w:rPr>
          <w:rFonts w:ascii="Arial" w:cs="Arial" w:eastAsia="Arial" w:hAnsi="Arial"/>
          <w:sz w:val="19"/>
          <w:szCs w:val="19"/>
          <w:color w:val="auto"/>
        </w:rPr>
        <w:t>(Zip Code)</w:t>
      </w:r>
    </w:p>
    <w:p>
      <w:pPr>
        <w:spacing w:after="0" w:line="200" w:lineRule="exact"/>
        <w:rPr>
          <w:sz w:val="24"/>
          <w:szCs w:val="24"/>
          <w:color w:val="auto"/>
        </w:rPr>
      </w:pPr>
    </w:p>
    <w:p>
      <w:pPr>
        <w:sectPr>
          <w:pgSz w:w="11900" w:h="16838" w:orient="portrait"/>
          <w:cols w:equalWidth="0" w:num="2">
            <w:col w:w="8580" w:space="720"/>
            <w:col w:w="2100"/>
          </w:cols>
          <w:pgMar w:left="240" w:top="477" w:right="259" w:bottom="1440" w:gutter="0" w:footer="0" w:header="0"/>
          <w:type w:val="continuous"/>
        </w:sectPr>
      </w:pPr>
    </w:p>
    <w:p>
      <w:pPr>
        <w:spacing w:after="0" w:line="84" w:lineRule="exact"/>
        <w:rPr>
          <w:sz w:val="24"/>
          <w:szCs w:val="24"/>
          <w:color w:val="auto"/>
        </w:rPr>
      </w:pPr>
    </w:p>
    <w:p>
      <w:pPr>
        <w:ind w:left="2920"/>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(305) 428-8000</w:t>
      </w:r>
    </w:p>
    <w:p>
      <w:pPr>
        <w:spacing w:after="0" w:line="26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76"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17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00"/>
          </w:cols>
          <w:pgMar w:left="240" w:top="47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4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237"/>
        </w:trPr>
        <w:tc>
          <w:tcPr>
            <w:tcW w:w="444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Common Stock, par value $0.01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INT</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00"/>
          </w:cols>
          <w:pgMar w:left="240" w:top="449"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22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On May 24, 2019, World Fuel Services Corporation (the “Company”) held its annual meeting of shareholders. The matters voted upon and the results of the vote were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Proposal 1: Election of Directors</w:t>
      </w:r>
    </w:p>
    <w:p>
      <w:pPr>
        <w:spacing w:after="0" w:line="226"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The shareholders elected all of the Company’s nominees for director for one-year terms expiring on the date of the annual meeting in 2020 or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Nominee</w:t>
            </w:r>
          </w:p>
        </w:tc>
        <w:tc>
          <w:tcPr>
            <w:tcW w:w="27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Votes For</w:t>
            </w:r>
          </w:p>
        </w:tc>
        <w:tc>
          <w:tcPr>
            <w:tcW w:w="2900" w:type="dxa"/>
            <w:vAlign w:val="bottom"/>
          </w:tcPr>
          <w:p>
            <w:pPr>
              <w:ind w:left="940"/>
              <w:spacing w:after="0"/>
              <w:rPr>
                <w:sz w:val="20"/>
                <w:szCs w:val="20"/>
                <w:color w:val="auto"/>
              </w:rPr>
            </w:pPr>
            <w:r>
              <w:rPr>
                <w:rFonts w:ascii="Arial" w:cs="Arial" w:eastAsia="Arial" w:hAnsi="Arial"/>
                <w:sz w:val="18"/>
                <w:szCs w:val="18"/>
                <w:b w:val="1"/>
                <w:bCs w:val="1"/>
                <w:color w:val="auto"/>
              </w:rPr>
              <w:t>Votes Withheld</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color w:val="auto"/>
              </w:rPr>
              <w:t>Michael J. Kasbar</w:t>
            </w:r>
          </w:p>
        </w:tc>
        <w:tc>
          <w:tcPr>
            <w:tcW w:w="2760" w:type="dxa"/>
            <w:vAlign w:val="bottom"/>
          </w:tcPr>
          <w:p>
            <w:pPr>
              <w:jc w:val="center"/>
              <w:ind w:left="30"/>
              <w:spacing w:after="0"/>
              <w:rPr>
                <w:sz w:val="20"/>
                <w:szCs w:val="20"/>
                <w:color w:val="auto"/>
              </w:rPr>
            </w:pPr>
            <w:r>
              <w:rPr>
                <w:rFonts w:ascii="Arial" w:cs="Arial" w:eastAsia="Arial" w:hAnsi="Arial"/>
                <w:sz w:val="18"/>
                <w:szCs w:val="18"/>
                <w:color w:val="auto"/>
                <w:w w:val="88"/>
              </w:rPr>
              <w:t>57,154,987</w:t>
            </w:r>
          </w:p>
        </w:tc>
        <w:tc>
          <w:tcPr>
            <w:tcW w:w="2900" w:type="dxa"/>
            <w:vAlign w:val="bottom"/>
          </w:tcPr>
          <w:p>
            <w:pPr>
              <w:jc w:val="center"/>
              <w:ind w:left="50"/>
              <w:spacing w:after="0"/>
              <w:rPr>
                <w:sz w:val="20"/>
                <w:szCs w:val="20"/>
                <w:color w:val="auto"/>
              </w:rPr>
            </w:pPr>
            <w:r>
              <w:rPr>
                <w:rFonts w:ascii="Arial" w:cs="Arial" w:eastAsia="Arial" w:hAnsi="Arial"/>
                <w:sz w:val="18"/>
                <w:szCs w:val="18"/>
                <w:color w:val="auto"/>
                <w:w w:val="89"/>
              </w:rPr>
              <w:t>3,957,648</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2,794,524</w:t>
            </w:r>
          </w:p>
        </w:tc>
      </w:tr>
      <w:tr>
        <w:trPr>
          <w:trHeight w:val="27"/>
        </w:trPr>
        <w:tc>
          <w:tcPr>
            <w:tcW w:w="28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color w:val="auto"/>
              </w:rPr>
              <w:t>Ken Bakshi</w:t>
            </w:r>
          </w:p>
        </w:tc>
        <w:tc>
          <w:tcPr>
            <w:tcW w:w="2760" w:type="dxa"/>
            <w:vAlign w:val="bottom"/>
          </w:tcPr>
          <w:p>
            <w:pPr>
              <w:jc w:val="center"/>
              <w:ind w:left="30"/>
              <w:spacing w:after="0"/>
              <w:rPr>
                <w:sz w:val="20"/>
                <w:szCs w:val="20"/>
                <w:color w:val="auto"/>
              </w:rPr>
            </w:pPr>
            <w:r>
              <w:rPr>
                <w:rFonts w:ascii="Arial" w:cs="Arial" w:eastAsia="Arial" w:hAnsi="Arial"/>
                <w:sz w:val="18"/>
                <w:szCs w:val="18"/>
                <w:color w:val="auto"/>
                <w:w w:val="88"/>
              </w:rPr>
              <w:t>53,565,199</w:t>
            </w:r>
          </w:p>
        </w:tc>
        <w:tc>
          <w:tcPr>
            <w:tcW w:w="2900" w:type="dxa"/>
            <w:vAlign w:val="bottom"/>
          </w:tcPr>
          <w:p>
            <w:pPr>
              <w:jc w:val="center"/>
              <w:ind w:left="50"/>
              <w:spacing w:after="0"/>
              <w:rPr>
                <w:sz w:val="20"/>
                <w:szCs w:val="20"/>
                <w:color w:val="auto"/>
              </w:rPr>
            </w:pPr>
            <w:r>
              <w:rPr>
                <w:rFonts w:ascii="Arial" w:cs="Arial" w:eastAsia="Arial" w:hAnsi="Arial"/>
                <w:sz w:val="18"/>
                <w:szCs w:val="18"/>
                <w:color w:val="auto"/>
                <w:w w:val="89"/>
              </w:rPr>
              <w:t>7,547,436</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2,794,524</w:t>
            </w:r>
          </w:p>
        </w:tc>
      </w:tr>
      <w:tr>
        <w:trPr>
          <w:trHeight w:val="27"/>
        </w:trPr>
        <w:tc>
          <w:tcPr>
            <w:tcW w:w="28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color w:val="auto"/>
              </w:rPr>
              <w:t>Jorge L. Benitez</w:t>
            </w:r>
          </w:p>
        </w:tc>
        <w:tc>
          <w:tcPr>
            <w:tcW w:w="2760" w:type="dxa"/>
            <w:vAlign w:val="bottom"/>
          </w:tcPr>
          <w:p>
            <w:pPr>
              <w:jc w:val="center"/>
              <w:ind w:left="30"/>
              <w:spacing w:after="0"/>
              <w:rPr>
                <w:sz w:val="20"/>
                <w:szCs w:val="20"/>
                <w:color w:val="auto"/>
              </w:rPr>
            </w:pPr>
            <w:r>
              <w:rPr>
                <w:rFonts w:ascii="Arial" w:cs="Arial" w:eastAsia="Arial" w:hAnsi="Arial"/>
                <w:sz w:val="18"/>
                <w:szCs w:val="18"/>
                <w:color w:val="auto"/>
                <w:w w:val="88"/>
              </w:rPr>
              <w:t>58,998,268</w:t>
            </w:r>
          </w:p>
        </w:tc>
        <w:tc>
          <w:tcPr>
            <w:tcW w:w="2900" w:type="dxa"/>
            <w:vAlign w:val="bottom"/>
          </w:tcPr>
          <w:p>
            <w:pPr>
              <w:jc w:val="center"/>
              <w:ind w:left="50"/>
              <w:spacing w:after="0"/>
              <w:rPr>
                <w:sz w:val="20"/>
                <w:szCs w:val="20"/>
                <w:color w:val="auto"/>
              </w:rPr>
            </w:pPr>
            <w:r>
              <w:rPr>
                <w:rFonts w:ascii="Arial" w:cs="Arial" w:eastAsia="Arial" w:hAnsi="Arial"/>
                <w:sz w:val="18"/>
                <w:szCs w:val="18"/>
                <w:color w:val="auto"/>
                <w:w w:val="89"/>
              </w:rPr>
              <w:t>2,114,367</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2,794,524</w:t>
            </w:r>
          </w:p>
        </w:tc>
      </w:tr>
      <w:tr>
        <w:trPr>
          <w:trHeight w:val="27"/>
        </w:trPr>
        <w:tc>
          <w:tcPr>
            <w:tcW w:w="28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color w:val="auto"/>
              </w:rPr>
              <w:t>Stephen J. Gold</w:t>
            </w:r>
          </w:p>
        </w:tc>
        <w:tc>
          <w:tcPr>
            <w:tcW w:w="2760" w:type="dxa"/>
            <w:vAlign w:val="bottom"/>
          </w:tcPr>
          <w:p>
            <w:pPr>
              <w:jc w:val="center"/>
              <w:ind w:left="30"/>
              <w:spacing w:after="0"/>
              <w:rPr>
                <w:sz w:val="20"/>
                <w:szCs w:val="20"/>
                <w:color w:val="auto"/>
              </w:rPr>
            </w:pPr>
            <w:r>
              <w:rPr>
                <w:rFonts w:ascii="Arial" w:cs="Arial" w:eastAsia="Arial" w:hAnsi="Arial"/>
                <w:sz w:val="18"/>
                <w:szCs w:val="18"/>
                <w:color w:val="auto"/>
                <w:w w:val="88"/>
              </w:rPr>
              <w:t>52,070,848</w:t>
            </w:r>
          </w:p>
        </w:tc>
        <w:tc>
          <w:tcPr>
            <w:tcW w:w="2900" w:type="dxa"/>
            <w:vAlign w:val="bottom"/>
          </w:tcPr>
          <w:p>
            <w:pPr>
              <w:jc w:val="center"/>
              <w:ind w:left="50"/>
              <w:spacing w:after="0"/>
              <w:rPr>
                <w:sz w:val="20"/>
                <w:szCs w:val="20"/>
                <w:color w:val="auto"/>
              </w:rPr>
            </w:pPr>
            <w:r>
              <w:rPr>
                <w:rFonts w:ascii="Arial" w:cs="Arial" w:eastAsia="Arial" w:hAnsi="Arial"/>
                <w:sz w:val="18"/>
                <w:szCs w:val="18"/>
                <w:color w:val="auto"/>
                <w:w w:val="89"/>
              </w:rPr>
              <w:t>9,041,787</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2,794,524</w:t>
            </w:r>
          </w:p>
        </w:tc>
      </w:tr>
      <w:tr>
        <w:trPr>
          <w:trHeight w:val="27"/>
        </w:trPr>
        <w:tc>
          <w:tcPr>
            <w:tcW w:w="28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color w:val="auto"/>
              </w:rPr>
              <w:t>Richard A. Kassar</w:t>
            </w:r>
          </w:p>
        </w:tc>
        <w:tc>
          <w:tcPr>
            <w:tcW w:w="2760" w:type="dxa"/>
            <w:vAlign w:val="bottom"/>
          </w:tcPr>
          <w:p>
            <w:pPr>
              <w:jc w:val="center"/>
              <w:ind w:left="30"/>
              <w:spacing w:after="0"/>
              <w:rPr>
                <w:sz w:val="20"/>
                <w:szCs w:val="20"/>
                <w:color w:val="auto"/>
              </w:rPr>
            </w:pPr>
            <w:r>
              <w:rPr>
                <w:rFonts w:ascii="Arial" w:cs="Arial" w:eastAsia="Arial" w:hAnsi="Arial"/>
                <w:sz w:val="18"/>
                <w:szCs w:val="18"/>
                <w:color w:val="auto"/>
                <w:w w:val="88"/>
              </w:rPr>
              <w:t>40,051,371</w:t>
            </w:r>
          </w:p>
        </w:tc>
        <w:tc>
          <w:tcPr>
            <w:tcW w:w="2900" w:type="dxa"/>
            <w:vAlign w:val="bottom"/>
          </w:tcPr>
          <w:p>
            <w:pPr>
              <w:jc w:val="center"/>
              <w:ind w:left="70"/>
              <w:spacing w:after="0"/>
              <w:rPr>
                <w:sz w:val="20"/>
                <w:szCs w:val="20"/>
                <w:color w:val="auto"/>
              </w:rPr>
            </w:pPr>
            <w:r>
              <w:rPr>
                <w:rFonts w:ascii="Arial" w:cs="Arial" w:eastAsia="Arial" w:hAnsi="Arial"/>
                <w:sz w:val="18"/>
                <w:szCs w:val="18"/>
                <w:color w:val="auto"/>
                <w:w w:val="90"/>
              </w:rPr>
              <w:t>21,061,264</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2,794,524</w:t>
            </w:r>
          </w:p>
        </w:tc>
      </w:tr>
      <w:tr>
        <w:trPr>
          <w:trHeight w:val="27"/>
        </w:trPr>
        <w:tc>
          <w:tcPr>
            <w:tcW w:w="28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color w:val="auto"/>
              </w:rPr>
              <w:t>John L. Manley</w:t>
            </w:r>
          </w:p>
        </w:tc>
        <w:tc>
          <w:tcPr>
            <w:tcW w:w="2760" w:type="dxa"/>
            <w:vAlign w:val="bottom"/>
          </w:tcPr>
          <w:p>
            <w:pPr>
              <w:jc w:val="center"/>
              <w:ind w:left="30"/>
              <w:spacing w:after="0"/>
              <w:rPr>
                <w:sz w:val="20"/>
                <w:szCs w:val="20"/>
                <w:color w:val="auto"/>
              </w:rPr>
            </w:pPr>
            <w:r>
              <w:rPr>
                <w:rFonts w:ascii="Arial" w:cs="Arial" w:eastAsia="Arial" w:hAnsi="Arial"/>
                <w:sz w:val="18"/>
                <w:szCs w:val="18"/>
                <w:color w:val="auto"/>
                <w:w w:val="88"/>
              </w:rPr>
              <w:t>58,992,405</w:t>
            </w:r>
          </w:p>
        </w:tc>
        <w:tc>
          <w:tcPr>
            <w:tcW w:w="2900" w:type="dxa"/>
            <w:vAlign w:val="bottom"/>
          </w:tcPr>
          <w:p>
            <w:pPr>
              <w:jc w:val="center"/>
              <w:ind w:left="50"/>
              <w:spacing w:after="0"/>
              <w:rPr>
                <w:sz w:val="20"/>
                <w:szCs w:val="20"/>
                <w:color w:val="auto"/>
              </w:rPr>
            </w:pPr>
            <w:r>
              <w:rPr>
                <w:rFonts w:ascii="Arial" w:cs="Arial" w:eastAsia="Arial" w:hAnsi="Arial"/>
                <w:sz w:val="18"/>
                <w:szCs w:val="18"/>
                <w:color w:val="auto"/>
                <w:w w:val="89"/>
              </w:rPr>
              <w:t>2,120,230</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2,794,524</w:t>
            </w:r>
          </w:p>
        </w:tc>
      </w:tr>
      <w:tr>
        <w:trPr>
          <w:trHeight w:val="27"/>
        </w:trPr>
        <w:tc>
          <w:tcPr>
            <w:tcW w:w="28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color w:val="auto"/>
              </w:rPr>
              <w:t>Stephen K. Roddenberry</w:t>
            </w:r>
          </w:p>
        </w:tc>
        <w:tc>
          <w:tcPr>
            <w:tcW w:w="2760" w:type="dxa"/>
            <w:vAlign w:val="bottom"/>
          </w:tcPr>
          <w:p>
            <w:pPr>
              <w:jc w:val="center"/>
              <w:ind w:left="30"/>
              <w:spacing w:after="0"/>
              <w:rPr>
                <w:sz w:val="20"/>
                <w:szCs w:val="20"/>
                <w:color w:val="auto"/>
              </w:rPr>
            </w:pPr>
            <w:r>
              <w:rPr>
                <w:rFonts w:ascii="Arial" w:cs="Arial" w:eastAsia="Arial" w:hAnsi="Arial"/>
                <w:sz w:val="18"/>
                <w:szCs w:val="18"/>
                <w:color w:val="auto"/>
                <w:w w:val="88"/>
              </w:rPr>
              <w:t>40,502,674</w:t>
            </w:r>
          </w:p>
        </w:tc>
        <w:tc>
          <w:tcPr>
            <w:tcW w:w="2900" w:type="dxa"/>
            <w:vAlign w:val="bottom"/>
          </w:tcPr>
          <w:p>
            <w:pPr>
              <w:jc w:val="center"/>
              <w:ind w:left="70"/>
              <w:spacing w:after="0"/>
              <w:rPr>
                <w:sz w:val="20"/>
                <w:szCs w:val="20"/>
                <w:color w:val="auto"/>
              </w:rPr>
            </w:pPr>
            <w:r>
              <w:rPr>
                <w:rFonts w:ascii="Arial" w:cs="Arial" w:eastAsia="Arial" w:hAnsi="Arial"/>
                <w:sz w:val="18"/>
                <w:szCs w:val="18"/>
                <w:color w:val="auto"/>
                <w:w w:val="90"/>
              </w:rPr>
              <w:t>20,609,961</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2,794,524</w:t>
            </w:r>
          </w:p>
        </w:tc>
      </w:tr>
      <w:tr>
        <w:trPr>
          <w:trHeight w:val="27"/>
        </w:trPr>
        <w:tc>
          <w:tcPr>
            <w:tcW w:w="28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color w:val="auto"/>
              </w:rPr>
              <w:t>Paul H. Stebbins</w:t>
            </w:r>
          </w:p>
        </w:tc>
        <w:tc>
          <w:tcPr>
            <w:tcW w:w="2760" w:type="dxa"/>
            <w:vAlign w:val="bottom"/>
          </w:tcPr>
          <w:p>
            <w:pPr>
              <w:jc w:val="center"/>
              <w:ind w:left="30"/>
              <w:spacing w:after="0"/>
              <w:rPr>
                <w:sz w:val="20"/>
                <w:szCs w:val="20"/>
                <w:color w:val="auto"/>
              </w:rPr>
            </w:pPr>
            <w:r>
              <w:rPr>
                <w:rFonts w:ascii="Arial" w:cs="Arial" w:eastAsia="Arial" w:hAnsi="Arial"/>
                <w:sz w:val="18"/>
                <w:szCs w:val="18"/>
                <w:color w:val="auto"/>
                <w:w w:val="88"/>
              </w:rPr>
              <w:t>57,856,939</w:t>
            </w:r>
          </w:p>
        </w:tc>
        <w:tc>
          <w:tcPr>
            <w:tcW w:w="2900" w:type="dxa"/>
            <w:vAlign w:val="bottom"/>
          </w:tcPr>
          <w:p>
            <w:pPr>
              <w:jc w:val="center"/>
              <w:ind w:left="50"/>
              <w:spacing w:after="0"/>
              <w:rPr>
                <w:sz w:val="20"/>
                <w:szCs w:val="20"/>
                <w:color w:val="auto"/>
              </w:rPr>
            </w:pPr>
            <w:r>
              <w:rPr>
                <w:rFonts w:ascii="Arial" w:cs="Arial" w:eastAsia="Arial" w:hAnsi="Arial"/>
                <w:sz w:val="18"/>
                <w:szCs w:val="18"/>
                <w:color w:val="auto"/>
                <w:w w:val="89"/>
              </w:rPr>
              <w:t>3,255,696</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2,794,524</w:t>
            </w:r>
          </w:p>
        </w:tc>
      </w:tr>
      <w:tr>
        <w:trPr>
          <w:trHeight w:val="27"/>
        </w:trPr>
        <w:tc>
          <w:tcPr>
            <w:tcW w:w="28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2560"/>
        <w:spacing w:after="0"/>
        <w:rPr>
          <w:sz w:val="20"/>
          <w:szCs w:val="20"/>
          <w:color w:val="auto"/>
        </w:rPr>
      </w:pPr>
      <w:r>
        <w:rPr>
          <w:rFonts w:ascii="Arial" w:cs="Arial" w:eastAsia="Arial" w:hAnsi="Arial"/>
          <w:sz w:val="22"/>
          <w:szCs w:val="22"/>
          <w:b w:val="1"/>
          <w:bCs w:val="1"/>
          <w:u w:val="single" w:color="auto"/>
          <w:color w:val="auto"/>
        </w:rPr>
        <w:t>Proposal 2: Non-Binding, Advisory Vote on Executive Compensation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shareholders approved, by a non-binding, advisory vote, the compensation of the Company’s named executive officers.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22"/>
                <w:szCs w:val="22"/>
                <w:b w:val="1"/>
                <w:bCs w:val="1"/>
                <w:color w:val="auto"/>
                <w:w w:val="93"/>
              </w:rPr>
              <w:t>Broker</w:t>
            </w:r>
          </w:p>
        </w:tc>
      </w:tr>
      <w:tr>
        <w:trPr>
          <w:trHeight w:val="291"/>
        </w:trPr>
        <w:tc>
          <w:tcPr>
            <w:tcW w:w="2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Votes For</w:t>
            </w:r>
          </w:p>
        </w:tc>
        <w:tc>
          <w:tcPr>
            <w:tcW w:w="2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Votes Against</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Abstentions</w:t>
            </w:r>
          </w:p>
        </w:tc>
        <w:tc>
          <w:tcPr>
            <w:tcW w:w="2620" w:type="dxa"/>
            <w:vAlign w:val="bottom"/>
          </w:tcPr>
          <w:p>
            <w:pPr>
              <w:jc w:val="center"/>
              <w:spacing w:after="0"/>
              <w:rPr>
                <w:sz w:val="20"/>
                <w:szCs w:val="20"/>
                <w:color w:val="auto"/>
              </w:rPr>
            </w:pPr>
            <w:r>
              <w:rPr>
                <w:rFonts w:ascii="Arial" w:cs="Arial" w:eastAsia="Arial" w:hAnsi="Arial"/>
                <w:sz w:val="22"/>
                <w:szCs w:val="22"/>
                <w:b w:val="1"/>
                <w:bCs w:val="1"/>
                <w:color w:val="auto"/>
                <w:w w:val="85"/>
              </w:rPr>
              <w:t>Non-Votes</w:t>
            </w:r>
          </w:p>
        </w:tc>
      </w:tr>
      <w:tr>
        <w:trPr>
          <w:trHeight w:val="243"/>
        </w:trPr>
        <w:tc>
          <w:tcPr>
            <w:tcW w:w="27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57,175,430</w:t>
            </w:r>
          </w:p>
        </w:tc>
        <w:tc>
          <w:tcPr>
            <w:tcW w:w="240" w:type="dxa"/>
            <w:vAlign w:val="bottom"/>
          </w:tcPr>
          <w:p>
            <w:pPr>
              <w:spacing w:after="0"/>
              <w:rPr>
                <w:sz w:val="21"/>
                <w:szCs w:val="21"/>
                <w:color w:val="auto"/>
              </w:rPr>
            </w:pPr>
          </w:p>
        </w:tc>
        <w:tc>
          <w:tcPr>
            <w:tcW w:w="274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3,906,196</w:t>
            </w:r>
          </w:p>
        </w:tc>
        <w:tc>
          <w:tcPr>
            <w:tcW w:w="240" w:type="dxa"/>
            <w:vAlign w:val="bottom"/>
          </w:tcPr>
          <w:p>
            <w:pPr>
              <w:spacing w:after="0"/>
              <w:rPr>
                <w:sz w:val="21"/>
                <w:szCs w:val="21"/>
                <w:color w:val="auto"/>
              </w:rPr>
            </w:pPr>
          </w:p>
        </w:tc>
        <w:tc>
          <w:tcPr>
            <w:tcW w:w="262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rPr>
              <w:t>31,009</w:t>
            </w:r>
          </w:p>
        </w:tc>
        <w:tc>
          <w:tcPr>
            <w:tcW w:w="220" w:type="dxa"/>
            <w:vAlign w:val="bottom"/>
          </w:tcPr>
          <w:p>
            <w:pPr>
              <w:spacing w:after="0"/>
              <w:rPr>
                <w:sz w:val="21"/>
                <w:szCs w:val="21"/>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2,794,524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Proposal 3: Ratification of Appointment of Independent Registered Certified Public Accounting Firm</w:t>
      </w:r>
    </w:p>
    <w:p>
      <w:pPr>
        <w:spacing w:after="0" w:line="226"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The shareholders ratified the appointment of PricewaterhouseCoopers LLP as the Company’s independent registered certified public accounting firm for the 2019 fiscal year.</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22"/>
                <w:szCs w:val="22"/>
                <w:b w:val="1"/>
                <w:bCs w:val="1"/>
                <w:color w:val="auto"/>
                <w:w w:val="93"/>
              </w:rPr>
              <w:t>Broker</w:t>
            </w:r>
          </w:p>
        </w:tc>
      </w:tr>
      <w:tr>
        <w:trPr>
          <w:trHeight w:val="291"/>
        </w:trPr>
        <w:tc>
          <w:tcPr>
            <w:tcW w:w="2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Votes For</w:t>
            </w:r>
          </w:p>
        </w:tc>
        <w:tc>
          <w:tcPr>
            <w:tcW w:w="2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Votes Against</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Abstentions</w:t>
            </w:r>
          </w:p>
        </w:tc>
        <w:tc>
          <w:tcPr>
            <w:tcW w:w="2620" w:type="dxa"/>
            <w:vAlign w:val="bottom"/>
          </w:tcPr>
          <w:p>
            <w:pPr>
              <w:jc w:val="center"/>
              <w:spacing w:after="0"/>
              <w:rPr>
                <w:sz w:val="20"/>
                <w:szCs w:val="20"/>
                <w:color w:val="auto"/>
              </w:rPr>
            </w:pPr>
            <w:r>
              <w:rPr>
                <w:rFonts w:ascii="Arial" w:cs="Arial" w:eastAsia="Arial" w:hAnsi="Arial"/>
                <w:sz w:val="22"/>
                <w:szCs w:val="22"/>
                <w:b w:val="1"/>
                <w:bCs w:val="1"/>
                <w:color w:val="auto"/>
                <w:w w:val="85"/>
              </w:rPr>
              <w:t>Non-Votes</w:t>
            </w:r>
          </w:p>
        </w:tc>
      </w:tr>
      <w:tr>
        <w:trPr>
          <w:trHeight w:val="243"/>
        </w:trPr>
        <w:tc>
          <w:tcPr>
            <w:tcW w:w="27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63,191,172</w:t>
            </w:r>
          </w:p>
        </w:tc>
        <w:tc>
          <w:tcPr>
            <w:tcW w:w="240" w:type="dxa"/>
            <w:vAlign w:val="bottom"/>
          </w:tcPr>
          <w:p>
            <w:pPr>
              <w:spacing w:after="0"/>
              <w:rPr>
                <w:sz w:val="21"/>
                <w:szCs w:val="21"/>
                <w:color w:val="auto"/>
              </w:rPr>
            </w:pPr>
          </w:p>
        </w:tc>
        <w:tc>
          <w:tcPr>
            <w:tcW w:w="274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480,773</w:t>
            </w:r>
          </w:p>
        </w:tc>
        <w:tc>
          <w:tcPr>
            <w:tcW w:w="240" w:type="dxa"/>
            <w:vAlign w:val="bottom"/>
          </w:tcPr>
          <w:p>
            <w:pPr>
              <w:spacing w:after="0"/>
              <w:rPr>
                <w:sz w:val="21"/>
                <w:szCs w:val="21"/>
                <w:color w:val="auto"/>
              </w:rPr>
            </w:pPr>
          </w:p>
        </w:tc>
        <w:tc>
          <w:tcPr>
            <w:tcW w:w="26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rPr>
              <w:t>235,254</w:t>
            </w:r>
          </w:p>
        </w:tc>
        <w:tc>
          <w:tcPr>
            <w:tcW w:w="220" w:type="dxa"/>
            <w:vAlign w:val="bottom"/>
          </w:tcPr>
          <w:p>
            <w:pPr>
              <w:spacing w:after="0"/>
              <w:rPr>
                <w:sz w:val="21"/>
                <w:szCs w:val="21"/>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bl>
    <w:p>
      <w:pPr>
        <w:sectPr>
          <w:pgSz w:w="11900" w:h="16838" w:orient="portrait"/>
          <w:cols w:equalWidth="0" w:num="1">
            <w:col w:w="11420"/>
          </w:cols>
          <w:pgMar w:left="240" w:top="62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tabs>
          <w:tab w:leader="none" w:pos="5620" w:val="left"/>
        </w:tabs>
        <w:rPr>
          <w:sz w:val="20"/>
          <w:szCs w:val="20"/>
          <w:color w:val="auto"/>
        </w:rPr>
      </w:pPr>
      <w:r>
        <w:rPr>
          <w:rFonts w:ascii="Arial" w:cs="Arial" w:eastAsia="Arial" w:hAnsi="Arial"/>
          <w:sz w:val="22"/>
          <w:szCs w:val="22"/>
          <w:color w:val="auto"/>
        </w:rPr>
        <w:t>Date: May 31, 2019</w:t>
      </w:r>
      <w:r>
        <w:rPr>
          <w:sz w:val="20"/>
          <w:szCs w:val="20"/>
          <w:color w:val="auto"/>
        </w:rPr>
        <w:tab/>
      </w:r>
      <w:r>
        <w:rPr>
          <w:rFonts w:ascii="Arial" w:cs="Arial" w:eastAsia="Arial" w:hAnsi="Arial"/>
          <w:sz w:val="19"/>
          <w:szCs w:val="19"/>
          <w:b w:val="1"/>
          <w:bCs w:val="1"/>
          <w:color w:val="auto"/>
        </w:rPr>
        <w:t>World Fuel Services Corporation</w:t>
      </w:r>
    </w:p>
    <w:p>
      <w:pPr>
        <w:spacing w:after="0" w:line="200" w:lineRule="exact"/>
        <w:rPr>
          <w:sz w:val="20"/>
          <w:szCs w:val="20"/>
          <w:color w:val="auto"/>
        </w:rPr>
      </w:pPr>
    </w:p>
    <w:p>
      <w:pPr>
        <w:spacing w:after="0" w:line="336" w:lineRule="exact"/>
        <w:rPr>
          <w:sz w:val="20"/>
          <w:szCs w:val="20"/>
          <w:color w:val="auto"/>
        </w:rPr>
      </w:pPr>
    </w:p>
    <w:p>
      <w:pPr>
        <w:ind w:left="5640"/>
        <w:spacing w:after="0"/>
        <w:rPr>
          <w:sz w:val="20"/>
          <w:szCs w:val="20"/>
          <w:color w:val="auto"/>
        </w:rPr>
      </w:pPr>
      <w:r>
        <w:rPr>
          <w:rFonts w:ascii="Arial" w:cs="Arial" w:eastAsia="Arial" w:hAnsi="Arial"/>
          <w:sz w:val="22"/>
          <w:szCs w:val="22"/>
          <w:u w:val="single" w:color="auto"/>
          <w:color w:val="auto"/>
        </w:rPr>
        <w:t>/s/ R. Alexander Lake</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R. Alexander Lake</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Executive Vice President, Chief Legal Officer</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and Corporate Secretary</w:t>
      </w:r>
    </w:p>
    <w:sectPr>
      <w:pgSz w:w="11900" w:h="16838" w:orient="portrait"/>
      <w:cols w:equalWidth="0" w:num="1">
        <w:col w:w="11400"/>
      </w:cols>
      <w:pgMar w:left="240" w:top="58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2019-12-02T03:51:29Z</dcterms:created>
  <dcterms:modified xsi:type="dcterms:W3CDTF">2019-12-02T03:51:29Z</dcterms:modified>
</cp:coreProperties>
</file>