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23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spacing w:after="0" w:line="23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290195</wp:posOffset>
            </wp:positionV>
            <wp:extent cx="162877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FORM 8-K</w:t>
      </w:r>
    </w:p>
    <w:p>
      <w:pPr>
        <w:spacing w:after="0" w:line="23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SECTION 13 OR 15(d) OF</w:t>
      </w:r>
    </w:p>
    <w:p>
      <w:pPr>
        <w:spacing w:after="0" w:line="23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290195</wp:posOffset>
            </wp:positionV>
            <wp:extent cx="162877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Date of Report (Date of earliest event reported): October 4, 2017</w:t>
      </w:r>
    </w:p>
    <w:p>
      <w:pPr>
        <w:spacing w:after="0" w:line="239"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WORLD FUEL SERVICES CORPORATION</w:t>
      </w:r>
    </w:p>
    <w:p>
      <w:pPr>
        <w:spacing w:after="0" w:line="1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840" w:type="dxa"/>
        <w:tblCellMar>
          <w:top w:w="0" w:type="dxa"/>
          <w:left w:w="0" w:type="dxa"/>
          <w:bottom w:w="0" w:type="dxa"/>
          <w:right w:w="0" w:type="dxa"/>
        </w:tblCellMar>
      </w:tblPr>
      <w:tr>
        <w:trPr>
          <w:trHeight w:val="234"/>
        </w:trPr>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6"/>
              </w:rPr>
              <w:t>Florida</w:t>
            </w:r>
          </w:p>
        </w:tc>
        <w:tc>
          <w:tcPr>
            <w:tcW w:w="4640" w:type="dxa"/>
            <w:vAlign w:val="bottom"/>
          </w:tcPr>
          <w:p>
            <w:pPr>
              <w:jc w:val="center"/>
              <w:ind w:left="750"/>
              <w:spacing w:after="0"/>
              <w:rPr>
                <w:sz w:val="20"/>
                <w:szCs w:val="20"/>
                <w:color w:val="auto"/>
              </w:rPr>
            </w:pPr>
            <w:r>
              <w:rPr>
                <w:rFonts w:ascii="Arial" w:cs="Arial" w:eastAsia="Arial" w:hAnsi="Arial"/>
                <w:sz w:val="18"/>
                <w:szCs w:val="18"/>
                <w:b w:val="1"/>
                <w:bCs w:val="1"/>
                <w:color w:val="auto"/>
                <w:w w:val="92"/>
              </w:rPr>
              <w:t>1-9533</w:t>
            </w:r>
          </w:p>
        </w:tc>
        <w:tc>
          <w:tcPr>
            <w:tcW w:w="2580" w:type="dxa"/>
            <w:vAlign w:val="bottom"/>
          </w:tcPr>
          <w:p>
            <w:pPr>
              <w:jc w:val="right"/>
              <w:ind w:right="130"/>
              <w:spacing w:after="0"/>
              <w:rPr>
                <w:sz w:val="20"/>
                <w:szCs w:val="20"/>
                <w:color w:val="auto"/>
              </w:rPr>
            </w:pPr>
            <w:r>
              <w:rPr>
                <w:rFonts w:ascii="Arial" w:cs="Arial" w:eastAsia="Arial" w:hAnsi="Arial"/>
                <w:sz w:val="18"/>
                <w:szCs w:val="18"/>
                <w:b w:val="1"/>
                <w:bCs w:val="1"/>
                <w:color w:val="auto"/>
              </w:rPr>
              <w:t>59-2459427</w:t>
            </w:r>
          </w:p>
        </w:tc>
      </w:tr>
      <w:tr>
        <w:trPr>
          <w:trHeight w:val="229"/>
        </w:trPr>
        <w:tc>
          <w:tcPr>
            <w:tcW w:w="2140" w:type="dxa"/>
            <w:vAlign w:val="bottom"/>
          </w:tcPr>
          <w:p>
            <w:pPr>
              <w:jc w:val="center"/>
              <w:spacing w:after="0"/>
              <w:rPr>
                <w:sz w:val="20"/>
                <w:szCs w:val="20"/>
                <w:color w:val="auto"/>
              </w:rPr>
            </w:pPr>
            <w:r>
              <w:rPr>
                <w:rFonts w:ascii="Arial" w:cs="Arial" w:eastAsia="Arial" w:hAnsi="Arial"/>
                <w:sz w:val="18"/>
                <w:szCs w:val="18"/>
                <w:color w:val="auto"/>
                <w:w w:val="93"/>
              </w:rPr>
              <w:t>(State or other jurisdiction of</w:t>
            </w:r>
          </w:p>
        </w:tc>
        <w:tc>
          <w:tcPr>
            <w:tcW w:w="4640" w:type="dxa"/>
            <w:vAlign w:val="bottom"/>
          </w:tcPr>
          <w:p>
            <w:pPr>
              <w:jc w:val="center"/>
              <w:ind w:left="730"/>
              <w:spacing w:after="0"/>
              <w:rPr>
                <w:sz w:val="20"/>
                <w:szCs w:val="20"/>
                <w:color w:val="auto"/>
              </w:rPr>
            </w:pPr>
            <w:r>
              <w:rPr>
                <w:rFonts w:ascii="Arial" w:cs="Arial" w:eastAsia="Arial" w:hAnsi="Arial"/>
                <w:sz w:val="18"/>
                <w:szCs w:val="18"/>
                <w:color w:val="auto"/>
                <w:w w:val="93"/>
              </w:rPr>
              <w:t>(Commission File</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3"/>
              </w:rPr>
              <w:t>(I.R.S. Employer</w:t>
            </w:r>
          </w:p>
        </w:tc>
      </w:tr>
      <w:tr>
        <w:trPr>
          <w:trHeight w:val="230"/>
        </w:trPr>
        <w:tc>
          <w:tcPr>
            <w:tcW w:w="2140" w:type="dxa"/>
            <w:vAlign w:val="bottom"/>
          </w:tcPr>
          <w:p>
            <w:pPr>
              <w:jc w:val="center"/>
              <w:spacing w:after="0"/>
              <w:rPr>
                <w:sz w:val="20"/>
                <w:szCs w:val="20"/>
                <w:color w:val="auto"/>
              </w:rPr>
            </w:pPr>
            <w:r>
              <w:rPr>
                <w:rFonts w:ascii="Arial" w:cs="Arial" w:eastAsia="Arial" w:hAnsi="Arial"/>
                <w:sz w:val="18"/>
                <w:szCs w:val="18"/>
                <w:color w:val="auto"/>
                <w:w w:val="92"/>
              </w:rPr>
              <w:t>incorporation)</w:t>
            </w:r>
          </w:p>
        </w:tc>
        <w:tc>
          <w:tcPr>
            <w:tcW w:w="4640" w:type="dxa"/>
            <w:vAlign w:val="bottom"/>
          </w:tcPr>
          <w:p>
            <w:pPr>
              <w:jc w:val="center"/>
              <w:ind w:left="730"/>
              <w:spacing w:after="0"/>
              <w:rPr>
                <w:sz w:val="20"/>
                <w:szCs w:val="20"/>
                <w:color w:val="auto"/>
              </w:rPr>
            </w:pPr>
            <w:r>
              <w:rPr>
                <w:rFonts w:ascii="Arial" w:cs="Arial" w:eastAsia="Arial" w:hAnsi="Arial"/>
                <w:sz w:val="18"/>
                <w:szCs w:val="18"/>
                <w:color w:val="auto"/>
                <w:w w:val="94"/>
              </w:rPr>
              <w:t>Number)</w:t>
            </w:r>
          </w:p>
        </w:tc>
        <w:tc>
          <w:tcPr>
            <w:tcW w:w="2580" w:type="dxa"/>
            <w:vAlign w:val="bottom"/>
          </w:tcPr>
          <w:p>
            <w:pPr>
              <w:jc w:val="center"/>
              <w:ind w:left="1150"/>
              <w:spacing w:after="0"/>
              <w:rPr>
                <w:sz w:val="20"/>
                <w:szCs w:val="20"/>
                <w:color w:val="auto"/>
              </w:rPr>
            </w:pPr>
            <w:r>
              <w:rPr>
                <w:rFonts w:ascii="Arial" w:cs="Arial" w:eastAsia="Arial" w:hAnsi="Arial"/>
                <w:sz w:val="18"/>
                <w:szCs w:val="18"/>
                <w:color w:val="auto"/>
                <w:w w:val="95"/>
              </w:rPr>
              <w:t>Identification No.)</w:t>
            </w:r>
          </w:p>
        </w:tc>
      </w:tr>
      <w:tr>
        <w:trPr>
          <w:trHeight w:val="941"/>
        </w:trPr>
        <w:tc>
          <w:tcPr>
            <w:tcW w:w="2140" w:type="dxa"/>
            <w:vAlign w:val="bottom"/>
          </w:tcPr>
          <w:p>
            <w:pPr>
              <w:spacing w:after="0"/>
              <w:rPr>
                <w:sz w:val="24"/>
                <w:szCs w:val="24"/>
                <w:color w:val="auto"/>
              </w:rPr>
            </w:pPr>
          </w:p>
        </w:tc>
        <w:tc>
          <w:tcPr>
            <w:tcW w:w="4640" w:type="dxa"/>
            <w:vAlign w:val="bottom"/>
          </w:tcPr>
          <w:p>
            <w:pPr>
              <w:jc w:val="center"/>
              <w:ind w:right="2850"/>
              <w:spacing w:after="0"/>
              <w:rPr>
                <w:sz w:val="20"/>
                <w:szCs w:val="20"/>
                <w:color w:val="auto"/>
              </w:rPr>
            </w:pPr>
            <w:r>
              <w:rPr>
                <w:rFonts w:ascii="Arial" w:cs="Arial" w:eastAsia="Arial" w:hAnsi="Arial"/>
                <w:sz w:val="18"/>
                <w:szCs w:val="18"/>
                <w:b w:val="1"/>
                <w:bCs w:val="1"/>
                <w:color w:val="auto"/>
                <w:w w:val="88"/>
              </w:rPr>
              <w:t>9800 N.W. 41</w:t>
            </w:r>
            <w:r>
              <w:rPr>
                <w:rFonts w:ascii="Arial" w:cs="Arial" w:eastAsia="Arial" w:hAnsi="Arial"/>
                <w:sz w:val="30"/>
                <w:szCs w:val="30"/>
                <w:b w:val="1"/>
                <w:bCs w:val="1"/>
                <w:color w:val="auto"/>
                <w:w w:val="88"/>
                <w:vertAlign w:val="superscript"/>
              </w:rPr>
              <w:t>st</w:t>
            </w:r>
            <w:r>
              <w:rPr>
                <w:rFonts w:ascii="Arial" w:cs="Arial" w:eastAsia="Arial" w:hAnsi="Arial"/>
                <w:sz w:val="18"/>
                <w:szCs w:val="18"/>
                <w:b w:val="1"/>
                <w:bCs w:val="1"/>
                <w:color w:val="auto"/>
                <w:w w:val="88"/>
              </w:rPr>
              <w:t xml:space="preserve"> Street</w:t>
            </w:r>
          </w:p>
        </w:tc>
        <w:tc>
          <w:tcPr>
            <w:tcW w:w="2580" w:type="dxa"/>
            <w:vAlign w:val="bottom"/>
          </w:tcPr>
          <w:p>
            <w:pPr>
              <w:spacing w:after="0"/>
              <w:rPr>
                <w:sz w:val="24"/>
                <w:szCs w:val="24"/>
                <w:color w:val="auto"/>
              </w:rPr>
            </w:pPr>
          </w:p>
        </w:tc>
      </w:tr>
      <w:tr>
        <w:trPr>
          <w:trHeight w:val="234"/>
        </w:trPr>
        <w:tc>
          <w:tcPr>
            <w:tcW w:w="2140" w:type="dxa"/>
            <w:vAlign w:val="bottom"/>
          </w:tcPr>
          <w:p>
            <w:pPr>
              <w:spacing w:after="0"/>
              <w:rPr>
                <w:sz w:val="20"/>
                <w:szCs w:val="20"/>
                <w:color w:val="auto"/>
              </w:rPr>
            </w:pPr>
          </w:p>
        </w:tc>
        <w:tc>
          <w:tcPr>
            <w:tcW w:w="4640" w:type="dxa"/>
            <w:vAlign w:val="bottom"/>
          </w:tcPr>
          <w:p>
            <w:pPr>
              <w:jc w:val="center"/>
              <w:ind w:right="2850"/>
              <w:spacing w:after="0"/>
              <w:rPr>
                <w:sz w:val="20"/>
                <w:szCs w:val="20"/>
                <w:color w:val="auto"/>
              </w:rPr>
            </w:pPr>
            <w:r>
              <w:rPr>
                <w:rFonts w:ascii="Arial" w:cs="Arial" w:eastAsia="Arial" w:hAnsi="Arial"/>
                <w:sz w:val="18"/>
                <w:szCs w:val="18"/>
                <w:b w:val="1"/>
                <w:bCs w:val="1"/>
                <w:color w:val="auto"/>
                <w:w w:val="98"/>
              </w:rPr>
              <w:t>Miami, FL</w:t>
            </w:r>
          </w:p>
        </w:tc>
        <w:tc>
          <w:tcPr>
            <w:tcW w:w="2580" w:type="dxa"/>
            <w:vAlign w:val="bottom"/>
          </w:tcPr>
          <w:p>
            <w:pPr>
              <w:jc w:val="right"/>
              <w:ind w:right="350"/>
              <w:spacing w:after="0"/>
              <w:rPr>
                <w:sz w:val="20"/>
                <w:szCs w:val="20"/>
                <w:color w:val="auto"/>
              </w:rPr>
            </w:pPr>
            <w:r>
              <w:rPr>
                <w:rFonts w:ascii="Arial" w:cs="Arial" w:eastAsia="Arial" w:hAnsi="Arial"/>
                <w:sz w:val="18"/>
                <w:szCs w:val="18"/>
                <w:b w:val="1"/>
                <w:bCs w:val="1"/>
                <w:color w:val="auto"/>
              </w:rPr>
              <w:t>33178</w:t>
            </w:r>
          </w:p>
        </w:tc>
      </w:tr>
      <w:tr>
        <w:trPr>
          <w:trHeight w:val="243"/>
        </w:trPr>
        <w:tc>
          <w:tcPr>
            <w:tcW w:w="6780" w:type="dxa"/>
            <w:vAlign w:val="bottom"/>
            <w:gridSpan w:val="2"/>
          </w:tcPr>
          <w:p>
            <w:pPr>
              <w:jc w:val="center"/>
              <w:ind w:right="710"/>
              <w:spacing w:after="0"/>
              <w:rPr>
                <w:sz w:val="20"/>
                <w:szCs w:val="20"/>
                <w:color w:val="auto"/>
              </w:rPr>
            </w:pPr>
            <w:r>
              <w:rPr>
                <w:rFonts w:ascii="Arial" w:cs="Arial" w:eastAsia="Arial" w:hAnsi="Arial"/>
                <w:sz w:val="18"/>
                <w:szCs w:val="18"/>
                <w:color w:val="auto"/>
                <w:w w:val="92"/>
              </w:rPr>
              <w:t>(Address of principal executive offices)</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428-8000</w:t>
      </w:r>
    </w:p>
    <w:p>
      <w:pPr>
        <w:spacing w:after="0" w:line="229"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18" w:lineRule="exact"/>
        <w:rPr>
          <w:sz w:val="24"/>
          <w:szCs w:val="24"/>
          <w:color w:val="auto"/>
        </w:rPr>
      </w:pPr>
    </w:p>
    <w:p>
      <w:pPr>
        <w:spacing w:after="0" w:line="328"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(Â§230.405 of this chapter) or Rule 12b-2 of the Securities Exchange Act of 1934 (Â§240.12b-2 of this chapter).</w:t>
      </w:r>
    </w:p>
    <w:p>
      <w:pPr>
        <w:spacing w:after="0" w:line="105" w:lineRule="exact"/>
        <w:rPr>
          <w:sz w:val="24"/>
          <w:szCs w:val="24"/>
          <w:color w:val="auto"/>
        </w:rPr>
      </w:pPr>
    </w:p>
    <w:p>
      <w:pPr>
        <w:spacing w:after="0"/>
        <w:rPr>
          <w:sz w:val="20"/>
          <w:szCs w:val="20"/>
          <w:color w:val="auto"/>
        </w:rPr>
      </w:pPr>
      <w:r>
        <w:rPr>
          <w:rFonts w:ascii="Arial" w:cs="Arial" w:eastAsia="Arial" w:hAnsi="Arial"/>
          <w:sz w:val="22"/>
          <w:szCs w:val="22"/>
          <w:color w:val="auto"/>
        </w:rPr>
        <w:t>Emerging growth company [  ]</w:t>
      </w:r>
    </w:p>
    <w:p>
      <w:pPr>
        <w:spacing w:after="0" w:line="206" w:lineRule="exact"/>
        <w:rPr>
          <w:sz w:val="24"/>
          <w:szCs w:val="24"/>
          <w:color w:val="auto"/>
        </w:rPr>
      </w:pPr>
    </w:p>
    <w:p>
      <w:pPr>
        <w:jc w:val="both"/>
        <w:ind w:right="240"/>
        <w:spacing w:after="0" w:line="328" w:lineRule="auto"/>
        <w:rPr>
          <w:sz w:val="20"/>
          <w:szCs w:val="20"/>
          <w:color w:val="auto"/>
        </w:rPr>
      </w:pPr>
      <w:r>
        <w:rPr>
          <w:rFonts w:ascii="Arial" w:cs="Arial" w:eastAsia="Arial" w:hAnsi="Arial"/>
          <w:sz w:val="19"/>
          <w:szCs w:val="19"/>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40"/>
          </w:cols>
          <w:pgMar w:left="240" w:top="463" w:right="319" w:bottom="1440" w:gutter="0" w:footer="0" w:header="0"/>
        </w:sectPr>
      </w:pPr>
    </w:p>
    <w:bookmarkStart w:id="1" w:name="page2"/>
    <w:bookmarkEnd w:id="1"/>
    <w:p>
      <w:pPr>
        <w:spacing w:after="0"/>
        <w:tabs>
          <w:tab w:leader="none" w:pos="124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w:t>
      </w:r>
    </w:p>
    <w:p>
      <w:pPr>
        <w:spacing w:after="0" w:line="213"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World Fuel Services Corporation (the “Company”) announced today that its board of directors has renewed the Company’s share repurchase program, authorizing the purchase of up to $100 million in common stock. This board action replaces the previously announced September 2016 share repurchase authorization. In addition, the Company announced that its board of directors has declared a quarterly cash dividend of $0.06 per share payable on November 6, 2017 to shareholders of record on October 16, 2017. A copy of the press release is attached hereto as Exhibit 99.1.</w:t>
      </w:r>
    </w:p>
    <w:p>
      <w:pPr>
        <w:spacing w:after="0" w:line="173"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920" w:type="dxa"/>
            <w:vAlign w:val="bottom"/>
          </w:tcPr>
          <w:p>
            <w:pPr>
              <w:ind w:left="420"/>
              <w:spacing w:after="0"/>
              <w:rPr>
                <w:sz w:val="20"/>
                <w:szCs w:val="20"/>
                <w:color w:val="auto"/>
              </w:rPr>
            </w:pPr>
            <w:r>
              <w:rPr>
                <w:rFonts w:ascii="Arial" w:cs="Arial" w:eastAsia="Arial" w:hAnsi="Arial"/>
                <w:sz w:val="22"/>
                <w:szCs w:val="22"/>
                <w:color w:val="auto"/>
              </w:rPr>
              <w:t>(d)</w:t>
            </w:r>
          </w:p>
        </w:tc>
        <w:tc>
          <w:tcPr>
            <w:tcW w:w="1260" w:type="dxa"/>
            <w:vAlign w:val="bottom"/>
            <w:gridSpan w:val="2"/>
          </w:tcPr>
          <w:p>
            <w:pPr>
              <w:ind w:left="120"/>
              <w:spacing w:after="0"/>
              <w:rPr>
                <w:sz w:val="20"/>
                <w:szCs w:val="20"/>
                <w:color w:val="auto"/>
              </w:rPr>
            </w:pPr>
            <w:r>
              <w:rPr>
                <w:rFonts w:ascii="Arial" w:cs="Arial" w:eastAsia="Arial" w:hAnsi="Arial"/>
                <w:sz w:val="22"/>
                <w:szCs w:val="22"/>
                <w:color w:val="auto"/>
              </w:rPr>
              <w:t>Exhibits</w:t>
            </w: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00" w:type="dxa"/>
            <w:vAlign w:val="bottom"/>
          </w:tcPr>
          <w:p>
            <w:pPr>
              <w:spacing w:after="0"/>
              <w:rPr>
                <w:sz w:val="23"/>
                <w:szCs w:val="23"/>
                <w:color w:val="auto"/>
              </w:rPr>
            </w:pPr>
          </w:p>
        </w:tc>
      </w:tr>
      <w:tr>
        <w:trPr>
          <w:trHeight w:val="409"/>
        </w:trPr>
        <w:tc>
          <w:tcPr>
            <w:tcW w:w="9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color w:val="auto"/>
                <w:w w:val="95"/>
              </w:rPr>
              <w:t>Exhibit No.</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0" w:type="dxa"/>
            <w:vAlign w:val="bottom"/>
            <w:gridSpan w:val="2"/>
          </w:tcPr>
          <w:p>
            <w:pPr>
              <w:spacing w:after="0"/>
              <w:rPr>
                <w:sz w:val="20"/>
                <w:szCs w:val="20"/>
                <w:color w:val="auto"/>
              </w:rPr>
            </w:pPr>
            <w:r>
              <w:rPr>
                <w:rFonts w:ascii="Arial" w:cs="Arial" w:eastAsia="Arial" w:hAnsi="Arial"/>
                <w:sz w:val="22"/>
                <w:szCs w:val="22"/>
                <w:color w:val="auto"/>
              </w:rPr>
              <w:t>Description</w:t>
            </w:r>
          </w:p>
        </w:tc>
      </w:tr>
      <w:tr>
        <w:trPr>
          <w:trHeight w:val="20"/>
        </w:trPr>
        <w:tc>
          <w:tcPr>
            <w:tcW w:w="9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r>
      <w:tr>
        <w:trPr>
          <w:trHeight w:val="517"/>
        </w:trPr>
        <w:tc>
          <w:tcPr>
            <w:tcW w:w="920" w:type="dxa"/>
            <w:vAlign w:val="bottom"/>
          </w:tcPr>
          <w:p>
            <w:pPr>
              <w:spacing w:after="0"/>
              <w:rPr>
                <w:sz w:val="24"/>
                <w:szCs w:val="24"/>
                <w:color w:val="auto"/>
              </w:rPr>
            </w:pPr>
          </w:p>
        </w:tc>
        <w:tc>
          <w:tcPr>
            <w:tcW w:w="1020" w:type="dxa"/>
            <w:vAlign w:val="bottom"/>
          </w:tcPr>
          <w:p>
            <w:pPr>
              <w:jc w:val="right"/>
              <w:ind w:right="212"/>
              <w:spacing w:after="0"/>
              <w:rPr>
                <w:sz w:val="20"/>
                <w:szCs w:val="20"/>
                <w:color w:val="auto"/>
              </w:rPr>
            </w:pPr>
            <w:r>
              <w:rPr>
                <w:rFonts w:ascii="Arial" w:cs="Arial" w:eastAsia="Arial" w:hAnsi="Arial"/>
                <w:sz w:val="22"/>
                <w:szCs w:val="22"/>
                <w:color w:val="auto"/>
              </w:rPr>
              <w:t>99.1</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0" w:type="dxa"/>
            <w:vAlign w:val="bottom"/>
            <w:gridSpan w:val="2"/>
          </w:tcPr>
          <w:p>
            <w:pPr>
              <w:ind w:left="20"/>
              <w:spacing w:after="0"/>
              <w:rPr>
                <w:sz w:val="20"/>
                <w:szCs w:val="20"/>
                <w:color w:val="auto"/>
              </w:rPr>
            </w:pPr>
            <w:r>
              <w:rPr>
                <w:rFonts w:ascii="Arial" w:cs="Arial" w:eastAsia="Arial" w:hAnsi="Arial"/>
                <w:sz w:val="22"/>
                <w:szCs w:val="22"/>
                <w:color w:val="auto"/>
              </w:rPr>
              <w:t>Press Release, dated October 4, 2017.</w:t>
            </w:r>
          </w:p>
        </w:tc>
      </w:tr>
      <w:tr>
        <w:trPr>
          <w:trHeight w:val="206"/>
        </w:trPr>
        <w:tc>
          <w:tcPr>
            <w:tcW w:w="92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8000" w:type="dxa"/>
            <w:vAlign w:val="bottom"/>
            <w:tcBorders>
              <w:bottom w:val="single" w:sz="8" w:color="9A9A9A"/>
            </w:tcBorders>
          </w:tcPr>
          <w:p>
            <w:pPr>
              <w:spacing w:after="0"/>
              <w:rPr>
                <w:sz w:val="17"/>
                <w:szCs w:val="17"/>
                <w:color w:val="auto"/>
              </w:rPr>
            </w:pPr>
          </w:p>
        </w:tc>
      </w:tr>
      <w:tr>
        <w:trPr>
          <w:trHeight w:val="21"/>
        </w:trPr>
        <w:tc>
          <w:tcPr>
            <w:tcW w:w="92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80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22"/>
          <w:szCs w:val="22"/>
          <w:b w:val="1"/>
          <w:bCs w:val="1"/>
          <w:color w:val="auto"/>
        </w:rPr>
        <w:t>SIGNATURES</w:t>
      </w:r>
    </w:p>
    <w:p>
      <w:pPr>
        <w:spacing w:after="0" w:line="21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spacing w:after="0"/>
        <w:tabs>
          <w:tab w:leader="none" w:pos="560" w:val="left"/>
          <w:tab w:leader="none" w:pos="5940" w:val="left"/>
        </w:tabs>
        <w:rPr>
          <w:sz w:val="20"/>
          <w:szCs w:val="20"/>
          <w:color w:val="auto"/>
        </w:rPr>
      </w:pPr>
      <w:r>
        <w:rPr>
          <w:rFonts w:ascii="Arial" w:cs="Arial" w:eastAsia="Arial" w:hAnsi="Arial"/>
          <w:sz w:val="18"/>
          <w:szCs w:val="18"/>
          <w:color w:val="auto"/>
        </w:rPr>
        <w:t>Date:</w:t>
        <w:tab/>
        <w:t>October 4, 2017</w:t>
      </w:r>
      <w:r>
        <w:rPr>
          <w:sz w:val="20"/>
          <w:szCs w:val="20"/>
          <w:color w:val="auto"/>
        </w:rPr>
        <w:tab/>
      </w:r>
      <w:r>
        <w:rPr>
          <w:rFonts w:ascii="Arial" w:cs="Arial" w:eastAsia="Arial" w:hAnsi="Arial"/>
          <w:sz w:val="16"/>
          <w:szCs w:val="16"/>
          <w:b w:val="1"/>
          <w:bCs w:val="1"/>
          <w:color w:val="auto"/>
        </w:rPr>
        <w:t>World Fuel Services Corporation</w:t>
      </w:r>
    </w:p>
    <w:p>
      <w:pPr>
        <w:spacing w:after="0" w:line="200" w:lineRule="exact"/>
        <w:rPr>
          <w:sz w:val="20"/>
          <w:szCs w:val="20"/>
          <w:color w:val="auto"/>
        </w:rPr>
      </w:pPr>
    </w:p>
    <w:p>
      <w:pPr>
        <w:spacing w:after="0" w:line="32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R. Alexander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23495</wp:posOffset>
            </wp:positionV>
            <wp:extent cx="23837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0"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R. Alexander Lake</w:t>
      </w:r>
    </w:p>
    <w:p>
      <w:pPr>
        <w:spacing w:after="0" w:line="3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Executive Vice President, Chief Legal Officer and</w:t>
      </w:r>
    </w:p>
    <w:p>
      <w:pPr>
        <w:spacing w:after="0" w:line="3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160"/>
          </w:cols>
          <w:pgMar w:left="240" w:top="111" w:right="499" w:bottom="1440" w:gutter="0" w:footer="0" w:header="0"/>
        </w:sectPr>
      </w:pPr>
    </w:p>
    <w:bookmarkStart w:id="3" w:name="page4"/>
    <w:bookmarkEnd w:id="3"/>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7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8865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30" w:lineRule="exact"/>
        <w:rPr>
          <w:sz w:val="20"/>
          <w:szCs w:val="20"/>
          <w:color w:val="auto"/>
        </w:rPr>
      </w:pPr>
    </w:p>
    <w:p>
      <w:pPr>
        <w:spacing w:after="0"/>
        <w:tabs>
          <w:tab w:leader="none" w:pos="1940" w:val="left"/>
        </w:tabs>
        <w:rPr>
          <w:rFonts w:ascii="Arial" w:cs="Arial" w:eastAsia="Arial" w:hAnsi="Arial"/>
          <w:sz w:val="15"/>
          <w:szCs w:val="15"/>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5"/>
            <w:szCs w:val="15"/>
            <w:u w:val="single" w:color="auto"/>
            <w:color w:val="0000EE"/>
          </w:rPr>
          <w:t>Press Release, dated October 4, 2017.</w:t>
        </w:r>
      </w:hyperlink>
    </w:p>
    <w:p>
      <w:pPr>
        <w:sectPr>
          <w:pgSz w:w="11900" w:h="16838" w:orient="portrait"/>
          <w:cols w:equalWidth="0" w:num="1">
            <w:col w:w="10219"/>
          </w:cols>
          <w:pgMar w:left="240" w:top="118"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9"/>
          <w:szCs w:val="19"/>
          <w:b w:val="1"/>
          <w:bCs w:val="1"/>
          <w:color w:val="auto"/>
        </w:rPr>
        <w:t>World Fuel Services Corporation Announces Renewal of Share Repurchase Program and Regular Quarterly Cash</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Dividend</w:t>
      </w:r>
    </w:p>
    <w:p>
      <w:pPr>
        <w:spacing w:after="0" w:line="188" w:lineRule="exact"/>
        <w:rPr>
          <w:sz w:val="20"/>
          <w:szCs w:val="20"/>
          <w:color w:val="auto"/>
        </w:rPr>
      </w:pPr>
    </w:p>
    <w:p>
      <w:pPr>
        <w:jc w:val="both"/>
        <w:ind w:right="120"/>
        <w:spacing w:after="0" w:line="258" w:lineRule="auto"/>
        <w:rPr>
          <w:sz w:val="20"/>
          <w:szCs w:val="20"/>
          <w:color w:val="auto"/>
        </w:rPr>
      </w:pPr>
      <w:r>
        <w:rPr>
          <w:rFonts w:ascii="Arial" w:cs="Arial" w:eastAsia="Arial" w:hAnsi="Arial"/>
          <w:sz w:val="21"/>
          <w:szCs w:val="21"/>
          <w:color w:val="auto"/>
        </w:rPr>
        <w:t>MIAMI--(BUSINESS WIRE)--October 4, 2017--World Fuel Services Corporation (NYSE:INT) today announced that its Board of Directors has renewed the company’s share repurchase program, authorizing the purchase of up to $100 million in common stock. This board action replaces the previously announced September 2016 share repurchase authorization.</w:t>
      </w:r>
    </w:p>
    <w:p>
      <w:pPr>
        <w:spacing w:after="0" w:line="167" w:lineRule="exact"/>
        <w:rPr>
          <w:sz w:val="20"/>
          <w:szCs w:val="20"/>
          <w:color w:val="auto"/>
        </w:rPr>
      </w:pPr>
    </w:p>
    <w:p>
      <w:pPr>
        <w:jc w:val="both"/>
        <w:ind w:right="40"/>
        <w:spacing w:after="0" w:line="252" w:lineRule="auto"/>
        <w:rPr>
          <w:sz w:val="20"/>
          <w:szCs w:val="20"/>
          <w:color w:val="auto"/>
        </w:rPr>
      </w:pPr>
      <w:r>
        <w:rPr>
          <w:rFonts w:ascii="Arial" w:cs="Arial" w:eastAsia="Arial" w:hAnsi="Arial"/>
          <w:sz w:val="21"/>
          <w:szCs w:val="21"/>
          <w:color w:val="auto"/>
        </w:rPr>
        <w:t>Share repurchases may be made from time to time in the open market or through privately negotiated transactions. The timing and amount of shares to be repurchased under the program will depend on market conditions, share price, securities law and other legal requirements and factors. The program does not require the purchase of any minimum number of shares, has no expiration date and may be suspended or discontinued at any time without prior notice.</w:t>
      </w:r>
    </w:p>
    <w:p>
      <w:pPr>
        <w:spacing w:after="0" w:line="174" w:lineRule="exact"/>
        <w:rPr>
          <w:sz w:val="20"/>
          <w:szCs w:val="20"/>
          <w:color w:val="auto"/>
        </w:rPr>
      </w:pPr>
    </w:p>
    <w:p>
      <w:pPr>
        <w:jc w:val="both"/>
        <w:ind w:right="60"/>
        <w:spacing w:after="0" w:line="251" w:lineRule="auto"/>
        <w:rPr>
          <w:sz w:val="20"/>
          <w:szCs w:val="20"/>
          <w:color w:val="auto"/>
        </w:rPr>
      </w:pPr>
      <w:r>
        <w:rPr>
          <w:rFonts w:ascii="Arial" w:cs="Arial" w:eastAsia="Arial" w:hAnsi="Arial"/>
          <w:sz w:val="22"/>
          <w:szCs w:val="22"/>
          <w:color w:val="auto"/>
        </w:rPr>
        <w:t>In addition, the Company’s Board of Directors also declared its quarterly cash dividend of $0.06 per share payable on November 6, 2017 to shareholders of record on October 16, 2017.</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World Fuel Services Corporation</w:t>
      </w:r>
    </w:p>
    <w:p>
      <w:pPr>
        <w:spacing w:after="0" w:line="206"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Headquartered in Miami, Florida, World Fuel Services is a global energy management company involved in providing energy procurement advisory services, supply fulfillment and transaction and payment management solutions to commercial and industrial customers, principally in the aviation, marine and land transportation industries. World Fuel Services sells fuel and delivers services to its clients at more than 8,000 locations in more than 200 countries and territories worldwide.</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more information, call 305-428-8000 or visit </w:t>
      </w:r>
      <w:r>
        <w:rPr>
          <w:rFonts w:ascii="Arial" w:cs="Arial" w:eastAsia="Arial" w:hAnsi="Arial"/>
          <w:sz w:val="22"/>
          <w:szCs w:val="22"/>
          <w:u w:val="single" w:color="auto"/>
          <w:color w:val="auto"/>
        </w:rPr>
        <w:t>www.wfscorp.com</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World Fuel Services Corporation</w:t>
      </w:r>
    </w:p>
    <w:p>
      <w:pPr>
        <w:spacing w:after="0" w:line="230" w:lineRule="auto"/>
        <w:rPr>
          <w:sz w:val="20"/>
          <w:szCs w:val="20"/>
          <w:color w:val="auto"/>
        </w:rPr>
      </w:pPr>
      <w:r>
        <w:rPr>
          <w:rFonts w:ascii="Arial" w:cs="Arial" w:eastAsia="Arial" w:hAnsi="Arial"/>
          <w:sz w:val="22"/>
          <w:szCs w:val="22"/>
          <w:color w:val="auto"/>
        </w:rPr>
        <w:t>Ira M. Birns, 305-428-8000</w:t>
      </w:r>
    </w:p>
    <w:p>
      <w:pPr>
        <w:spacing w:after="0" w:line="231" w:lineRule="auto"/>
        <w:rPr>
          <w:sz w:val="20"/>
          <w:szCs w:val="20"/>
          <w:color w:val="auto"/>
        </w:rPr>
      </w:pPr>
      <w:r>
        <w:rPr>
          <w:rFonts w:ascii="Arial" w:cs="Arial" w:eastAsia="Arial" w:hAnsi="Arial"/>
          <w:sz w:val="22"/>
          <w:szCs w:val="22"/>
          <w:color w:val="auto"/>
        </w:rPr>
        <w:t>Executive Vice President &amp; Chief Financial Officer</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Glenn Klevitz, 305-428-8000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Vice President, Assistant Treasurer</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2019-12-29T04:23:46Z</dcterms:created>
  <dcterms:modified xsi:type="dcterms:W3CDTF">2019-12-29T04:23:46Z</dcterms:modified>
</cp:coreProperties>
</file>