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December 1, 2017</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January 5, 2018 to shareholders of record on December 15, 2017.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tcPr>
          <w:p>
            <w:pPr>
              <w:ind w:left="720"/>
              <w:spacing w:after="0"/>
              <w:rPr>
                <w:sz w:val="20"/>
                <w:szCs w:val="20"/>
                <w:color w:val="auto"/>
              </w:rPr>
            </w:pPr>
            <w:r>
              <w:rPr>
                <w:rFonts w:ascii="Arial" w:cs="Arial" w:eastAsia="Arial" w:hAnsi="Arial"/>
                <w:sz w:val="22"/>
                <w:szCs w:val="22"/>
                <w:color w:val="auto"/>
              </w:rPr>
              <w:t>(c)</w:t>
            </w:r>
          </w:p>
        </w:tc>
        <w:tc>
          <w:tcPr>
            <w:tcW w:w="1220" w:type="dxa"/>
            <w:vAlign w:val="bottom"/>
            <w:gridSpan w:val="2"/>
          </w:tcPr>
          <w:p>
            <w:pPr>
              <w:jc w:val="right"/>
              <w:ind w:right="212"/>
              <w:spacing w:after="0"/>
              <w:rPr>
                <w:sz w:val="20"/>
                <w:szCs w:val="20"/>
                <w:color w:val="auto"/>
              </w:rPr>
            </w:pPr>
            <w:r>
              <w:rPr>
                <w:rFonts w:ascii="Arial" w:cs="Arial" w:eastAsia="Arial" w:hAnsi="Arial"/>
                <w:sz w:val="22"/>
                <w:szCs w:val="22"/>
                <w:color w:val="auto"/>
              </w:rPr>
              <w:t>Exhibits</w:t>
            </w: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560" w:type="dxa"/>
            <w:vAlign w:val="bottom"/>
          </w:tcPr>
          <w:p>
            <w:pPr>
              <w:spacing w:after="0"/>
              <w:rPr>
                <w:sz w:val="23"/>
                <w:szCs w:val="23"/>
                <w:color w:val="auto"/>
              </w:rPr>
            </w:pPr>
          </w:p>
        </w:tc>
      </w:tr>
      <w:tr>
        <w:trPr>
          <w:trHeight w:val="40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2"/>
              </w:rPr>
              <w:t>Exhibit No.</w:t>
            </w:r>
          </w:p>
        </w:tc>
        <w:tc>
          <w:tcPr>
            <w:tcW w:w="9060" w:type="dxa"/>
            <w:vAlign w:val="bottom"/>
            <w:gridSpan w:val="3"/>
          </w:tcPr>
          <w:p>
            <w:pPr>
              <w:ind w:left="500"/>
              <w:spacing w:after="0"/>
              <w:rPr>
                <w:sz w:val="20"/>
                <w:szCs w:val="20"/>
                <w:color w:val="auto"/>
              </w:rPr>
            </w:pPr>
            <w:r>
              <w:rPr>
                <w:rFonts w:ascii="Arial" w:cs="Arial" w:eastAsia="Arial" w:hAnsi="Arial"/>
                <w:sz w:val="22"/>
                <w:szCs w:val="22"/>
                <w:color w:val="auto"/>
              </w:rPr>
              <w:t>Description</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90"/>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8560" w:type="dxa"/>
            <w:vAlign w:val="bottom"/>
            <w:gridSpan w:val="2"/>
          </w:tcPr>
          <w:p>
            <w:pPr>
              <w:ind w:left="60"/>
              <w:spacing w:after="0"/>
              <w:rPr>
                <w:sz w:val="20"/>
                <w:szCs w:val="20"/>
                <w:color w:val="auto"/>
              </w:rPr>
            </w:pPr>
            <w:r>
              <w:rPr>
                <w:rFonts w:ascii="Arial" w:cs="Arial" w:eastAsia="Arial" w:hAnsi="Arial"/>
                <w:sz w:val="22"/>
                <w:szCs w:val="22"/>
                <w:color w:val="auto"/>
              </w:rPr>
              <w:t>Press Release, dated December 1, 2017.</w:t>
            </w:r>
          </w:p>
        </w:tc>
      </w:tr>
      <w:tr>
        <w:trPr>
          <w:trHeight w:val="206"/>
        </w:trPr>
        <w:tc>
          <w:tcPr>
            <w:tcW w:w="11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560" w:type="dxa"/>
            <w:vAlign w:val="bottom"/>
            <w:tcBorders>
              <w:bottom w:val="single" w:sz="8" w:color="9A9A9A"/>
            </w:tcBorders>
          </w:tcPr>
          <w:p>
            <w:pPr>
              <w:spacing w:after="0"/>
              <w:rPr>
                <w:sz w:val="17"/>
                <w:szCs w:val="17"/>
                <w:color w:val="auto"/>
              </w:rPr>
            </w:pPr>
          </w:p>
        </w:tc>
      </w:tr>
      <w:tr>
        <w:trPr>
          <w:trHeight w:val="21"/>
        </w:trPr>
        <w:tc>
          <w:tcPr>
            <w:tcW w:w="1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December 1,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December 1, 2017.</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MIAMI--(BUSINESS WIRE)--December 1, 2017--World Fuel Services Corporation (NYSE:INT) announced today that its board of directors has declared a quarterly cash dividend of $0.06 per share payable on January 5, 2018 to shareholders of record on December 15, 2017.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2019-12-29T02:57:27Z</dcterms:created>
  <dcterms:modified xsi:type="dcterms:W3CDTF">2019-12-29T02:57:27Z</dcterms:modified>
</cp:coreProperties>
</file>