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September 6, 2018</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543"/>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October 12, 2018 to shareholders of record on September 21, 2018.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ind w:left="500"/>
              <w:spacing w:after="0"/>
              <w:rPr>
                <w:sz w:val="20"/>
                <w:szCs w:val="20"/>
                <w:color w:val="auto"/>
              </w:rPr>
            </w:pPr>
            <w:r>
              <w:rPr>
                <w:rFonts w:ascii="Arial" w:cs="Arial" w:eastAsia="Arial" w:hAnsi="Arial"/>
                <w:sz w:val="22"/>
                <w:szCs w:val="22"/>
                <w:color w:val="auto"/>
              </w:rPr>
              <w:t>(c)</w:t>
            </w:r>
          </w:p>
        </w:tc>
        <w:tc>
          <w:tcPr>
            <w:tcW w:w="1720" w:type="dxa"/>
            <w:vAlign w:val="bottom"/>
            <w:gridSpan w:val="3"/>
          </w:tcPr>
          <w:p>
            <w:pPr>
              <w:ind w:left="200"/>
              <w:spacing w:after="0"/>
              <w:rPr>
                <w:sz w:val="20"/>
                <w:szCs w:val="20"/>
                <w:color w:val="auto"/>
              </w:rPr>
            </w:pPr>
            <w:r>
              <w:rPr>
                <w:rFonts w:ascii="Arial" w:cs="Arial" w:eastAsia="Arial" w:hAnsi="Arial"/>
                <w:sz w:val="22"/>
                <w:szCs w:val="22"/>
                <w:color w:val="auto"/>
              </w:rPr>
              <w:t>Exhibits</w:t>
            </w:r>
          </w:p>
        </w:tc>
        <w:tc>
          <w:tcPr>
            <w:tcW w:w="10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436"/>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4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517"/>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60"/>
              <w:spacing w:after="0"/>
              <w:rPr>
                <w:sz w:val="20"/>
                <w:szCs w:val="20"/>
                <w:color w:val="auto"/>
              </w:rPr>
            </w:pPr>
            <w:r>
              <w:rPr>
                <w:rFonts w:ascii="Arial" w:cs="Arial" w:eastAsia="Arial" w:hAnsi="Arial"/>
                <w:sz w:val="22"/>
                <w:szCs w:val="22"/>
                <w:color w:val="auto"/>
              </w:rPr>
              <w:t>Press Release, dated September 6, 2018.</w:t>
            </w:r>
          </w:p>
        </w:tc>
      </w:tr>
      <w:tr>
        <w:trPr>
          <w:trHeight w:val="206"/>
        </w:trPr>
        <w:tc>
          <w:tcPr>
            <w:tcW w:w="9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September 6, 2018</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September 6, 2018.</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MIAMI--(BUSINESS WIRE)--September 6, 2018--World Fuel Services Corporation (NYSE:INT) announced today that its board of directors has declared a quarterly cash dividend of $0.06 per share payable on October 12, 2018 to shareholders of record on September 21, 2018.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 World Fuel Services sells fuel and delivers services to its clients at more than 8,000 locations in more than 200 countries and territories worldwide.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w:t>
      </w:r>
    </w:p>
    <w:p>
      <w:pPr>
        <w:spacing w:after="0" w:line="231" w:lineRule="auto"/>
        <w:rPr>
          <w:sz w:val="20"/>
          <w:szCs w:val="20"/>
          <w:color w:val="auto"/>
        </w:rPr>
      </w:pPr>
      <w:r>
        <w:rPr>
          <w:rFonts w:ascii="Arial" w:cs="Arial" w:eastAsia="Arial" w:hAnsi="Arial"/>
          <w:sz w:val="22"/>
          <w:szCs w:val="22"/>
          <w:color w:val="auto"/>
        </w:rPr>
        <w:t>Vice President,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2019-12-28T19:34:26Z</dcterms:created>
  <dcterms:modified xsi:type="dcterms:W3CDTF">2019-12-28T19:34:26Z</dcterms:modified>
</cp:coreProperties>
</file>