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290195</wp:posOffset>
            </wp:positionV>
            <wp:extent cx="149161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5, 2014</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4220" w:type="dxa"/>
            <w:vAlign w:val="bottom"/>
          </w:tcPr>
          <w:p>
            <w:pPr>
              <w:jc w:val="center"/>
              <w:ind w:right="2030"/>
              <w:spacing w:after="0"/>
              <w:rPr>
                <w:sz w:val="20"/>
                <w:szCs w:val="20"/>
                <w:color w:val="auto"/>
              </w:rPr>
            </w:pPr>
            <w:r>
              <w:rPr>
                <w:rFonts w:ascii="Arial" w:cs="Arial" w:eastAsia="Arial" w:hAnsi="Arial"/>
                <w:sz w:val="18"/>
                <w:szCs w:val="18"/>
                <w:b w:val="1"/>
                <w:bCs w:val="1"/>
                <w:color w:val="auto"/>
                <w:w w:val="96"/>
              </w:rPr>
              <w:t>Florida</w:t>
            </w:r>
          </w:p>
        </w:tc>
        <w:tc>
          <w:tcPr>
            <w:tcW w:w="25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3"/>
              </w:rPr>
              <w:t>(State or other jurisdiction of</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4220" w:type="dxa"/>
            <w:vAlign w:val="bottom"/>
          </w:tcPr>
          <w:p>
            <w:pPr>
              <w:jc w:val="center"/>
              <w:ind w:right="2030"/>
              <w:spacing w:after="0"/>
              <w:rPr>
                <w:sz w:val="20"/>
                <w:szCs w:val="20"/>
                <w:color w:val="auto"/>
              </w:rPr>
            </w:pPr>
            <w:r>
              <w:rPr>
                <w:rFonts w:ascii="Arial" w:cs="Arial" w:eastAsia="Arial" w:hAnsi="Arial"/>
                <w:sz w:val="18"/>
                <w:szCs w:val="18"/>
                <w:color w:val="auto"/>
                <w:w w:val="92"/>
              </w:rPr>
              <w:t>incorporation)</w:t>
            </w:r>
          </w:p>
        </w:tc>
        <w:tc>
          <w:tcPr>
            <w:tcW w:w="2560" w:type="dxa"/>
            <w:vAlign w:val="bottom"/>
          </w:tcPr>
          <w:p>
            <w:pPr>
              <w:jc w:val="center"/>
              <w:ind w:right="117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56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34"/>
        </w:trPr>
        <w:tc>
          <w:tcPr>
            <w:tcW w:w="4220" w:type="dxa"/>
            <w:vAlign w:val="bottom"/>
          </w:tcPr>
          <w:p>
            <w:pPr>
              <w:jc w:val="center"/>
              <w:ind w:left="1670"/>
              <w:spacing w:after="0"/>
              <w:rPr>
                <w:sz w:val="20"/>
                <w:szCs w:val="20"/>
                <w:color w:val="auto"/>
              </w:rPr>
            </w:pPr>
            <w:r>
              <w:rPr>
                <w:rFonts w:ascii="Arial" w:cs="Arial" w:eastAsia="Arial" w:hAnsi="Arial"/>
                <w:sz w:val="18"/>
                <w:szCs w:val="18"/>
                <w:b w:val="1"/>
                <w:bCs w:val="1"/>
                <w:color w:val="auto"/>
                <w:w w:val="97"/>
              </w:rPr>
              <w:t>Miami, Florida</w:t>
            </w:r>
          </w:p>
        </w:tc>
        <w:tc>
          <w:tcPr>
            <w:tcW w:w="2560" w:type="dxa"/>
            <w:vAlign w:val="bottom"/>
          </w:tcPr>
          <w:p>
            <w:pPr>
              <w:spacing w:after="0"/>
              <w:rPr>
                <w:sz w:val="20"/>
                <w:szCs w:val="20"/>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right="20" w:firstLine="540"/>
        <w:spacing w:after="0" w:line="279" w:lineRule="auto"/>
        <w:rPr>
          <w:sz w:val="20"/>
          <w:szCs w:val="20"/>
          <w:color w:val="auto"/>
        </w:rPr>
      </w:pPr>
      <w:r>
        <w:rPr>
          <w:rFonts w:ascii="Arial" w:cs="Arial" w:eastAsia="Arial" w:hAnsi="Arial"/>
          <w:sz w:val="19"/>
          <w:szCs w:val="19"/>
          <w:color w:val="auto"/>
        </w:rPr>
        <w:t>On February 5, 2014, World Fuel Services Corporation (NYSE:INT) (the “Company”) announced that Michael J. Kasbar, the Company’s president and chief executive officer and Ira M. Birns, World Fuel’s executive vice president and chief financial officer,</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1"/>
          <w:szCs w:val="21"/>
          <w:color w:val="auto"/>
        </w:rPr>
        <w:t>will present at the 29</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Annual BB&amp;T Capital Markets Transportation Conference at The Biltmore Hotel in Coral Gables, Florida on February 13, 2014 at 2:30PM Eastern Time. A copy of the press release is attached hereto as Exhibit 99.1.</w:t>
      </w:r>
    </w:p>
    <w:p>
      <w:pPr>
        <w:spacing w:after="0" w:line="186" w:lineRule="exact"/>
        <w:rPr>
          <w:sz w:val="20"/>
          <w:szCs w:val="20"/>
          <w:color w:val="auto"/>
        </w:rPr>
      </w:pPr>
    </w:p>
    <w:p>
      <w:pPr>
        <w:jc w:val="both"/>
        <w:ind w:firstLine="530"/>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40" w:type="dxa"/>
            <w:vAlign w:val="bottom"/>
          </w:tcPr>
          <w:p>
            <w:pPr>
              <w:ind w:left="500"/>
              <w:spacing w:after="0"/>
              <w:rPr>
                <w:sz w:val="20"/>
                <w:szCs w:val="20"/>
                <w:color w:val="auto"/>
              </w:rPr>
            </w:pPr>
            <w:r>
              <w:rPr>
                <w:rFonts w:ascii="Arial" w:cs="Arial" w:eastAsia="Arial" w:hAnsi="Arial"/>
                <w:sz w:val="22"/>
                <w:szCs w:val="22"/>
                <w:color w:val="auto"/>
              </w:rPr>
              <w:t>(d)</w:t>
            </w:r>
          </w:p>
        </w:tc>
        <w:tc>
          <w:tcPr>
            <w:tcW w:w="1700" w:type="dxa"/>
            <w:vAlign w:val="bottom"/>
            <w:gridSpan w:val="3"/>
          </w:tcPr>
          <w:p>
            <w:pPr>
              <w:jc w:val="right"/>
              <w:ind w:right="800"/>
              <w:spacing w:after="0"/>
              <w:rPr>
                <w:sz w:val="20"/>
                <w:szCs w:val="20"/>
                <w:color w:val="auto"/>
              </w:rPr>
            </w:pPr>
            <w:r>
              <w:rPr>
                <w:rFonts w:ascii="Arial" w:cs="Arial" w:eastAsia="Arial" w:hAnsi="Arial"/>
                <w:sz w:val="22"/>
                <w:szCs w:val="22"/>
                <w:color w:val="auto"/>
              </w:rPr>
              <w:t>Exhibits</w:t>
            </w:r>
          </w:p>
        </w:tc>
        <w:tc>
          <w:tcPr>
            <w:tcW w:w="10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409"/>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2"/>
                <w:szCs w:val="22"/>
                <w:color w:val="auto"/>
                <w:w w:val="93"/>
              </w:rPr>
              <w:t>Exhibit No.</w:t>
            </w:r>
          </w:p>
        </w:tc>
        <w:tc>
          <w:tcPr>
            <w:tcW w:w="48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90"/>
        </w:trPr>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212"/>
              <w:spacing w:after="0"/>
              <w:rPr>
                <w:sz w:val="20"/>
                <w:szCs w:val="20"/>
                <w:color w:val="auto"/>
              </w:rPr>
            </w:pPr>
            <w:r>
              <w:rPr>
                <w:rFonts w:ascii="Arial" w:cs="Arial" w:eastAsia="Arial" w:hAnsi="Arial"/>
                <w:sz w:val="22"/>
                <w:szCs w:val="22"/>
                <w:color w:val="auto"/>
              </w:rPr>
              <w:t>99.1</w:t>
            </w:r>
          </w:p>
        </w:tc>
        <w:tc>
          <w:tcPr>
            <w:tcW w:w="480" w:type="dxa"/>
            <w:vAlign w:val="bottom"/>
          </w:tcPr>
          <w:p>
            <w:pPr>
              <w:spacing w:after="0"/>
              <w:rPr>
                <w:sz w:val="24"/>
                <w:szCs w:val="24"/>
                <w:color w:val="auto"/>
              </w:rPr>
            </w:pPr>
          </w:p>
        </w:tc>
        <w:tc>
          <w:tcPr>
            <w:tcW w:w="8780" w:type="dxa"/>
            <w:vAlign w:val="bottom"/>
            <w:gridSpan w:val="2"/>
          </w:tcPr>
          <w:p>
            <w:pPr>
              <w:ind w:left="60"/>
              <w:spacing w:after="0"/>
              <w:rPr>
                <w:sz w:val="20"/>
                <w:szCs w:val="20"/>
                <w:color w:val="auto"/>
              </w:rPr>
            </w:pPr>
            <w:r>
              <w:rPr>
                <w:rFonts w:ascii="Arial" w:cs="Arial" w:eastAsia="Arial" w:hAnsi="Arial"/>
                <w:sz w:val="22"/>
                <w:szCs w:val="22"/>
                <w:color w:val="auto"/>
              </w:rPr>
              <w:t>Press Release, dated February 5, 2014.</w:t>
            </w:r>
          </w:p>
        </w:tc>
      </w:tr>
      <w:tr>
        <w:trPr>
          <w:trHeight w:val="206"/>
        </w:trPr>
        <w:tc>
          <w:tcPr>
            <w:tcW w:w="9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780" w:type="dxa"/>
            <w:vAlign w:val="bottom"/>
            <w:tcBorders>
              <w:bottom w:val="single" w:sz="8" w:color="9A9A9A"/>
            </w:tcBorders>
          </w:tcPr>
          <w:p>
            <w:pPr>
              <w:spacing w:after="0"/>
              <w:rPr>
                <w:sz w:val="17"/>
                <w:szCs w:val="17"/>
                <w:color w:val="auto"/>
              </w:rPr>
            </w:pPr>
          </w:p>
        </w:tc>
      </w:tr>
      <w:tr>
        <w:trPr>
          <w:trHeight w:val="21"/>
        </w:trPr>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5, 2014</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525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5, 2014.</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Fuel Services Corporation to Present at 29</w:t>
      </w:r>
      <w:r>
        <w:rPr>
          <w:rFonts w:ascii="Arial" w:cs="Arial" w:eastAsia="Arial" w:hAnsi="Arial"/>
          <w:sz w:val="42"/>
          <w:szCs w:val="42"/>
          <w:b w:val="1"/>
          <w:bCs w:val="1"/>
          <w:color w:val="auto"/>
          <w:vertAlign w:val="superscript"/>
        </w:rPr>
        <w:t>th</w:t>
      </w:r>
      <w:r>
        <w:rPr>
          <w:rFonts w:ascii="Arial" w:cs="Arial" w:eastAsia="Arial" w:hAnsi="Arial"/>
          <w:sz w:val="21"/>
          <w:szCs w:val="21"/>
          <w:b w:val="1"/>
          <w:bCs w:val="1"/>
          <w:color w:val="auto"/>
        </w:rPr>
        <w:t xml:space="preserve"> Annual BB&amp;T Capital Markets Transportation Conference</w:t>
      </w:r>
    </w:p>
    <w:p>
      <w:pPr>
        <w:spacing w:after="0" w:line="81" w:lineRule="exact"/>
        <w:rPr>
          <w:sz w:val="20"/>
          <w:szCs w:val="20"/>
          <w:color w:val="auto"/>
        </w:rPr>
      </w:pPr>
    </w:p>
    <w:p>
      <w:pPr>
        <w:ind w:right="680"/>
        <w:spacing w:after="0" w:line="269" w:lineRule="auto"/>
        <w:rPr>
          <w:sz w:val="20"/>
          <w:szCs w:val="20"/>
          <w:color w:val="auto"/>
        </w:rPr>
      </w:pPr>
      <w:r>
        <w:rPr>
          <w:rFonts w:ascii="Arial" w:cs="Arial" w:eastAsia="Arial" w:hAnsi="Arial"/>
          <w:sz w:val="19"/>
          <w:szCs w:val="19"/>
          <w:color w:val="auto"/>
        </w:rPr>
        <w:t>MIAMI--(BUSINESS WIRE)--February 5, 2014--World Fuel Services Corporation (NYSE:INT) announced that Michael J. Kasbar, World Fuel’s president and chief executive officer and Ira M. Birns, World Fuel’s executive vice president and chief</w:t>
      </w:r>
    </w:p>
    <w:p>
      <w:pPr>
        <w:spacing w:after="0" w:line="2" w:lineRule="exact"/>
        <w:rPr>
          <w:sz w:val="20"/>
          <w:szCs w:val="20"/>
          <w:color w:val="auto"/>
        </w:rPr>
      </w:pPr>
    </w:p>
    <w:p>
      <w:pPr>
        <w:ind w:right="120"/>
        <w:spacing w:after="0" w:line="197" w:lineRule="auto"/>
        <w:rPr>
          <w:sz w:val="20"/>
          <w:szCs w:val="20"/>
          <w:color w:val="auto"/>
        </w:rPr>
      </w:pPr>
      <w:r>
        <w:rPr>
          <w:rFonts w:ascii="Arial" w:cs="Arial" w:eastAsia="Arial" w:hAnsi="Arial"/>
          <w:sz w:val="22"/>
          <w:szCs w:val="22"/>
          <w:color w:val="auto"/>
        </w:rPr>
        <w:t>financial officer, will present at the 29</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Annual BB&amp;T Capital Markets Transportation Conference at The Biltmore Hotel in Coral Gables, Florida on February 13, 2014 at 2:30PM Eastern Time.</w:t>
      </w:r>
    </w:p>
    <w:p>
      <w:pPr>
        <w:spacing w:after="0" w:line="186"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 xml:space="preserve">The presentation will be available via webcast. To access the live webcast, visit </w:t>
      </w:r>
      <w:r>
        <w:rPr>
          <w:rFonts w:ascii="Arial" w:cs="Arial" w:eastAsia="Arial" w:hAnsi="Arial"/>
          <w:sz w:val="19"/>
          <w:szCs w:val="19"/>
          <w:u w:val="single" w:color="auto"/>
          <w:color w:val="auto"/>
        </w:rPr>
        <w:t>http://ir.wfscorp.com</w:t>
      </w:r>
      <w:r>
        <w:rPr>
          <w:rFonts w:ascii="Arial" w:cs="Arial" w:eastAsia="Arial" w:hAnsi="Arial"/>
          <w:sz w:val="19"/>
          <w:szCs w:val="19"/>
          <w:color w:val="auto"/>
        </w:rPr>
        <w:t>, where you can also view additional investor information. The webcast will remain available for two weeks following the presentation date.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2019-12-05T22:22:16Z</dcterms:created>
  <dcterms:modified xsi:type="dcterms:W3CDTF">2019-12-05T22:22:16Z</dcterms:modified>
</cp:coreProperties>
</file>