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2740" w:right="160" w:hanging="2417"/>
        <w:spacing w:after="0" w:line="414" w:lineRule="auto"/>
        <w:tabs>
          <w:tab w:leader="none" w:pos="74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29" w:lineRule="exact"/>
        <w:rPr>
          <w:sz w:val="24"/>
          <w:szCs w:val="24"/>
          <w:color w:val="auto"/>
        </w:rPr>
      </w:pPr>
    </w:p>
    <w:p>
      <w:pPr>
        <w:ind w:left="720" w:hanging="397"/>
        <w:spacing w:after="0"/>
        <w:tabs>
          <w:tab w:leader="none" w:pos="7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2260"/>
        <w:spacing w:after="0"/>
        <w:tabs>
          <w:tab w:leader="none" w:pos="6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2489200</wp:posOffset>
            </wp:positionH>
            <wp:positionV relativeFrom="paragraph">
              <wp:posOffset>85725</wp:posOffset>
            </wp:positionV>
            <wp:extent cx="1414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6"/>
              </w:rPr>
              <w:t>Florida</w:t>
            </w:r>
          </w:p>
        </w:tc>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(State or other jurisdiction of</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3"/>
              </w:rPr>
              <w:t>(I.R.S. Employer</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incorporation or organization)</w:t>
            </w:r>
          </w:p>
        </w:tc>
        <w:tc>
          <w:tcPr>
            <w:tcW w:w="2820" w:type="dxa"/>
            <w:vAlign w:val="bottom"/>
          </w:tcPr>
          <w:p>
            <w:pPr>
              <w:jc w:val="center"/>
              <w:ind w:left="1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9800 N.W. 41</w:t>
            </w:r>
            <w:r>
              <w:rPr>
                <w:rFonts w:ascii="Arial" w:cs="Arial" w:eastAsia="Arial" w:hAnsi="Arial"/>
                <w:sz w:val="11"/>
                <w:szCs w:val="11"/>
                <w:b w:val="1"/>
                <w:bCs w:val="1"/>
                <w:color w:val="auto"/>
                <w:w w:val="90"/>
              </w:rPr>
              <w:t>st</w:t>
            </w:r>
            <w:r>
              <w:rPr>
                <w:rFonts w:ascii="Arial" w:cs="Arial" w:eastAsia="Arial" w:hAnsi="Arial"/>
                <w:sz w:val="18"/>
                <w:szCs w:val="18"/>
                <w:b w:val="1"/>
                <w:bCs w:val="1"/>
                <w:color w:val="auto"/>
                <w:w w:val="90"/>
              </w:rPr>
              <w:t xml:space="preserve"> Street</w:t>
            </w:r>
          </w:p>
        </w:tc>
        <w:tc>
          <w:tcPr>
            <w:tcW w:w="2820" w:type="dxa"/>
            <w:vAlign w:val="bottom"/>
          </w:tcPr>
          <w:p>
            <w:pPr>
              <w:spacing w:after="0"/>
              <w:rPr>
                <w:sz w:val="24"/>
                <w:szCs w:val="24"/>
                <w:color w:val="auto"/>
              </w:rPr>
            </w:pPr>
          </w:p>
        </w:tc>
      </w:t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7"/>
              </w:rPr>
              <w:t>Miami, Florida</w:t>
            </w:r>
          </w:p>
        </w:tc>
        <w:tc>
          <w:tcPr>
            <w:tcW w:w="282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62"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p>
    <w:p>
      <w:pPr>
        <w:spacing w:after="0" w:line="82" w:lineRule="exact"/>
        <w:rPr>
          <w:sz w:val="24"/>
          <w:szCs w:val="24"/>
          <w:color w:val="auto"/>
        </w:rPr>
      </w:pPr>
    </w:p>
    <w:p>
      <w:pPr>
        <w:ind w:left="3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registrant had a total of 70,446,000 shares of common stock, par value $0.01 per share, issued and outstanding as of July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140970</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449580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33"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Financial Information</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2016 and December 31, 2015</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Six Months</w:t>
              </w:r>
            </w:hyperlink>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2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2016 and 2015</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Shareholders’ Equity for the Six Months ended June 30, 2016 and</w:t>
              </w:r>
            </w:hyperlink>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2016 and 2015</w:t>
              </w:r>
            </w:hyperlink>
          </w:p>
        </w:tc>
        <w:tc>
          <w:tcPr>
            <w:tcW w:w="30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Consolidated Financial Statements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816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90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220" w:type="dxa"/>
            <w:vAlign w:val="bottom"/>
            <w:gridSpan w:val="2"/>
          </w:tcPr>
          <w:p>
            <w:pPr>
              <w:spacing w:after="0"/>
              <w:rPr>
                <w:sz w:val="24"/>
                <w:szCs w:val="24"/>
                <w:color w:val="auto"/>
              </w:rPr>
            </w:pPr>
          </w:p>
        </w:tc>
        <w:tc>
          <w:tcPr>
            <w:tcW w:w="680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36">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220" w:type="dxa"/>
            <w:vAlign w:val="bottom"/>
            <w:gridSpan w:val="2"/>
          </w:tcPr>
          <w:p>
            <w:pPr>
              <w:spacing w:after="0"/>
              <w:rPr>
                <w:sz w:val="24"/>
                <w:szCs w:val="24"/>
                <w:color w:val="auto"/>
              </w:rPr>
            </w:pPr>
          </w:p>
        </w:tc>
        <w:tc>
          <w:tcPr>
            <w:tcW w:w="4360" w:type="dxa"/>
            <w:vAlign w:val="bottom"/>
            <w:tcBorders>
              <w:top w:val="single" w:sz="8" w:color="0000EE"/>
            </w:tcBorders>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24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6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229"/>
        </w:trPr>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r>
      <w:tr>
        <w:trPr>
          <w:trHeight w:val="180"/>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6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737.2</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2,030.7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1,812.6</w:t>
            </w: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373.5</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w:t>
            </w: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46.0</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57.9</w:t>
            </w: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Short-term derivative assets, net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w:t>
            </w: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282.7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208.0</w:t>
            </w:r>
          </w:p>
        </w:tc>
      </w:tr>
      <w:tr>
        <w:trPr>
          <w:trHeight w:val="216"/>
        </w:trPr>
        <w:tc>
          <w:tcPr>
            <w:tcW w:w="6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Current 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68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3,514.8</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3,246.0</w:t>
            </w: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220.9</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672.2</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w:t>
            </w: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340.6</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341.4</w:t>
            </w:r>
          </w:p>
        </w:tc>
      </w:tr>
      <w:tr>
        <w:trPr>
          <w:trHeight w:val="216"/>
        </w:trPr>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Non-current 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17"/>
        </w:trPr>
        <w:tc>
          <w:tcPr>
            <w:tcW w:w="6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4,748.5</w:t>
            </w:r>
          </w:p>
        </w:tc>
        <w:tc>
          <w:tcPr>
            <w:tcW w:w="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4,525.3</w:t>
            </w: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Short-term debt</w:t>
            </w: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28.8</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1,520.1</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1,349.6</w:t>
            </w: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Customer deposits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102.3</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118.3</w:t>
            </w: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260.5</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r>
      <w:tr>
        <w:trPr>
          <w:trHeight w:val="216"/>
        </w:trPr>
        <w:tc>
          <w:tcPr>
            <w:tcW w:w="6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Current liabilities held for sale</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10"/>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1,911.7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1,754.2</w:t>
            </w: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767.7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w:t>
            </w: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Non-current income tax liabilities, net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93.1</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216"/>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Non-current liabilities held for sale</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17"/>
        </w:trPr>
        <w:tc>
          <w:tcPr>
            <w:tcW w:w="6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2,795.3</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2,619.4</w:t>
            </w: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color w:val="auto"/>
              </w:rPr>
              <w:t>World Fuel shareholders' equity: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$1.00 par value; 0.1 shares authorized, none issued</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800" w:type="dxa"/>
            <w:vAlign w:val="bottom"/>
          </w:tcPr>
          <w:p>
            <w:pPr>
              <w:ind w:left="100"/>
              <w:spacing w:after="0" w:line="130" w:lineRule="exact"/>
              <w:rPr>
                <w:sz w:val="20"/>
                <w:szCs w:val="20"/>
                <w:color w:val="auto"/>
              </w:rPr>
            </w:pPr>
            <w:r>
              <w:rPr>
                <w:rFonts w:ascii="Arial" w:cs="Arial" w:eastAsia="Arial" w:hAnsi="Arial"/>
                <w:sz w:val="14"/>
                <w:szCs w:val="14"/>
                <w:color w:val="auto"/>
                <w:w w:val="93"/>
              </w:rPr>
              <w:t>Common stock, $0.01 par value; 100 shares authorized, 70.4 and 70.8 issued and outstanding as of June 30, 2016</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6800" w:type="dxa"/>
            <w:vAlign w:val="bottom"/>
          </w:tcPr>
          <w:p>
            <w:pPr>
              <w:ind w:left="100"/>
              <w:spacing w:after="0"/>
              <w:rPr>
                <w:sz w:val="20"/>
                <w:szCs w:val="20"/>
                <w:color w:val="auto"/>
              </w:rPr>
            </w:pPr>
            <w:r>
              <w:rPr>
                <w:rFonts w:ascii="Arial" w:cs="Arial" w:eastAsia="Arial" w:hAnsi="Arial"/>
                <w:sz w:val="14"/>
                <w:szCs w:val="14"/>
                <w:color w:val="auto"/>
              </w:rPr>
              <w:t>and December 31, 2015, respectively</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4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6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in excess of par value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411.0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w:t>
            </w:r>
          </w:p>
        </w:tc>
      </w:tr>
      <w:tr>
        <w:trPr>
          <w:trHeight w:val="216"/>
        </w:trPr>
        <w:tc>
          <w:tcPr>
            <w:tcW w:w="6800" w:type="dxa"/>
            <w:vAlign w:val="bottom"/>
          </w:tcPr>
          <w:p>
            <w:pPr>
              <w:ind w:left="10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1,642.7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1,569.4</w:t>
            </w:r>
          </w:p>
        </w:tc>
      </w:tr>
      <w:tr>
        <w:trPr>
          <w:trHeight w:val="216"/>
        </w:trPr>
        <w:tc>
          <w:tcPr>
            <w:tcW w:w="6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(118.6)</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10"/>
        </w:trPr>
        <w:tc>
          <w:tcPr>
            <w:tcW w:w="6800" w:type="dxa"/>
            <w:vAlign w:val="bottom"/>
          </w:tcPr>
          <w:p>
            <w:pPr>
              <w:ind w:left="220"/>
              <w:spacing w:after="0"/>
              <w:rPr>
                <w:sz w:val="20"/>
                <w:szCs w:val="20"/>
                <w:color w:val="auto"/>
              </w:rPr>
            </w:pPr>
            <w:r>
              <w:rPr>
                <w:rFonts w:ascii="Arial" w:cs="Arial" w:eastAsia="Arial" w:hAnsi="Arial"/>
                <w:sz w:val="14"/>
                <w:szCs w:val="14"/>
                <w:color w:val="auto"/>
              </w:rPr>
              <w:t>Total World Fuel shareholders' equity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1,935.8</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1,895.9</w:t>
            </w:r>
          </w:p>
        </w:tc>
      </w:tr>
      <w:tr>
        <w:trPr>
          <w:trHeight w:val="216"/>
        </w:trPr>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Noncontrolling interest equity</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6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1,953.3</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1,905.9</w:t>
            </w:r>
          </w:p>
        </w:tc>
      </w:tr>
      <w:tr>
        <w:trPr>
          <w:trHeight w:val="217"/>
        </w:trPr>
        <w:tc>
          <w:tcPr>
            <w:tcW w:w="6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equity</w:t>
            </w:r>
          </w:p>
        </w:tc>
        <w:tc>
          <w:tcPr>
            <w:tcW w:w="6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4,748.6</w:t>
            </w:r>
          </w:p>
        </w:tc>
        <w:tc>
          <w:tcPr>
            <w:tcW w:w="4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ectPr>
          <w:pgSz w:w="11900" w:h="16838" w:orient="portrait"/>
          <w:cols w:equalWidth="0" w:num="1">
            <w:col w:w="10060"/>
          </w:cols>
          <w:pgMar w:left="920" w:top="125" w:right="919" w:bottom="1440" w:gutter="0" w:footer="0" w:header="0"/>
        </w:sectPr>
      </w:pPr>
    </w:p>
    <w:p>
      <w:pPr>
        <w:spacing w:after="0" w:line="284" w:lineRule="exact"/>
        <w:rPr>
          <w:sz w:val="20"/>
          <w:szCs w:val="20"/>
          <w:color w:val="auto"/>
        </w:rPr>
      </w:pPr>
    </w:p>
    <w:p>
      <w:pPr>
        <w:jc w:val="right"/>
        <w:ind w:right="480"/>
        <w:spacing w:after="0"/>
        <w:rPr>
          <w:sz w:val="20"/>
          <w:szCs w:val="20"/>
          <w:color w:val="auto"/>
        </w:rPr>
      </w:pPr>
      <w:r>
        <w:rPr>
          <w:rFonts w:ascii="Arial" w:cs="Arial" w:eastAsia="Arial" w:hAnsi="Arial"/>
          <w:sz w:val="13"/>
          <w:szCs w:val="13"/>
          <w:b w:val="1"/>
          <w:bCs w:val="1"/>
          <w:color w:val="auto"/>
        </w:rPr>
        <w:t>For the Three Months ended</w:t>
      </w:r>
    </w:p>
    <w:p>
      <w:pPr>
        <w:spacing w:after="0" w:line="67"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6350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5420"/>
        <w:spacing w:after="0"/>
        <w:tabs>
          <w:tab w:leader="none" w:pos="684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left="60" w:right="60"/>
        <w:spacing w:after="0" w:line="293" w:lineRule="auto"/>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-3175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37" w:lineRule="exact"/>
        <w:rPr>
          <w:sz w:val="20"/>
          <w:szCs w:val="20"/>
          <w:color w:val="auto"/>
        </w:rPr>
      </w:pPr>
    </w:p>
    <w:p>
      <w:pPr>
        <w:sectPr>
          <w:pgSz w:w="11900" w:h="16838" w:orient="portrait"/>
          <w:cols w:equalWidth="0" w:num="2">
            <w:col w:w="7640" w:space="720"/>
            <w:col w:w="1700"/>
          </w:cols>
          <w:pgMar w:left="920" w:top="125" w:right="9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90"/>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6,633.0</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8,496.4</w:t>
            </w: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11,823.9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revenue</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6,414.5</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8,306.0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11,383.9</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15,433.1</w:t>
            </w:r>
          </w:p>
        </w:tc>
      </w:tr>
      <w:tr>
        <w:trPr>
          <w:trHeight w:val="210"/>
        </w:trPr>
        <w:tc>
          <w:tcPr>
            <w:tcW w:w="4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218.5</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Operating expenses: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employee benefits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103.7</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216"/>
        </w:trPr>
        <w:tc>
          <w:tcPr>
            <w:tcW w:w="4500" w:type="dxa"/>
            <w:vAlign w:val="bottom"/>
          </w:tcPr>
          <w:p>
            <w:pPr>
              <w:ind w:left="100"/>
              <w:spacing w:after="0"/>
              <w:rPr>
                <w:sz w:val="20"/>
                <w:szCs w:val="20"/>
                <w:color w:val="auto"/>
              </w:rPr>
            </w:pPr>
            <w:r>
              <w:rPr>
                <w:rFonts w:ascii="Arial" w:cs="Arial" w:eastAsia="Arial" w:hAnsi="Arial"/>
                <w:sz w:val="14"/>
                <w:szCs w:val="14"/>
                <w:color w:val="auto"/>
              </w:rPr>
              <w:t>Provision for bad debt</w:t>
            </w:r>
          </w:p>
        </w:tc>
        <w:tc>
          <w:tcPr>
            <w:tcW w:w="48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6"/>
        </w:trPr>
        <w:tc>
          <w:tcPr>
            <w:tcW w:w="4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66.8</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r>
      <w:tr>
        <w:trPr>
          <w:trHeight w:val="210"/>
        </w:trPr>
        <w:tc>
          <w:tcPr>
            <w:tcW w:w="4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173.0</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333.4</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w:t>
            </w:r>
          </w:p>
        </w:tc>
      </w:tr>
      <w:tr>
        <w:trPr>
          <w:trHeight w:val="210"/>
        </w:trPr>
        <w:tc>
          <w:tcPr>
            <w:tcW w:w="4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45.6</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 and other financing costs, net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16"/>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(expense) income, net</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0"/>
        </w:trPr>
        <w:tc>
          <w:tcPr>
            <w:tcW w:w="4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48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36.9</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94.2</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48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17"/>
        </w:trPr>
        <w:tc>
          <w:tcPr>
            <w:tcW w:w="450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30.0</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30.5</w:t>
            </w:r>
          </w:p>
        </w:tc>
        <w:tc>
          <w:tcPr>
            <w:tcW w:w="180" w:type="dxa"/>
            <w:vAlign w:val="bottom"/>
          </w:tcPr>
          <w:p>
            <w:pPr>
              <w:spacing w:after="0"/>
              <w:rPr>
                <w:sz w:val="18"/>
                <w:szCs w:val="18"/>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81.6</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80.9</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0.43</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0.43</w:t>
            </w:r>
          </w:p>
        </w:tc>
        <w:tc>
          <w:tcPr>
            <w:tcW w:w="180" w:type="dxa"/>
            <w:vAlign w:val="bottom"/>
          </w:tcPr>
          <w:p>
            <w:pPr>
              <w:spacing w:after="0"/>
              <w:rPr>
                <w:sz w:val="19"/>
                <w:szCs w:val="19"/>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weighted average common shares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r>
      <w:tr>
        <w:trPr>
          <w:trHeight w:val="216"/>
        </w:trPr>
        <w:tc>
          <w:tcPr>
            <w:tcW w:w="4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0.43</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0.43</w:t>
            </w:r>
          </w:p>
        </w:tc>
        <w:tc>
          <w:tcPr>
            <w:tcW w:w="180" w:type="dxa"/>
            <w:vAlign w:val="bottom"/>
          </w:tcPr>
          <w:p>
            <w:pPr>
              <w:spacing w:after="0"/>
              <w:rPr>
                <w:sz w:val="19"/>
                <w:szCs w:val="19"/>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weighted average common shares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70.0</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r>
      <w:tr>
        <w:trPr>
          <w:trHeight w:val="216"/>
        </w:trPr>
        <w:tc>
          <w:tcPr>
            <w:tcW w:w="4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Net income including noncontrolling interest</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r>
      <w:tr>
        <w:trPr>
          <w:trHeight w:val="216"/>
        </w:trPr>
        <w:tc>
          <w:tcPr>
            <w:tcW w:w="450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30"/>
        </w:trPr>
        <w:tc>
          <w:tcPr>
            <w:tcW w:w="4500" w:type="dxa"/>
            <w:vAlign w:val="bottom"/>
          </w:tcPr>
          <w:p>
            <w:pPr>
              <w:ind w:left="100"/>
              <w:spacing w:after="0" w:line="130" w:lineRule="exact"/>
              <w:rPr>
                <w:sz w:val="20"/>
                <w:szCs w:val="20"/>
                <w:color w:val="auto"/>
              </w:rPr>
            </w:pPr>
            <w:r>
              <w:rPr>
                <w:rFonts w:ascii="Arial" w:cs="Arial" w:eastAsia="Arial" w:hAnsi="Arial"/>
                <w:sz w:val="14"/>
                <w:szCs w:val="14"/>
                <w:color w:val="auto"/>
                <w:w w:val="95"/>
              </w:rPr>
              <w:t>Derivative instruments, net of income tax expense of $3.3 and $3.4 for the</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4500" w:type="dxa"/>
            <w:vAlign w:val="bottom"/>
          </w:tcPr>
          <w:p>
            <w:pPr>
              <w:ind w:left="100"/>
              <w:spacing w:after="0"/>
              <w:rPr>
                <w:sz w:val="20"/>
                <w:szCs w:val="20"/>
                <w:color w:val="auto"/>
              </w:rPr>
            </w:pPr>
            <w:r>
              <w:rPr>
                <w:rFonts w:ascii="Arial" w:cs="Arial" w:eastAsia="Arial" w:hAnsi="Arial"/>
                <w:sz w:val="14"/>
                <w:szCs w:val="14"/>
                <w:color w:val="auto"/>
              </w:rPr>
              <w:t>three and six months ended June 30, 2016, respectively</w:t>
            </w:r>
          </w:p>
        </w:tc>
        <w:tc>
          <w:tcPr>
            <w:tcW w:w="4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5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comprehensive (loss) income</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Comprehensive income including noncontrolling interest</w:t>
            </w:r>
          </w:p>
        </w:tc>
        <w:tc>
          <w:tcPr>
            <w:tcW w:w="48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67.7</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Comprehensive (loss) income attributable to noncontrolling interest</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7"/>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Comprehensive income attributable to World Fuel</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7"/>
        </w:trPr>
        <w:tc>
          <w:tcPr>
            <w:tcW w:w="2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3"/>
                <w:szCs w:val="13"/>
                <w:b w:val="1"/>
                <w:bCs w:val="1"/>
                <w:color w:val="auto"/>
                <w:w w:val="99"/>
              </w:rPr>
              <w:t>Capital in</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5"/>
        </w:trPr>
        <w:tc>
          <w:tcPr>
            <w:tcW w:w="2980" w:type="dxa"/>
            <w:vAlign w:val="bottom"/>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6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94"/>
              </w:rPr>
              <w:t>Par Value</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rPr>
              <w:t>Earnings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rPr>
              <w:t>Equity</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2015</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435.3</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1,569.4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1,895.9</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1,905.9</w:t>
            </w:r>
          </w:p>
        </w:tc>
      </w:tr>
      <w:tr>
        <w:trPr>
          <w:trHeight w:val="216"/>
        </w:trPr>
        <w:tc>
          <w:tcPr>
            <w:tcW w:w="29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81.6</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81.6</w:t>
            </w:r>
          </w:p>
        </w:tc>
        <w:tc>
          <w:tcPr>
            <w:tcW w:w="32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w:t>
            </w:r>
          </w:p>
        </w:tc>
      </w:tr>
      <w:tr>
        <w:trPr>
          <w:trHeight w:val="216"/>
        </w:trPr>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16"/>
        </w:trPr>
        <w:tc>
          <w:tcPr>
            <w:tcW w:w="2980" w:type="dxa"/>
            <w:vAlign w:val="bottom"/>
          </w:tcPr>
          <w:p>
            <w:pPr>
              <w:ind w:left="100"/>
              <w:spacing w:after="0"/>
              <w:rPr>
                <w:sz w:val="20"/>
                <w:szCs w:val="20"/>
                <w:color w:val="auto"/>
              </w:rPr>
            </w:pPr>
            <w:r>
              <w:rPr>
                <w:rFonts w:ascii="Arial" w:cs="Arial" w:eastAsia="Arial" w:hAnsi="Arial"/>
                <w:sz w:val="14"/>
                <w:szCs w:val="14"/>
                <w:color w:val="auto"/>
              </w:rPr>
              <w:t>Distribution of noncontrolling interest</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30"/>
        </w:trPr>
        <w:tc>
          <w:tcPr>
            <w:tcW w:w="2980" w:type="dxa"/>
            <w:vAlign w:val="bottom"/>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7"/>
        </w:trPr>
        <w:tc>
          <w:tcPr>
            <w:tcW w:w="2980" w:type="dxa"/>
            <w:vAlign w:val="bottom"/>
          </w:tcPr>
          <w:p>
            <w:pPr>
              <w:ind w:left="100"/>
              <w:spacing w:after="0"/>
              <w:rPr>
                <w:sz w:val="20"/>
                <w:szCs w:val="20"/>
                <w:color w:val="auto"/>
              </w:rPr>
            </w:pPr>
            <w:r>
              <w:rPr>
                <w:rFonts w:ascii="Arial" w:cs="Arial" w:eastAsia="Arial" w:hAnsi="Arial"/>
                <w:sz w:val="14"/>
                <w:szCs w:val="14"/>
                <w:color w:val="auto"/>
              </w:rPr>
              <w:t>based payment awards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9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Purchases of common stock tendered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by employees to satisfy the required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withholding taxes related to share-based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awards</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16"/>
        </w:trPr>
        <w:tc>
          <w:tcPr>
            <w:tcW w:w="2980" w:type="dxa"/>
            <w:vAlign w:val="bottom"/>
          </w:tcPr>
          <w:p>
            <w:pPr>
              <w:ind w:left="100"/>
              <w:spacing w:after="0"/>
              <w:rPr>
                <w:sz w:val="20"/>
                <w:szCs w:val="20"/>
                <w:color w:val="auto"/>
              </w:rPr>
            </w:pPr>
            <w:r>
              <w:rPr>
                <w:rFonts w:ascii="Arial" w:cs="Arial" w:eastAsia="Arial" w:hAnsi="Arial"/>
                <w:sz w:val="14"/>
                <w:szCs w:val="14"/>
                <w:color w:val="auto"/>
              </w:rPr>
              <w:t>Purchases of common stock</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(18.4)</w:t>
            </w:r>
          </w:p>
        </w:tc>
        <w:tc>
          <w:tcPr>
            <w:tcW w:w="260" w:type="dxa"/>
            <w:vAlign w:val="bottom"/>
          </w:tcPr>
          <w:p>
            <w:pPr>
              <w:spacing w:after="0"/>
              <w:rPr>
                <w:sz w:val="18"/>
                <w:szCs w:val="18"/>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(18.4)</w:t>
            </w:r>
          </w:p>
        </w:tc>
        <w:tc>
          <w:tcPr>
            <w:tcW w:w="32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16"/>
        </w:trPr>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 of remaining 49% equity interest</w:t>
            </w:r>
            <w:r>
              <w:rPr>
                <w:rFonts w:ascii="Arial" w:cs="Arial" w:eastAsia="Arial" w:hAnsi="Arial"/>
                <w:sz w:val="14"/>
                <w:szCs w:val="14"/>
                <w:color w:val="auto"/>
                <w:vertAlign w:val="superscript"/>
              </w:rPr>
              <w:t>(a)</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16"/>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comprehensive (loss) income</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0.8</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217"/>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June 30, 2016</w:t>
            </w:r>
          </w:p>
        </w:tc>
        <w:tc>
          <w:tcPr>
            <w:tcW w:w="5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411.0</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1,642.7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1,935.8</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1,953.3</w:t>
            </w:r>
          </w:p>
        </w:tc>
      </w:tr>
    </w:tbl>
    <w:p>
      <w:pPr>
        <w:spacing w:after="0" w:line="49" w:lineRule="exact"/>
        <w:rPr>
          <w:sz w:val="20"/>
          <w:szCs w:val="20"/>
          <w:color w:val="auto"/>
        </w:rPr>
      </w:pPr>
    </w:p>
    <w:p>
      <w:pPr>
        <w:ind w:left="680" w:hanging="357"/>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Tobras. </w:t>
      </w:r>
      <w:r>
        <w:rPr>
          <w:rFonts w:ascii="Arial" w:cs="Arial" w:eastAsia="Arial" w:hAnsi="Arial"/>
          <w:sz w:val="14"/>
          <w:szCs w:val="14"/>
          <w:i w:val="1"/>
          <w:iCs w:val="1"/>
          <w:color w:val="auto"/>
        </w:rPr>
        <w:t>See Note 3. Acquisitions, Asset and Liabilities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4"/>
                <w:szCs w:val="14"/>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5"/>
              </w:rPr>
              <w:t>Capital in</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4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7"/>
                <w:szCs w:val="17"/>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94"/>
              </w:rPr>
              <w:t>Par Value</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rPr>
              <w:t>Earnings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1"/>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2014</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496.4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1,412.0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1,849.9</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1,859.4</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80.9</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8.1</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30"/>
        </w:trPr>
        <w:tc>
          <w:tcPr>
            <w:tcW w:w="2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based payment awards, including income tax</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 of $1.5</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Purchases of common stock tendered by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w w:val="99"/>
              </w:rPr>
              <w:t>taxes related to share-based payment awards</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32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common stock</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Other comprehensive (loss) income</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(13.1)</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16"/>
        </w:trPr>
        <w:tc>
          <w:tcPr>
            <w:tcW w:w="2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June 30, 2015</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468.9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1,484.4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1,881.7</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1,891.2</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00"/>
          </w:cols>
          <w:pgMar w:left="920" w:top="125" w:right="8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income including noncontrolling interest</w:t>
            </w:r>
          </w:p>
        </w:tc>
        <w:tc>
          <w:tcPr>
            <w:tcW w:w="98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r>
      <w:tr>
        <w:trPr>
          <w:trHeight w:val="123"/>
        </w:trPr>
        <w:tc>
          <w:tcPr>
            <w:tcW w:w="6360" w:type="dxa"/>
            <w:vAlign w:val="bottom"/>
            <w:shd w:val="clear" w:color="auto" w:fill="CCEEFF"/>
          </w:tcPr>
          <w:p>
            <w:pPr>
              <w:ind w:left="100"/>
              <w:spacing w:after="0" w:line="123" w:lineRule="exact"/>
              <w:rPr>
                <w:sz w:val="20"/>
                <w:szCs w:val="20"/>
                <w:color w:val="auto"/>
              </w:rPr>
            </w:pPr>
            <w:r>
              <w:rPr>
                <w:rFonts w:ascii="Arial" w:cs="Arial" w:eastAsia="Arial" w:hAnsi="Arial"/>
                <w:sz w:val="14"/>
                <w:szCs w:val="14"/>
                <w:color w:val="auto"/>
                <w:w w:val="98"/>
              </w:rPr>
              <w:t>Adjustments to reconcile net income including noncontrolling interest to net cash provided by operating</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67"/>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bad debt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16"/>
        </w:trPr>
        <w:tc>
          <w:tcPr>
            <w:tcW w:w="6360" w:type="dxa"/>
            <w:vAlign w:val="bottom"/>
          </w:tcPr>
          <w:p>
            <w:pPr>
              <w:ind w:left="220"/>
              <w:spacing w:after="0"/>
              <w:rPr>
                <w:sz w:val="20"/>
                <w:szCs w:val="20"/>
                <w:color w:val="auto"/>
              </w:rPr>
            </w:pPr>
            <w:r>
              <w:rPr>
                <w:rFonts w:ascii="Arial" w:cs="Arial" w:eastAsia="Arial" w:hAnsi="Arial"/>
                <w:sz w:val="14"/>
                <w:szCs w:val="14"/>
                <w:color w:val="auto"/>
              </w:rPr>
              <w:t>Gain on sale of held for sale assets and liabilities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payment award compensation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16"/>
        </w:trPr>
        <w:tc>
          <w:tcPr>
            <w:tcW w:w="6360" w:type="dxa"/>
            <w:vAlign w:val="bottom"/>
          </w:tcPr>
          <w:p>
            <w:pPr>
              <w:ind w:left="220"/>
              <w:spacing w:after="0"/>
              <w:rPr>
                <w:sz w:val="20"/>
                <w:szCs w:val="20"/>
                <w:color w:val="auto"/>
              </w:rPr>
            </w:pPr>
            <w:r>
              <w:rPr>
                <w:rFonts w:ascii="Arial" w:cs="Arial" w:eastAsia="Arial" w:hAnsi="Arial"/>
                <w:sz w:val="14"/>
                <w:szCs w:val="14"/>
                <w:color w:val="auto"/>
              </w:rPr>
              <w:t>Deferred income tax provision (benefit)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16"/>
        </w:trPr>
        <w:tc>
          <w:tcPr>
            <w:tcW w:w="6360" w:type="dxa"/>
            <w:vAlign w:val="bottom"/>
          </w:tcPr>
          <w:p>
            <w:pPr>
              <w:ind w:left="220"/>
              <w:spacing w:after="0"/>
              <w:rPr>
                <w:sz w:val="20"/>
                <w:szCs w:val="20"/>
                <w:color w:val="auto"/>
              </w:rPr>
            </w:pPr>
            <w:r>
              <w:rPr>
                <w:rFonts w:ascii="Arial" w:cs="Arial" w:eastAsia="Arial" w:hAnsi="Arial"/>
                <w:sz w:val="14"/>
                <w:szCs w:val="14"/>
                <w:color w:val="auto"/>
              </w:rPr>
              <w:t>Foreign currency losses, net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Changes in assets and liabilities, net of acquisitions: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16"/>
        </w:trPr>
        <w:tc>
          <w:tcPr>
            <w:tcW w:w="6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Short-term derivative assets, net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174.6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165.5</w:t>
            </w:r>
          </w:p>
        </w:tc>
      </w:tr>
      <w:tr>
        <w:trPr>
          <w:trHeight w:val="216"/>
        </w:trPr>
        <w:tc>
          <w:tcPr>
            <w:tcW w:w="6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Cash collateral with financial counterparties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149.2</w:t>
            </w:r>
          </w:p>
        </w:tc>
      </w:tr>
      <w:tr>
        <w:trPr>
          <w:trHeight w:val="216"/>
        </w:trPr>
        <w:tc>
          <w:tcPr>
            <w:tcW w:w="6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216"/>
        </w:trPr>
        <w:tc>
          <w:tcPr>
            <w:tcW w:w="6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Customer deposits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216"/>
        </w:trPr>
        <w:tc>
          <w:tcPr>
            <w:tcW w:w="6360" w:type="dxa"/>
            <w:vAlign w:val="bottom"/>
          </w:tcPr>
          <w:p>
            <w:pPr>
              <w:ind w:left="32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216"/>
        </w:trPr>
        <w:tc>
          <w:tcPr>
            <w:tcW w:w="6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Non-current income tax, net and 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10"/>
        </w:trPr>
        <w:tc>
          <w:tcPr>
            <w:tcW w:w="6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adjustments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r>
      <w:tr>
        <w:trPr>
          <w:trHeight w:val="210"/>
        </w:trPr>
        <w:tc>
          <w:tcPr>
            <w:tcW w:w="6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w:t>
            </w:r>
          </w:p>
        </w:tc>
      </w:tr>
      <w:tr>
        <w:trPr>
          <w:trHeight w:val="210"/>
        </w:trPr>
        <w:tc>
          <w:tcPr>
            <w:tcW w:w="63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16"/>
        </w:trPr>
        <w:tc>
          <w:tcPr>
            <w:tcW w:w="6360" w:type="dxa"/>
            <w:vAlign w:val="bottom"/>
          </w:tcPr>
          <w:p>
            <w:pPr>
              <w:ind w:left="100"/>
              <w:spacing w:after="0"/>
              <w:rPr>
                <w:sz w:val="20"/>
                <w:szCs w:val="20"/>
                <w:color w:val="auto"/>
              </w:rPr>
            </w:pPr>
            <w:r>
              <w:rPr>
                <w:rFonts w:ascii="Arial" w:cs="Arial" w:eastAsia="Arial" w:hAnsi="Arial"/>
                <w:sz w:val="14"/>
                <w:szCs w:val="14"/>
                <w:color w:val="auto"/>
              </w:rPr>
              <w:t>Proceeds from sale of business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216"/>
        </w:trPr>
        <w:tc>
          <w:tcPr>
            <w:tcW w:w="6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investing activities, net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10"/>
        </w:trPr>
        <w:tc>
          <w:tcPr>
            <w:tcW w:w="6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210"/>
        </w:trPr>
        <w:tc>
          <w:tcPr>
            <w:tcW w:w="63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Borrowings of debt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2,601.0</w:t>
            </w:r>
          </w:p>
        </w:tc>
      </w:tr>
      <w:tr>
        <w:trPr>
          <w:trHeight w:val="216"/>
        </w:trPr>
        <w:tc>
          <w:tcPr>
            <w:tcW w:w="6360" w:type="dxa"/>
            <w:vAlign w:val="bottom"/>
          </w:tcPr>
          <w:p>
            <w:pPr>
              <w:ind w:left="100"/>
              <w:spacing w:after="0"/>
              <w:rPr>
                <w:sz w:val="20"/>
                <w:szCs w:val="20"/>
                <w:color w:val="auto"/>
              </w:rPr>
            </w:pPr>
            <w:r>
              <w:rPr>
                <w:rFonts w:ascii="Arial" w:cs="Arial" w:eastAsia="Arial" w:hAnsi="Arial"/>
                <w:sz w:val="14"/>
                <w:szCs w:val="14"/>
                <w:color w:val="auto"/>
              </w:rPr>
              <w:t>Repayments of debt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(1,557.3)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(2,520.5)</w:t>
            </w: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16"/>
        </w:trPr>
        <w:tc>
          <w:tcPr>
            <w:tcW w:w="6360" w:type="dxa"/>
            <w:vAlign w:val="bottom"/>
          </w:tcPr>
          <w:p>
            <w:pPr>
              <w:ind w:left="100"/>
              <w:spacing w:after="0"/>
              <w:rPr>
                <w:sz w:val="20"/>
                <w:szCs w:val="20"/>
                <w:color w:val="auto"/>
              </w:rPr>
            </w:pPr>
            <w:r>
              <w:rPr>
                <w:rFonts w:ascii="Arial" w:cs="Arial" w:eastAsia="Arial" w:hAnsi="Arial"/>
                <w:sz w:val="14"/>
                <w:szCs w:val="14"/>
                <w:color w:val="auto"/>
              </w:rPr>
              <w:t>Dividends paid on common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common stock</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30"/>
        </w:trPr>
        <w:tc>
          <w:tcPr>
            <w:tcW w:w="6360" w:type="dxa"/>
            <w:vAlign w:val="bottom"/>
          </w:tcPr>
          <w:p>
            <w:pPr>
              <w:ind w:left="100"/>
              <w:spacing w:after="0" w:line="130" w:lineRule="exact"/>
              <w:rPr>
                <w:sz w:val="20"/>
                <w:szCs w:val="20"/>
                <w:color w:val="auto"/>
              </w:rPr>
            </w:pPr>
            <w:r>
              <w:rPr>
                <w:rFonts w:ascii="Arial" w:cs="Arial" w:eastAsia="Arial" w:hAnsi="Arial"/>
                <w:sz w:val="14"/>
                <w:szCs w:val="14"/>
                <w:color w:val="auto"/>
                <w:w w:val="94"/>
              </w:rPr>
              <w:t>Federal and state tax benefits resulting from tax deductions in excess of the compensation cost recognized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6360" w:type="dxa"/>
            <w:vAlign w:val="bottom"/>
          </w:tcPr>
          <w:p>
            <w:pPr>
              <w:ind w:left="100"/>
              <w:spacing w:after="0"/>
              <w:rPr>
                <w:sz w:val="20"/>
                <w:szCs w:val="20"/>
                <w:color w:val="auto"/>
              </w:rPr>
            </w:pPr>
            <w:r>
              <w:rPr>
                <w:rFonts w:ascii="Arial" w:cs="Arial" w:eastAsia="Arial" w:hAnsi="Arial"/>
                <w:sz w:val="14"/>
                <w:szCs w:val="14"/>
                <w:color w:val="auto"/>
              </w:rPr>
              <w:t>for share-based payment awards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30"/>
        </w:trPr>
        <w:tc>
          <w:tcPr>
            <w:tcW w:w="63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8"/>
              </w:rPr>
              <w:t>Purchases of common stock tendered by employees to satisfy the required withholding taxes related to</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payment awards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16"/>
        </w:trPr>
        <w:tc>
          <w:tcPr>
            <w:tcW w:w="6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financing activities, net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210"/>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r>
      <w:tr>
        <w:trPr>
          <w:trHeight w:val="216"/>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as of beginning of period</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582.5</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w:t>
            </w:r>
          </w:p>
        </w:tc>
      </w:tr>
      <w:tr>
        <w:trPr>
          <w:trHeight w:val="217"/>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and cash equivalents, as of end of period</w:t>
            </w:r>
          </w:p>
        </w:tc>
        <w:tc>
          <w:tcPr>
            <w:tcW w:w="980" w:type="dxa"/>
            <w:vAlign w:val="bottom"/>
            <w:tcBorders>
              <w:bottom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737.2</w:t>
            </w:r>
          </w:p>
        </w:tc>
        <w:tc>
          <w:tcPr>
            <w:tcW w:w="5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Cash dividends declared, but not yet paid, were $4.2 million as of </w:t>
      </w:r>
      <w:r>
        <w:rPr>
          <w:rFonts w:ascii="Arial" w:cs="Arial" w:eastAsia="Arial" w:hAnsi="Arial"/>
          <w:sz w:val="18"/>
          <w:szCs w:val="18"/>
          <w:color w:val="auto"/>
        </w:rPr>
        <w:t>June 30, 2016</w:t>
      </w:r>
      <w:r>
        <w:rPr>
          <w:rFonts w:ascii="Arial" w:cs="Arial" w:eastAsia="Arial" w:hAnsi="Arial"/>
          <w:sz w:val="17"/>
          <w:szCs w:val="17"/>
          <w:color w:val="auto"/>
        </w:rPr>
        <w:t xml:space="preserve"> and $4.2 million as of June 30, 2015.</w:t>
      </w:r>
    </w:p>
    <w:p>
      <w:pPr>
        <w:spacing w:after="0" w:line="208" w:lineRule="exact"/>
        <w:rPr>
          <w:sz w:val="20"/>
          <w:szCs w:val="20"/>
          <w:color w:val="auto"/>
        </w:rPr>
      </w:pPr>
    </w:p>
    <w:p>
      <w:pPr>
        <w:jc w:val="both"/>
        <w:ind w:right="160" w:firstLine="243"/>
        <w:spacing w:after="0" w:line="261" w:lineRule="auto"/>
        <w:rPr>
          <w:sz w:val="20"/>
          <w:szCs w:val="20"/>
          <w:color w:val="auto"/>
        </w:rPr>
      </w:pPr>
      <w:r>
        <w:rPr>
          <w:rFonts w:ascii="Arial" w:cs="Arial" w:eastAsia="Arial" w:hAnsi="Arial"/>
          <w:sz w:val="17"/>
          <w:szCs w:val="17"/>
          <w:color w:val="auto"/>
        </w:rPr>
        <w:t>Prior to the acquisition of the remaining 49% of the outstanding equity interest of Tobras Distribuidora de Combustiveis Limitada (“Tobras”) from the minority owners, the Company completed a $17.7 million non-cash settlement related to two promissory notes outstanding between the Company and Tobras which were offset and settled.</w:t>
      </w:r>
    </w:p>
    <w:p>
      <w:pPr>
        <w:spacing w:after="0" w:line="173" w:lineRule="exact"/>
        <w:rPr>
          <w:sz w:val="20"/>
          <w:szCs w:val="20"/>
          <w:color w:val="auto"/>
        </w:rPr>
      </w:pPr>
    </w:p>
    <w:p>
      <w:pPr>
        <w:ind w:right="980" w:firstLine="243"/>
        <w:spacing w:after="0" w:line="274" w:lineRule="auto"/>
        <w:rPr>
          <w:sz w:val="20"/>
          <w:szCs w:val="20"/>
          <w:color w:val="auto"/>
        </w:rPr>
      </w:pPr>
      <w:r>
        <w:rPr>
          <w:rFonts w:ascii="Arial" w:cs="Arial" w:eastAsia="Arial" w:hAnsi="Arial"/>
          <w:sz w:val="17"/>
          <w:szCs w:val="17"/>
          <w:color w:val="auto"/>
        </w:rPr>
        <w:t>The proceeds from the sale of fixed assets for the six months ended June 30, 2015 were in connection with a sale-leaseback arrangement.</w:t>
      </w:r>
    </w:p>
    <w:p>
      <w:pPr>
        <w:spacing w:after="0" w:line="161" w:lineRule="exact"/>
        <w:rPr>
          <w:sz w:val="20"/>
          <w:szCs w:val="20"/>
          <w:color w:val="auto"/>
        </w:rPr>
      </w:pPr>
    </w:p>
    <w:p>
      <w:pPr>
        <w:ind w:right="980" w:firstLine="252"/>
        <w:spacing w:after="0" w:line="274" w:lineRule="auto"/>
        <w:rPr>
          <w:sz w:val="20"/>
          <w:szCs w:val="20"/>
          <w:color w:val="auto"/>
        </w:rPr>
      </w:pPr>
      <w:r>
        <w:rPr>
          <w:rFonts w:ascii="Arial" w:cs="Arial" w:eastAsia="Arial" w:hAnsi="Arial"/>
          <w:sz w:val="17"/>
          <w:szCs w:val="17"/>
          <w:color w:val="auto"/>
        </w:rPr>
        <w:t>In connection with our acquisitions, the following table presents the assets acquired, net of cash and liabilities assumed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60" w:type="dxa"/>
            <w:vAlign w:val="bottom"/>
            <w:gridSpan w:val="2"/>
          </w:tcPr>
          <w:p>
            <w:pPr>
              <w:ind w:left="960"/>
              <w:spacing w:after="0"/>
              <w:rPr>
                <w:sz w:val="20"/>
                <w:szCs w:val="20"/>
                <w:color w:val="auto"/>
              </w:rPr>
            </w:pPr>
            <w:r>
              <w:rPr>
                <w:rFonts w:ascii="Arial" w:cs="Arial" w:eastAsia="Arial" w:hAnsi="Arial"/>
                <w:sz w:val="14"/>
                <w:szCs w:val="14"/>
                <w:b w:val="1"/>
                <w:bCs w:val="1"/>
                <w:color w:val="auto"/>
              </w:rPr>
              <w:t>For the Six Months ended</w:t>
            </w:r>
          </w:p>
        </w:tc>
      </w:tr>
      <w:tr>
        <w:trPr>
          <w:trHeight w:val="26"/>
        </w:trPr>
        <w:tc>
          <w:tcPr>
            <w:tcW w:w="3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CCEEFF"/>
            </w:tcBorders>
          </w:tcPr>
          <w:p>
            <w:pPr>
              <w:spacing w:after="0"/>
              <w:rPr>
                <w:sz w:val="16"/>
                <w:szCs w:val="16"/>
                <w:color w:val="auto"/>
              </w:rPr>
            </w:pP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Assets acquired, net of cash</w:t>
            </w:r>
          </w:p>
        </w:tc>
        <w:tc>
          <w:tcPr>
            <w:tcW w:w="332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spacing w:after="0"/>
              <w:rPr>
                <w:sz w:val="17"/>
                <w:szCs w:val="17"/>
                <w:color w:val="auto"/>
              </w:rPr>
            </w:pPr>
          </w:p>
        </w:tc>
      </w:tr>
      <w:tr>
        <w:trPr>
          <w:trHeight w:val="216"/>
        </w:trPr>
        <w:tc>
          <w:tcPr>
            <w:tcW w:w="38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Liabilities assumed</w:t>
            </w:r>
          </w:p>
        </w:tc>
        <w:tc>
          <w:tcPr>
            <w:tcW w:w="332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7"/>
                <w:szCs w:val="17"/>
                <w:color w:val="auto"/>
              </w:rPr>
            </w:pPr>
          </w:p>
        </w:tc>
      </w:tr>
      <w:tr>
        <w:trPr>
          <w:trHeight w:val="27"/>
        </w:trPr>
        <w:tc>
          <w:tcPr>
            <w:tcW w:w="38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300" w:lineRule="exact"/>
        <w:rPr>
          <w:sz w:val="20"/>
          <w:szCs w:val="20"/>
          <w:color w:val="auto"/>
        </w:rPr>
      </w:pPr>
    </w:p>
    <w:p>
      <w:pPr>
        <w:ind w:left="321" w:right="4920" w:hanging="321"/>
        <w:spacing w:after="0" w:line="438" w:lineRule="auto"/>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5"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73" w:lineRule="exact"/>
        <w:rPr>
          <w:sz w:val="20"/>
          <w:szCs w:val="20"/>
          <w:color w:val="auto"/>
        </w:rPr>
      </w:pPr>
    </w:p>
    <w:p>
      <w:pPr>
        <w:jc w:val="both"/>
        <w:ind w:left="1" w:firstLine="324"/>
        <w:spacing w:after="0" w:line="254"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As further discussed in Note 2, certain 2015 amounts contained in this 10-Q Report have been updated to reflect corrections to our previously issued financial statements. In the opinion of management, all adjustments necessary for a fair presentation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2015 Annual Report on Form 10-K (“2015 10-K Report”). Certain amounts in the consolidated financial statements and associated notes may not add due to rounding. All percentages have been calculated using unrounded amounts.</w:t>
      </w:r>
    </w:p>
    <w:p>
      <w:pPr>
        <w:spacing w:after="0" w:line="134"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Significant Accounting Policies</w:t>
      </w:r>
    </w:p>
    <w:p>
      <w:pPr>
        <w:spacing w:after="0" w:line="202" w:lineRule="exact"/>
        <w:rPr>
          <w:sz w:val="20"/>
          <w:szCs w:val="20"/>
          <w:color w:val="auto"/>
        </w:rPr>
      </w:pPr>
    </w:p>
    <w:p>
      <w:pPr>
        <w:jc w:val="both"/>
        <w:ind w:left="1" w:firstLine="324"/>
        <w:spacing w:after="0" w:line="224" w:lineRule="exact"/>
        <w:rPr>
          <w:sz w:val="20"/>
          <w:szCs w:val="20"/>
          <w:color w:val="auto"/>
        </w:rPr>
      </w:pPr>
      <w:r>
        <w:rPr>
          <w:rFonts w:ascii="Arial" w:cs="Arial" w:eastAsia="Arial" w:hAnsi="Arial"/>
          <w:sz w:val="16"/>
          <w:szCs w:val="16"/>
          <w:color w:val="auto"/>
        </w:rPr>
        <w:t>The significant accounting policies we use for quarterly financial reporting are disclosed in Note 1 of the “Notes to the Consolidated Financial Statements” included in our 2015 10</w:t>
      </w:r>
      <w:r>
        <w:rPr>
          <w:rFonts w:ascii="MS PGothic" w:cs="MS PGothic" w:eastAsia="MS PGothic" w:hAnsi="MS PGothic"/>
          <w:sz w:val="16"/>
          <w:szCs w:val="16"/>
          <w:color w:val="auto"/>
        </w:rPr>
        <w:t>‑</w:t>
      </w:r>
      <w:r>
        <w:rPr>
          <w:rFonts w:ascii="Arial" w:cs="Arial" w:eastAsia="Arial" w:hAnsi="Arial"/>
          <w:sz w:val="16"/>
          <w:szCs w:val="16"/>
          <w:color w:val="auto"/>
        </w:rPr>
        <w:t>K Report, and as updated in our 10-Q Report for the quarter ended March 31, 2016, “Item</w:t>
      </w:r>
    </w:p>
    <w:p>
      <w:pPr>
        <w:ind w:left="181" w:hanging="181"/>
        <w:spacing w:after="0"/>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w:t>
      </w:r>
    </w:p>
    <w:p>
      <w:pPr>
        <w:spacing w:after="0" w:line="206"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accounting standards updates were recently adopted by the Company:</w:t>
      </w:r>
    </w:p>
    <w:p>
      <w:pPr>
        <w:spacing w:after="0" w:line="221" w:lineRule="exact"/>
        <w:rPr>
          <w:sz w:val="20"/>
          <w:szCs w:val="20"/>
          <w:color w:val="auto"/>
        </w:rPr>
      </w:pPr>
    </w:p>
    <w:p>
      <w:pPr>
        <w:jc w:val="both"/>
        <w:ind w:left="1" w:firstLine="324"/>
        <w:spacing w:after="0" w:line="271" w:lineRule="auto"/>
        <w:rPr>
          <w:sz w:val="20"/>
          <w:szCs w:val="20"/>
          <w:color w:val="auto"/>
        </w:rPr>
      </w:pPr>
      <w:r>
        <w:rPr>
          <w:rFonts w:ascii="Arial" w:cs="Arial" w:eastAsia="Arial" w:hAnsi="Arial"/>
          <w:sz w:val="17"/>
          <w:szCs w:val="17"/>
          <w:i w:val="1"/>
          <w:iCs w:val="1"/>
          <w:color w:val="auto"/>
        </w:rPr>
        <w:t xml:space="preserve">Business Combinations: Simplifying the Accounting for Measurement – Period Adjustments. </w:t>
      </w:r>
      <w:r>
        <w:rPr>
          <w:rFonts w:ascii="Arial" w:cs="Arial" w:eastAsia="Arial" w:hAnsi="Arial"/>
          <w:sz w:val="17"/>
          <w:szCs w:val="17"/>
          <w:color w:val="auto"/>
        </w:rPr>
        <w:t>In September 2015,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Board (‘FASB”) issued an Accounting Standards Update (“ASU”), to simplify the accounting for adjustments made to provisional amounts recognized in a business combination; the amendments eliminate the requirement to retrospectively account for those adjustments. The ASU requires that an acquirer recognize adjustments to provisional amounts that are identified during the measurement period in the reporting period in which the adjustment amounts are determined. It also requires the acquirer to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became effective at the beginning of our 2016 fiscal year. The adoption of this ASU did not have a significant impact on our consolidated financial statements and disclosures.</w:t>
      </w:r>
    </w:p>
    <w:p>
      <w:pPr>
        <w:spacing w:after="0" w:line="179"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i w:val="1"/>
          <w:iCs w:val="1"/>
          <w:color w:val="auto"/>
        </w:rPr>
        <w:t xml:space="preserve">Interest—Imputation of Interest: Simplifying the Presentation of Debt Issuance Costs. </w:t>
      </w:r>
      <w:r>
        <w:rPr>
          <w:rFonts w:ascii="Arial" w:cs="Arial" w:eastAsia="Arial" w:hAnsi="Arial"/>
          <w:sz w:val="17"/>
          <w:szCs w:val="17"/>
          <w:color w:val="auto"/>
        </w:rPr>
        <w:t>In April 2015, the FASB issued an ASU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became effective at the beginning of our 2016 fiscal year. The adoption of this ASU did not have a significant impact on our consolidated financial statements and disclosures.</w:t>
      </w:r>
    </w:p>
    <w:p>
      <w:pPr>
        <w:spacing w:after="0" w:line="173"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i w:val="1"/>
          <w:iCs w:val="1"/>
          <w:color w:val="auto"/>
        </w:rPr>
        <w:t xml:space="preserve">Consolidation: Amendments to the Consolidation Analysis. </w:t>
      </w:r>
      <w:r>
        <w:rPr>
          <w:rFonts w:ascii="Arial" w:cs="Arial" w:eastAsia="Arial" w:hAnsi="Arial"/>
          <w:sz w:val="18"/>
          <w:szCs w:val="18"/>
          <w:color w:val="auto"/>
        </w:rPr>
        <w:t>In February 2015, the FASB issued an ASU which is intended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areas of consolidation guidance for legal entities such as limited partnerships, limited liability corporations, and securitization structures. This update became effective at the beginning of our 2016 fiscal year. The adoption of this ASU did not have a significant impact on our consolidated financial statements and disclosures.</w:t>
      </w:r>
    </w:p>
    <w:p>
      <w:pPr>
        <w:spacing w:after="0" w:line="187" w:lineRule="exact"/>
        <w:rPr>
          <w:sz w:val="20"/>
          <w:szCs w:val="20"/>
          <w:color w:val="auto"/>
        </w:rPr>
      </w:pPr>
    </w:p>
    <w:p>
      <w:pPr>
        <w:jc w:val="both"/>
        <w:ind w:left="1" w:firstLine="324"/>
        <w:spacing w:after="0" w:line="308" w:lineRule="auto"/>
        <w:rPr>
          <w:sz w:val="20"/>
          <w:szCs w:val="20"/>
          <w:color w:val="auto"/>
        </w:rPr>
      </w:pPr>
      <w:r>
        <w:rPr>
          <w:rFonts w:ascii="Arial" w:cs="Arial" w:eastAsia="Arial" w:hAnsi="Arial"/>
          <w:sz w:val="17"/>
          <w:szCs w:val="17"/>
          <w:i w:val="1"/>
          <w:iCs w:val="1"/>
          <w:color w:val="auto"/>
        </w:rPr>
        <w:t xml:space="preserve">Income Statement-Extraordinary and Unusual Items: Simplifying Income Statement Presentation by Eliminating the Concept of Extraordinary Items. </w:t>
      </w:r>
      <w:r>
        <w:rPr>
          <w:rFonts w:ascii="Arial" w:cs="Arial" w:eastAsia="Arial" w:hAnsi="Arial"/>
          <w:sz w:val="17"/>
          <w:szCs w:val="17"/>
          <w:color w:val="auto"/>
        </w:rPr>
        <w:t>In January 2015, the FASB issued an ASU which eliminates the concept of extraordinary items. This update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1"/>
        <w:spacing w:after="0" w:line="277" w:lineRule="auto"/>
        <w:rPr>
          <w:sz w:val="20"/>
          <w:szCs w:val="20"/>
          <w:color w:val="auto"/>
        </w:rPr>
      </w:pPr>
      <w:r>
        <w:rPr>
          <w:rFonts w:ascii="Arial" w:cs="Arial" w:eastAsia="Arial" w:hAnsi="Arial"/>
          <w:sz w:val="18"/>
          <w:szCs w:val="18"/>
          <w:color w:val="auto"/>
        </w:rPr>
        <w:t>became effective at the beginning of our 2016 fiscal year. The adoption of this ASU did not have a significant impact on our consolidated financial statements and disclosures.</w:t>
      </w:r>
    </w:p>
    <w:p>
      <w:pPr>
        <w:spacing w:after="0" w:line="170"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i w:val="1"/>
          <w:iCs w:val="1"/>
          <w:color w:val="auto"/>
        </w:rPr>
        <w:t xml:space="preserve">Derivatives and Hedging: Determining Whether the Host Contract in a Hybrid Financial Instrument Issued in the Form of a Share Is More Akin to Debt or to Equity. </w:t>
      </w:r>
      <w:r>
        <w:rPr>
          <w:rFonts w:ascii="Arial" w:cs="Arial" w:eastAsia="Arial" w:hAnsi="Arial"/>
          <w:sz w:val="17"/>
          <w:szCs w:val="17"/>
          <w:color w:val="auto"/>
        </w:rPr>
        <w:t>In November 2014, the FASB issued an ASU which clarifies how current generally accepted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in the United States should be interpreted in evaluating the economic characteristics and risks of a host contract in a hybrid financial instrument that is issued in the form of a share. This update became effective at the beginning of our 2016 fiscal year. The adoption of this ASU did not have a significant impact on our consolidated financial statements and disclosures.</w:t>
      </w:r>
    </w:p>
    <w:p>
      <w:pPr>
        <w:spacing w:after="0" w:line="173" w:lineRule="exact"/>
        <w:rPr>
          <w:sz w:val="20"/>
          <w:szCs w:val="20"/>
          <w:color w:val="auto"/>
        </w:rPr>
      </w:pPr>
    </w:p>
    <w:p>
      <w:pPr>
        <w:jc w:val="both"/>
        <w:ind w:left="1" w:firstLine="324"/>
        <w:spacing w:after="0" w:line="257" w:lineRule="auto"/>
        <w:rPr>
          <w:sz w:val="20"/>
          <w:szCs w:val="20"/>
          <w:color w:val="auto"/>
        </w:rPr>
      </w:pPr>
      <w:r>
        <w:rPr>
          <w:rFonts w:ascii="Arial" w:cs="Arial" w:eastAsia="Arial" w:hAnsi="Arial"/>
          <w:sz w:val="18"/>
          <w:szCs w:val="18"/>
          <w:i w:val="1"/>
          <w:iCs w:val="1"/>
          <w:color w:val="auto"/>
        </w:rPr>
        <w:t xml:space="preserve">Compensation - Stock Compensation. Accounting for Share-Based Payments when the Terms of an Award Provide that a Performance Target could be Achieved after the Requisite Service Period. </w:t>
      </w:r>
      <w:r>
        <w:rPr>
          <w:rFonts w:ascii="Arial" w:cs="Arial" w:eastAsia="Arial" w:hAnsi="Arial"/>
          <w:sz w:val="18"/>
          <w:szCs w:val="18"/>
          <w:color w:val="auto"/>
        </w:rPr>
        <w:t>In June 2014, the FASB issued an ASU which includes guidance that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 performance target that affects vesting and that could be achieved after the requisite service period to be treated as a performance condition. This update became effective at the beginning of our 2016 fiscal year. The adoption of this ASU did not have a significant impact on our consolidated financial statements and disclosures.</w:t>
      </w:r>
    </w:p>
    <w:p>
      <w:pPr>
        <w:spacing w:after="0" w:line="184" w:lineRule="exact"/>
        <w:rPr>
          <w:sz w:val="20"/>
          <w:szCs w:val="20"/>
          <w:color w:val="auto"/>
        </w:rPr>
      </w:pPr>
    </w:p>
    <w:p>
      <w:pPr>
        <w:ind w:left="781" w:hanging="781"/>
        <w:spacing w:after="0"/>
        <w:tabs>
          <w:tab w:leader="none" w:pos="78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Correction of Previously Issued Financial Information</w:t>
      </w:r>
    </w:p>
    <w:p>
      <w:pPr>
        <w:spacing w:after="0" w:line="229" w:lineRule="exact"/>
        <w:rPr>
          <w:sz w:val="20"/>
          <w:szCs w:val="20"/>
          <w:color w:val="auto"/>
        </w:rPr>
      </w:pPr>
    </w:p>
    <w:p>
      <w:pPr>
        <w:jc w:val="both"/>
        <w:ind w:left="1" w:firstLine="324"/>
        <w:spacing w:after="0" w:line="257" w:lineRule="auto"/>
        <w:rPr>
          <w:sz w:val="20"/>
          <w:szCs w:val="20"/>
          <w:color w:val="auto"/>
        </w:rPr>
      </w:pPr>
      <w:r>
        <w:rPr>
          <w:rFonts w:ascii="Arial" w:cs="Arial" w:eastAsia="Arial" w:hAnsi="Arial"/>
          <w:sz w:val="18"/>
          <w:szCs w:val="18"/>
          <w:color w:val="auto"/>
        </w:rPr>
        <w:t>During the second quarter of 2016, we identified a correction to our provision for income taxes for certain prior periods, due to the accounting for the tax effects of foreign currency translation changes on intercompany loans that are considered to be of a long-term investment nature. The Company determined that it had incorrectly applied the accounting guidance in ASC 740, Income Taxes and recorded a deferred tax asset related to foreign currency translation losses in the provision for income taxes, resulting in the Company reporting a lower provision for income taxes in the periods that were impacted.</w:t>
      </w:r>
    </w:p>
    <w:p>
      <w:pPr>
        <w:spacing w:after="0" w:line="188" w:lineRule="exact"/>
        <w:rPr>
          <w:sz w:val="20"/>
          <w:szCs w:val="20"/>
          <w:color w:val="auto"/>
        </w:rPr>
      </w:pPr>
    </w:p>
    <w:p>
      <w:pPr>
        <w:jc w:val="both"/>
        <w:ind w:left="1" w:firstLine="324"/>
        <w:spacing w:after="0" w:line="272" w:lineRule="auto"/>
        <w:rPr>
          <w:sz w:val="20"/>
          <w:szCs w:val="20"/>
          <w:color w:val="auto"/>
        </w:rPr>
      </w:pPr>
      <w:r>
        <w:rPr>
          <w:rFonts w:ascii="Arial" w:cs="Arial" w:eastAsia="Arial" w:hAnsi="Arial"/>
          <w:sz w:val="17"/>
          <w:szCs w:val="17"/>
          <w:color w:val="auto"/>
        </w:rPr>
        <w:t xml:space="preserve">In accordance with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and SAB No. 108, </w:t>
      </w:r>
      <w:r>
        <w:rPr>
          <w:rFonts w:ascii="Arial" w:cs="Arial" w:eastAsia="Arial" w:hAnsi="Arial"/>
          <w:sz w:val="17"/>
          <w:szCs w:val="17"/>
          <w:i w:val="1"/>
          <w:iCs w:val="1"/>
          <w:color w:val="auto"/>
        </w:rPr>
        <w:t>Considering the Effects of Prior Year</w:t>
      </w:r>
      <w:r>
        <w:rPr>
          <w:rFonts w:ascii="Arial" w:cs="Arial" w:eastAsia="Arial" w:hAnsi="Arial"/>
          <w:sz w:val="17"/>
          <w:szCs w:val="17"/>
          <w:color w:val="auto"/>
        </w:rPr>
        <w:t xml:space="preserve"> </w:t>
      </w:r>
      <w:r>
        <w:rPr>
          <w:rFonts w:ascii="Arial" w:cs="Arial" w:eastAsia="Arial" w:hAnsi="Arial"/>
          <w:sz w:val="17"/>
          <w:szCs w:val="17"/>
          <w:i w:val="1"/>
          <w:iCs w:val="1"/>
          <w:color w:val="auto"/>
        </w:rPr>
        <w:t>Misstatements when Quantifying Misstatements in Current Year Financial Statements</w:t>
      </w:r>
      <w:r>
        <w:rPr>
          <w:rFonts w:ascii="Arial" w:cs="Arial" w:eastAsia="Arial" w:hAnsi="Arial"/>
          <w:sz w:val="17"/>
          <w:szCs w:val="17"/>
          <w:color w:val="auto"/>
        </w:rPr>
        <w:t>, management evaluated the materiality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error from qualitative and quantitative perspectives, and concluded the error was not material to its previously issued annual and interim financial statements. The cumulative amounts of the corrections were approximately $20.0 million, of which approximately $12.5 million was attributable to the year ended December 31, 2015. The cumulative amount of the prior period adjustments would have been material to our current Statement of Income and Comprehensive Income had we made the correction in the current period, and accordingly we revise our previously issued financial statements prospectively to correct these errors.</w:t>
      </w:r>
    </w:p>
    <w:p>
      <w:pPr>
        <w:spacing w:after="0" w:line="178" w:lineRule="exact"/>
        <w:rPr>
          <w:sz w:val="20"/>
          <w:szCs w:val="20"/>
          <w:color w:val="auto"/>
        </w:rPr>
      </w:pPr>
    </w:p>
    <w:p>
      <w:pPr>
        <w:jc w:val="both"/>
        <w:ind w:left="1" w:firstLine="324"/>
        <w:spacing w:after="0" w:line="277" w:lineRule="auto"/>
        <w:rPr>
          <w:sz w:val="20"/>
          <w:szCs w:val="20"/>
          <w:color w:val="auto"/>
        </w:rPr>
      </w:pPr>
      <w:r>
        <w:rPr>
          <w:rFonts w:ascii="Arial" w:cs="Arial" w:eastAsia="Arial" w:hAnsi="Arial"/>
          <w:sz w:val="18"/>
          <w:szCs w:val="18"/>
          <w:color w:val="auto"/>
        </w:rPr>
        <w:t>The corrections associated with the provision for income taxes line items as well as other immaterial adjustments are reflected in this 10-Q Report for all periods presented and those corrections will be reflected in our future fillings.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tables present the effect of the correction on the previously reported consolidated balance sheet as of December 31, 2015 and the statements of income and comprehensive income for the three and six months ended June 30,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As</w:t>
            </w:r>
          </w:p>
        </w:tc>
        <w:tc>
          <w:tcPr>
            <w:tcW w:w="14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Adjustment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Reported</w:t>
            </w:r>
          </w:p>
        </w:tc>
        <w:tc>
          <w:tcPr>
            <w:tcW w:w="1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582.5</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1,812.6</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1,812.6</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359.1</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57.9</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227.2</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(6.8)</w:t>
            </w:r>
          </w:p>
        </w:tc>
        <w:tc>
          <w:tcPr>
            <w:tcW w:w="900" w:type="dxa"/>
            <w:vAlign w:val="bottom"/>
          </w:tcPr>
          <w:p>
            <w:pPr>
              <w:jc w:val="right"/>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209.8</w:t>
            </w:r>
          </w:p>
        </w:tc>
        <w:tc>
          <w:tcPr>
            <w:tcW w:w="14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Current assets held for sale</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5.5</w:t>
            </w: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3,254.6</w:t>
            </w:r>
          </w:p>
        </w:tc>
        <w:tc>
          <w:tcPr>
            <w:tcW w:w="14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(8.6)</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225.6</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675.8</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675.8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Identifiable intangible and other non-current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356.9</w:t>
            </w:r>
          </w:p>
        </w:tc>
        <w:tc>
          <w:tcPr>
            <w:tcW w:w="14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(15.5)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Non-current assets held for sale</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36.5</w:t>
            </w: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4,549.4</w:t>
            </w:r>
          </w:p>
        </w:tc>
        <w:tc>
          <w:tcPr>
            <w:tcW w:w="1480" w:type="dxa"/>
            <w:vAlign w:val="bottom"/>
            <w:tcBorders>
              <w:bottom w:val="single" w:sz="8" w:color="auto"/>
            </w:tcBorders>
            <w:shd w:val="clear" w:color="auto" w:fill="CCEEFF"/>
          </w:tcPr>
          <w:p>
            <w:pPr>
              <w:jc w:val="right"/>
              <w:ind w:right="308"/>
              <w:spacing w:after="0" w:line="210" w:lineRule="exact"/>
              <w:rPr>
                <w:sz w:val="20"/>
                <w:szCs w:val="20"/>
                <w:color w:val="auto"/>
              </w:rPr>
            </w:pPr>
            <w:r>
              <w:rPr>
                <w:rFonts w:ascii="Arial" w:cs="Arial" w:eastAsia="Arial" w:hAnsi="Arial"/>
                <w:sz w:val="13"/>
                <w:szCs w:val="13"/>
                <w:color w:val="auto"/>
              </w:rPr>
              <w:t>(24.1)</w:t>
            </w:r>
            <w:r>
              <w:rPr>
                <w:rFonts w:ascii="Arial" w:cs="Arial" w:eastAsia="Arial" w:hAnsi="Arial"/>
                <w:sz w:val="24"/>
                <w:szCs w:val="24"/>
                <w:color w:val="auto"/>
                <w:vertAlign w:val="subscript"/>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Short-term debt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25.5</w:t>
            </w:r>
          </w:p>
        </w:tc>
        <w:tc>
          <w:tcPr>
            <w:tcW w:w="1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1,349.6</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1,349.6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Customer deposits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118.3</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263.8</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(8.6)</w:t>
            </w:r>
          </w:p>
        </w:tc>
        <w:tc>
          <w:tcPr>
            <w:tcW w:w="900" w:type="dxa"/>
            <w:vAlign w:val="bottom"/>
          </w:tcPr>
          <w:p>
            <w:pPr>
              <w:jc w:val="right"/>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Current liabilities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5.6</w:t>
            </w:r>
          </w:p>
        </w:tc>
        <w:tc>
          <w:tcPr>
            <w:tcW w:w="14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1,762.8</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(8.6)</w:t>
            </w:r>
          </w:p>
        </w:tc>
        <w:tc>
          <w:tcPr>
            <w:tcW w:w="900" w:type="dxa"/>
            <w:vAlign w:val="bottom"/>
          </w:tcPr>
          <w:p>
            <w:pPr>
              <w:jc w:val="right"/>
              <w:spacing w:after="0"/>
              <w:rPr>
                <w:sz w:val="20"/>
                <w:szCs w:val="20"/>
                <w:color w:val="auto"/>
              </w:rPr>
            </w:pPr>
            <w:r>
              <w:rPr>
                <w:rFonts w:ascii="Arial" w:cs="Arial" w:eastAsia="Arial" w:hAnsi="Arial"/>
                <w:sz w:val="14"/>
                <w:szCs w:val="14"/>
                <w:color w:val="auto"/>
              </w:rPr>
              <w:t>1,754.2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746.7</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Non-current income tax liabilities,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87.7</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25.8</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Non-current liabilities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5.0</w:t>
            </w:r>
          </w:p>
        </w:tc>
        <w:tc>
          <w:tcPr>
            <w:tcW w:w="14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2,628.0</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(8.6)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World Fuel shareholders'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Preferred stock, $1.00 par value; 0.1 shares authorized, none issued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0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Common stock, $0.01 par value; 100 shares authorized, 70.8 issued and outstanding as of December</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31, 2015</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0.7</w:t>
            </w:r>
          </w:p>
        </w:tc>
        <w:tc>
          <w:tcPr>
            <w:tcW w:w="14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4"/>
                <w:szCs w:val="14"/>
                <w:color w:val="auto"/>
              </w:rPr>
              <w:t>Capital in excess of par value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435.3</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435.3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1,588.6</w:t>
            </w:r>
          </w:p>
        </w:tc>
        <w:tc>
          <w:tcPr>
            <w:tcW w:w="14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(19.2)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1,569.4</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(113.2)</w:t>
            </w: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World Fuel shareholders'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1,911.4</w:t>
            </w:r>
          </w:p>
        </w:tc>
        <w:tc>
          <w:tcPr>
            <w:tcW w:w="14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(15.5)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1,895.9</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Noncontrolling interest equity</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10.0</w:t>
            </w: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1,921.4</w:t>
            </w:r>
          </w:p>
        </w:tc>
        <w:tc>
          <w:tcPr>
            <w:tcW w:w="148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(15.5)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1,905.9</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4,549.4</w:t>
            </w:r>
          </w:p>
        </w:tc>
        <w:tc>
          <w:tcPr>
            <w:tcW w:w="1480" w:type="dxa"/>
            <w:vAlign w:val="bottom"/>
            <w:tcBorders>
              <w:bottom w:val="single" w:sz="8" w:color="auto"/>
            </w:tcBorders>
          </w:tcPr>
          <w:p>
            <w:pPr>
              <w:jc w:val="right"/>
              <w:ind w:right="308"/>
              <w:spacing w:after="0" w:line="210" w:lineRule="exact"/>
              <w:rPr>
                <w:sz w:val="20"/>
                <w:szCs w:val="20"/>
                <w:color w:val="auto"/>
              </w:rPr>
            </w:pPr>
            <w:r>
              <w:rPr>
                <w:rFonts w:ascii="Arial" w:cs="Arial" w:eastAsia="Arial" w:hAnsi="Arial"/>
                <w:sz w:val="13"/>
                <w:szCs w:val="13"/>
                <w:color w:val="auto"/>
              </w:rPr>
              <w:t>(24.1)</w:t>
            </w:r>
            <w:r>
              <w:rPr>
                <w:rFonts w:ascii="Arial" w:cs="Arial" w:eastAsia="Arial" w:hAnsi="Arial"/>
                <w:sz w:val="24"/>
                <w:szCs w:val="24"/>
                <w:color w:val="auto"/>
                <w:vertAlign w:val="subscript"/>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3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2015</w:t>
            </w:r>
          </w:p>
        </w:tc>
      </w:tr>
      <w:tr>
        <w:trPr>
          <w:trHeight w:val="210"/>
        </w:trPr>
        <w:tc>
          <w:tcPr>
            <w:tcW w:w="3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Reported</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Revised</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As Reported</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Revised</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8,496.4</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15,837.1</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w:t>
            </w:r>
          </w:p>
        </w:tc>
      </w:tr>
      <w:tr>
        <w:trPr>
          <w:trHeight w:val="216"/>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8,306.0</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8,306.0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15,431.3</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15,433.1</w:t>
            </w:r>
          </w:p>
        </w:tc>
      </w:tr>
      <w:tr>
        <w:trPr>
          <w:trHeight w:val="210"/>
        </w:trPr>
        <w:tc>
          <w:tcPr>
            <w:tcW w:w="3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190.4</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405.8</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w:t>
            </w:r>
          </w:p>
        </w:tc>
      </w:tr>
      <w:tr>
        <w:trPr>
          <w:trHeight w:val="210"/>
        </w:trPr>
        <w:tc>
          <w:tcPr>
            <w:tcW w:w="352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employee benefits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87.5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176.2</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216"/>
        </w:trPr>
        <w:tc>
          <w:tcPr>
            <w:tcW w:w="3520" w:type="dxa"/>
            <w:vAlign w:val="bottom"/>
          </w:tcPr>
          <w:p>
            <w:pPr>
              <w:ind w:left="100"/>
              <w:spacing w:after="0"/>
              <w:rPr>
                <w:sz w:val="20"/>
                <w:szCs w:val="20"/>
                <w:color w:val="auto"/>
              </w:rPr>
            </w:pPr>
            <w:r>
              <w:rPr>
                <w:rFonts w:ascii="Arial" w:cs="Arial" w:eastAsia="Arial" w:hAnsi="Arial"/>
                <w:sz w:val="14"/>
                <w:szCs w:val="14"/>
                <w:color w:val="auto"/>
              </w:rPr>
              <w:t>Provision for bad debt</w:t>
            </w:r>
          </w:p>
        </w:tc>
        <w:tc>
          <w:tcPr>
            <w:tcW w:w="22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6"/>
        </w:trPr>
        <w:tc>
          <w:tcPr>
            <w:tcW w:w="3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59.0</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r>
      <w:tr>
        <w:trPr>
          <w:trHeight w:val="210"/>
        </w:trPr>
        <w:tc>
          <w:tcPr>
            <w:tcW w:w="3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148.8</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292.8</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w:t>
            </w:r>
          </w:p>
        </w:tc>
      </w:tr>
      <w:tr>
        <w:trPr>
          <w:trHeight w:val="210"/>
        </w:trPr>
        <w:tc>
          <w:tcPr>
            <w:tcW w:w="3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41.6</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bl>
    <w:p>
      <w:pPr>
        <w:spacing w:after="0" w:line="49" w:lineRule="exact"/>
        <w:rPr>
          <w:sz w:val="20"/>
          <w:szCs w:val="20"/>
          <w:color w:val="auto"/>
        </w:rPr>
      </w:pPr>
    </w:p>
    <w:p>
      <w:pPr>
        <w:sectPr>
          <w:pgSz w:w="11900" w:h="16838" w:orient="portrait"/>
          <w:cols w:equalWidth="0" w:num="1">
            <w:col w:w="10061"/>
          </w:cols>
          <w:pgMar w:left="919" w:top="125" w:right="919" w:bottom="1440" w:gutter="0" w:footer="0" w:header="0"/>
        </w:sectPr>
      </w:pPr>
    </w:p>
    <w:tbl>
      <w:tblPr>
        <w:tblLayout w:type="fixed"/>
        <w:tblInd w:w="1" w:type="dxa"/>
        <w:tblCellMar>
          <w:top w:w="0" w:type="dxa"/>
          <w:left w:w="0" w:type="dxa"/>
          <w:bottom w:w="0" w:type="dxa"/>
          <w:right w:w="0" w:type="dxa"/>
        </w:tblCellMar>
      </w:tblPr>
      <w:tr>
        <w:trPr>
          <w:trHeight w:val="182"/>
        </w:trPr>
        <w:tc>
          <w:tcPr>
            <w:tcW w:w="314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6"/>
        </w:trPr>
        <w:tc>
          <w:tcPr>
            <w:tcW w:w="3140" w:type="dxa"/>
            <w:vAlign w:val="bottom"/>
          </w:tcPr>
          <w:p>
            <w:pPr>
              <w:ind w:left="100"/>
              <w:spacing w:after="0"/>
              <w:rPr>
                <w:sz w:val="20"/>
                <w:szCs w:val="20"/>
                <w:color w:val="auto"/>
              </w:rPr>
            </w:pPr>
            <w:r>
              <w:rPr>
                <w:rFonts w:ascii="Arial" w:cs="Arial" w:eastAsia="Arial" w:hAnsi="Arial"/>
                <w:sz w:val="14"/>
                <w:szCs w:val="14"/>
                <w:color w:val="auto"/>
              </w:rPr>
              <w:t>Interest expense and other financing costs, net</w:t>
            </w:r>
          </w:p>
        </w:tc>
        <w:tc>
          <w:tcPr>
            <w:tcW w:w="680" w:type="dxa"/>
            <w:vAlign w:val="bottom"/>
          </w:tcPr>
          <w:p>
            <w:pPr>
              <w:spacing w:after="0"/>
              <w:rPr>
                <w:sz w:val="18"/>
                <w:szCs w:val="18"/>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(6.4)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1"/>
        </w:trPr>
        <w:tc>
          <w:tcPr>
            <w:tcW w:w="31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(expense), net</w:t>
            </w: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(1.6)</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10"/>
        </w:trPr>
        <w:tc>
          <w:tcPr>
            <w:tcW w:w="3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25"/>
        </w:trPr>
        <w:tc>
          <w:tcPr>
            <w:tcW w:w="31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680" w:type="dxa"/>
            <w:vAlign w:val="bottom"/>
          </w:tcPr>
          <w:p>
            <w:pPr>
              <w:spacing w:after="0"/>
              <w:rPr>
                <w:sz w:val="19"/>
                <w:szCs w:val="19"/>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33.6</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20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5.2</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25"/>
        </w:trPr>
        <w:tc>
          <w:tcPr>
            <w:tcW w:w="314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680" w:type="dxa"/>
            <w:vAlign w:val="bottom"/>
          </w:tcPr>
          <w:p>
            <w:pPr>
              <w:spacing w:after="0"/>
              <w:rPr>
                <w:sz w:val="19"/>
                <w:szCs w:val="19"/>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28.4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20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loss attributable to noncontrolling interest</w:t>
            </w: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(1.5)</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 attributable to World Fuel</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29.9</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r>
      <w:tr>
        <w:trPr>
          <w:trHeight w:val="439"/>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earnings per common share</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0.42</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0.01</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r>
      <w:tr>
        <w:trPr>
          <w:trHeight w:val="439"/>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weighted average common shares</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70.7</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r>
      <w:tr>
        <w:trPr>
          <w:trHeight w:val="439"/>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earnings per common share</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0.42</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0.01</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r>
      <w:tr>
        <w:trPr>
          <w:trHeight w:val="439"/>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weighted average common shares</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71.2</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r>
      <w:tr>
        <w:trPr>
          <w:trHeight w:val="447"/>
        </w:trPr>
        <w:tc>
          <w:tcPr>
            <w:tcW w:w="3140" w:type="dxa"/>
            <w:vAlign w:val="bottom"/>
          </w:tcPr>
          <w:p>
            <w:pPr>
              <w:spacing w:after="0"/>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28.4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6"/>
        </w:trPr>
        <w:tc>
          <w:tcPr>
            <w:tcW w:w="3140" w:type="dxa"/>
            <w:vAlign w:val="bottom"/>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68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22.0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-3004185</wp:posOffset>
            </wp:positionV>
            <wp:extent cx="638873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-2729230</wp:posOffset>
            </wp:positionV>
            <wp:extent cx="638873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-2437765</wp:posOffset>
            </wp:positionV>
            <wp:extent cx="63887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-2155190</wp:posOffset>
            </wp:positionV>
            <wp:extent cx="63887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-1863090</wp:posOffset>
            </wp:positionV>
            <wp:extent cx="638873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-1571625</wp:posOffset>
            </wp:positionV>
            <wp:extent cx="638873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-1280160</wp:posOffset>
            </wp:positionV>
            <wp:extent cx="638873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-988695</wp:posOffset>
            </wp:positionV>
            <wp:extent cx="638873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-697230</wp:posOffset>
            </wp:positionV>
            <wp:extent cx="63887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-414020</wp:posOffset>
            </wp:positionV>
            <wp:extent cx="638873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-139700</wp:posOffset>
            </wp:positionV>
            <wp:extent cx="63887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(13.7)</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0"/>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25"/>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98.0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94.2</w:t>
            </w: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15.1</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225"/>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82.9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17"/>
        </w:trPr>
        <w:tc>
          <w:tcPr>
            <w:tcW w:w="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85.5</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r>
      <w:tr>
        <w:trPr>
          <w:trHeight w:val="439"/>
        </w:trPr>
        <w:tc>
          <w:tcPr>
            <w:tcW w:w="360" w:type="dxa"/>
            <w:vAlign w:val="bottom"/>
            <w:gridSpan w:val="2"/>
          </w:tcPr>
          <w:p>
            <w:pPr>
              <w:jc w:val="right"/>
              <w:ind w:right="2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1.21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439"/>
        </w:trPr>
        <w:tc>
          <w:tcPr>
            <w:tcW w:w="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70.7</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w:t>
            </w:r>
          </w:p>
        </w:tc>
      </w:tr>
      <w:tr>
        <w:trPr>
          <w:trHeight w:val="439"/>
        </w:trPr>
        <w:tc>
          <w:tcPr>
            <w:tcW w:w="360" w:type="dxa"/>
            <w:vAlign w:val="bottom"/>
            <w:gridSpan w:val="2"/>
          </w:tcPr>
          <w:p>
            <w:pPr>
              <w:jc w:val="right"/>
              <w:ind w:right="2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1.20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439"/>
        </w:trPr>
        <w:tc>
          <w:tcPr>
            <w:tcW w:w="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71.3</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w:t>
            </w:r>
          </w:p>
        </w:tc>
      </w:tr>
      <w:tr>
        <w:trPr>
          <w:trHeight w:val="663"/>
        </w:trPr>
        <w:tc>
          <w:tcPr>
            <w:tcW w:w="360" w:type="dxa"/>
            <w:vAlign w:val="bottom"/>
            <w:gridSpan w:val="2"/>
          </w:tcPr>
          <w:p>
            <w:pPr>
              <w:jc w:val="right"/>
              <w:ind w:right="2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82.9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(11.8)</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20154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41" w:space="240"/>
            <w:col w:w="3180"/>
          </w:cols>
          <w:pgMar w:left="919" w:top="125" w:right="919" w:bottom="1440" w:gutter="0" w:footer="0" w:header="0"/>
          <w:type w:val="continuous"/>
        </w:sectPr>
      </w:pPr>
    </w:p>
    <w:tbl>
      <w:tblPr>
        <w:tblLayout w:type="fixed"/>
        <w:tblInd w:w="1" w:type="dxa"/>
        <w:tblCellMar>
          <w:top w:w="0" w:type="dxa"/>
          <w:left w:w="0" w:type="dxa"/>
          <w:bottom w:w="0" w:type="dxa"/>
          <w:right w:w="0" w:type="dxa"/>
        </w:tblCellMar>
      </w:tblPr>
      <w:tr>
        <w:trPr>
          <w:trHeight w:val="16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comprehensive income (loss)</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22.0</w:t>
            </w: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(0.6)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(11.8)</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w w:val="98"/>
              </w:rPr>
              <w:t>Comprehensive income including noncontrolling interest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50.4</w:t>
            </w:r>
          </w:p>
        </w:tc>
        <w:tc>
          <w:tcPr>
            <w:tcW w:w="12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71.1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r>
      <w:tr>
        <w:trPr>
          <w:trHeight w:val="216"/>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Comprehensive loss attributable to noncontrolling interest</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w:t>
            </w: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(0.1)</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 attributable to World Fuel</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51.6</w:t>
            </w:r>
          </w:p>
        </w:tc>
        <w:tc>
          <w:tcPr>
            <w:tcW w:w="12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71.2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r>
      <w:tr>
        <w:trPr>
          <w:trHeight w:val="27"/>
        </w:trPr>
        <w:tc>
          <w:tcPr>
            <w:tcW w:w="3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left="321" w:right="5560" w:hanging="321"/>
        <w:spacing w:after="0" w:line="503" w:lineRule="auto"/>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Assets and Liabilities Held for Sale 2016 Acquisitions</w:t>
      </w:r>
    </w:p>
    <w:p>
      <w:pPr>
        <w:spacing w:after="0" w:line="1" w:lineRule="exact"/>
        <w:rPr>
          <w:sz w:val="20"/>
          <w:szCs w:val="20"/>
          <w:color w:val="auto"/>
        </w:rPr>
      </w:pPr>
    </w:p>
    <w:p>
      <w:pPr>
        <w:jc w:val="both"/>
        <w:ind w:left="1" w:firstLine="324"/>
        <w:spacing w:after="0" w:line="255" w:lineRule="auto"/>
        <w:rPr>
          <w:sz w:val="20"/>
          <w:szCs w:val="20"/>
          <w:color w:val="auto"/>
        </w:rPr>
      </w:pPr>
      <w:r>
        <w:rPr>
          <w:rFonts w:ascii="Arial" w:cs="Arial" w:eastAsia="Arial" w:hAnsi="Arial"/>
          <w:sz w:val="18"/>
          <w:szCs w:val="18"/>
          <w:color w:val="auto"/>
        </w:rPr>
        <w:t>On June 23, 2016, we acquired the remaining 49% of the outstanding equity interest of Tobras Distribuidora de Combustiveis Limitada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93"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the first quarter of 2016, we completed three acquisitions in our land segment which were not significant individually or in the aggregate. The financial position, results of operations and cash flows of the 2016 acquisitions have been included in our consolidated financial statements, since their respective acquisition dates, and did not have a significant impact on our revenue and net income for the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type w:val="continuous"/>
        </w:sectPr>
      </w:pPr>
    </w:p>
    <w:bookmarkStart w:id="11" w:name="page12"/>
    <w:bookmarkEnd w:id="11"/>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the first quarter of 2016, we agreed to acquire from certain ExxonMobil affiliates their aviation fueling operations at 83 airports in Canada, the United Kingdom, Germany, Italy, France, Australia and New Zealand. The transaction is subject to customary regulatory consents and closing conditions, including securing third party consents and therefore there can be no assurance that we will be successful in closing the acquisition.</w:t>
      </w:r>
    </w:p>
    <w:p>
      <w:pPr>
        <w:spacing w:after="0" w:line="183"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Assets and Liabilities Held for Sale</w:t>
      </w:r>
    </w:p>
    <w:p>
      <w:pPr>
        <w:spacing w:after="0" w:line="229"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connection with the acquisition of all of the outstanding stock of Pester Marketing Company (“Pester”) on September 1, 2015, we committed to a plan to sell certain assets and liabilities of Pester’s fuel retail business. On May 1, 2016, we completed the sale of Pester’s retail business for $32.3 million, resulting in a gain of $3.8 million, which is included in other income, net in the consolidated statements of income and comprehensive income.</w:t>
      </w:r>
    </w:p>
    <w:p>
      <w:pPr>
        <w:spacing w:after="0" w:line="183" w:lineRule="exact"/>
        <w:rPr>
          <w:sz w:val="20"/>
          <w:szCs w:val="20"/>
          <w:color w:val="auto"/>
        </w:rPr>
      </w:pPr>
    </w:p>
    <w:p>
      <w:pPr>
        <w:ind w:left="781" w:hanging="781"/>
        <w:spacing w:after="0"/>
        <w:tabs>
          <w:tab w:leader="none" w:pos="78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left="1"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78"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jc w:val="both"/>
        <w:ind w:left="1"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70" w:lineRule="exact"/>
        <w:rPr>
          <w:sz w:val="20"/>
          <w:szCs w:val="20"/>
          <w:color w:val="auto"/>
        </w:rPr>
      </w:pPr>
    </w:p>
    <w:p>
      <w:pPr>
        <w:jc w:val="both"/>
        <w:ind w:left="1"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70" w:lineRule="exact"/>
        <w:rPr>
          <w:sz w:val="20"/>
          <w:szCs w:val="20"/>
          <w:color w:val="auto"/>
        </w:rPr>
      </w:pPr>
    </w:p>
    <w:p>
      <w:pPr>
        <w:jc w:val="both"/>
        <w:ind w:left="1" w:firstLine="324"/>
        <w:spacing w:after="0" w:line="286" w:lineRule="auto"/>
        <w:rPr>
          <w:sz w:val="20"/>
          <w:szCs w:val="20"/>
          <w:color w:val="auto"/>
        </w:rPr>
      </w:pPr>
      <w:r>
        <w:rPr>
          <w:rFonts w:ascii="Arial" w:cs="Arial" w:eastAsia="Arial" w:hAnsi="Arial"/>
          <w:sz w:val="17"/>
          <w:szCs w:val="17"/>
          <w:i w:val="1"/>
          <w:iCs w:val="1"/>
          <w:color w:val="auto"/>
        </w:rPr>
        <w:t xml:space="preserve">Non-designated Derivatives. </w:t>
      </w:r>
      <w:r>
        <w:rPr>
          <w:rFonts w:ascii="Arial" w:cs="Arial" w:eastAsia="Arial" w:hAnsi="Arial"/>
          <w:sz w:val="17"/>
          <w:szCs w:val="17"/>
          <w:color w:val="auto"/>
        </w:rPr>
        <w:t>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2016, our derivative instruments, at their respective fair value positions were as follows (in millions, except weighted average fixed price and weighted average mark-to-market amount):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Weighted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Mark-to-</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1"/>
        </w:trPr>
        <w:tc>
          <w:tcPr>
            <w:tcW w:w="1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3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1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Hedge Strategy</w:t>
            </w:r>
          </w:p>
        </w:tc>
        <w:tc>
          <w:tcPr>
            <w:tcW w:w="820" w:type="dxa"/>
            <w:vAlign w:val="bottom"/>
            <w:tcBorders>
              <w:bottom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Period</w:t>
            </w:r>
          </w:p>
        </w:tc>
        <w:tc>
          <w:tcPr>
            <w:tcW w:w="326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Derivative Instrument</w:t>
            </w:r>
          </w:p>
        </w:tc>
        <w:tc>
          <w:tcPr>
            <w:tcW w:w="1320" w:type="dxa"/>
            <w:vAlign w:val="bottom"/>
            <w:tcBorders>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4"/>
                <w:szCs w:val="14"/>
                <w:b w:val="1"/>
                <w:bCs w:val="1"/>
                <w:color w:val="auto"/>
              </w:rPr>
              <w:t>Notional</w:t>
            </w:r>
          </w:p>
        </w:tc>
        <w:tc>
          <w:tcPr>
            <w:tcW w:w="620" w:type="dxa"/>
            <w:vAlign w:val="bottom"/>
            <w:tcBorders>
              <w:bottom w:val="single" w:sz="8" w:color="auto"/>
            </w:tcBorders>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Unit</w:t>
            </w:r>
          </w:p>
        </w:tc>
        <w:tc>
          <w:tcPr>
            <w:tcW w:w="1000" w:type="dxa"/>
            <w:vAlign w:val="bottom"/>
            <w:tcBorders>
              <w:bottom w:val="single" w:sz="8" w:color="auto"/>
            </w:tcBorders>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Fixed Price</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Amount</w:t>
            </w:r>
          </w:p>
        </w:tc>
      </w:tr>
      <w:tr>
        <w:trPr>
          <w:trHeight w:val="210"/>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2.0</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20" w:type="dxa"/>
            <w:vAlign w:val="bottom"/>
            <w:tcBorders>
              <w:bottom w:val="single" w:sz="8" w:color="CCEEFF"/>
            </w:tcBorders>
          </w:tcPr>
          <w:p>
            <w:pPr>
              <w:jc w:val="right"/>
              <w:ind w:right="67"/>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61.834</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(2.907)</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196"/>
        </w:trPr>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w w:val="98"/>
              </w:rPr>
              <w:t>Cash Flow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15.1</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52.314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20" w:type="dxa"/>
            <w:vAlign w:val="bottom"/>
            <w:tcBorders>
              <w:bottom w:val="single" w:sz="8" w:color="CCEEFF"/>
            </w:tcBorders>
          </w:tcPr>
          <w:p>
            <w:pPr>
              <w:jc w:val="right"/>
              <w:ind w:right="67"/>
              <w:spacing w:after="0"/>
              <w:rPr>
                <w:sz w:val="20"/>
                <w:szCs w:val="20"/>
                <w:color w:val="auto"/>
              </w:rPr>
            </w:pPr>
            <w:r>
              <w:rPr>
                <w:rFonts w:ascii="Arial" w:cs="Arial" w:eastAsia="Arial" w:hAnsi="Arial"/>
                <w:sz w:val="16"/>
                <w:szCs w:val="16"/>
                <w:color w:val="auto"/>
              </w:rPr>
              <w:t>1.5</w:t>
            </w:r>
          </w:p>
        </w:tc>
        <w:tc>
          <w:tcPr>
            <w:tcW w:w="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52.606</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(7.379)</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10"/>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42.7</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34.112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(195.9)</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41.8</w:t>
            </w:r>
          </w:p>
        </w:tc>
        <w:tc>
          <w:tcPr>
            <w:tcW w:w="620" w:type="dxa"/>
            <w:vAlign w:val="bottom"/>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35.676</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4.693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196.1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14.5</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26.233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11.2</w:t>
            </w:r>
          </w:p>
        </w:tc>
        <w:tc>
          <w:tcPr>
            <w:tcW w:w="620" w:type="dxa"/>
            <w:vAlign w:val="bottom"/>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32.754</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(2.899)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(32.4)</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3.2</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16.756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2.2</w:t>
            </w:r>
          </w:p>
        </w:tc>
        <w:tc>
          <w:tcPr>
            <w:tcW w:w="620" w:type="dxa"/>
            <w:vAlign w:val="bottom"/>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17.819</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(1.807)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0.1</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20.777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0.757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20" w:type="dxa"/>
            <w:vAlign w:val="bottom"/>
          </w:tcPr>
          <w:p>
            <w:pPr>
              <w:jc w:val="right"/>
              <w:ind w:right="67"/>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48.806</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3.926</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0.1</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21.457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0.1</w:t>
            </w:r>
          </w:p>
        </w:tc>
        <w:tc>
          <w:tcPr>
            <w:tcW w:w="620" w:type="dxa"/>
            <w:vAlign w:val="bottom"/>
          </w:tcPr>
          <w:p>
            <w:pPr>
              <w:ind w:left="120"/>
              <w:spacing w:after="0"/>
              <w:rPr>
                <w:sz w:val="20"/>
                <w:szCs w:val="20"/>
                <w:color w:val="auto"/>
              </w:rPr>
            </w:pPr>
            <w:r>
              <w:rPr>
                <w:rFonts w:ascii="Arial" w:cs="Arial" w:eastAsia="Arial" w:hAnsi="Arial"/>
                <w:sz w:val="14"/>
                <w:szCs w:val="14"/>
                <w:color w:val="auto"/>
              </w:rPr>
              <w:t>BBL</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37.674</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5.348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20.730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19.3</w:t>
            </w:r>
          </w:p>
        </w:tc>
        <w:tc>
          <w:tcPr>
            <w:tcW w:w="620" w:type="dxa"/>
            <w:vAlign w:val="bottom"/>
          </w:tcPr>
          <w:p>
            <w:pPr>
              <w:ind w:left="120"/>
              <w:spacing w:after="0"/>
              <w:rPr>
                <w:sz w:val="20"/>
                <w:szCs w:val="20"/>
                <w:color w:val="auto"/>
              </w:rPr>
            </w:pPr>
            <w:r>
              <w:rPr>
                <w:rFonts w:ascii="Arial" w:cs="Arial" w:eastAsia="Arial" w:hAnsi="Arial"/>
                <w:sz w:val="14"/>
                <w:szCs w:val="14"/>
                <w:color w:val="auto"/>
              </w:rPr>
              <w:t>AUD</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0.748</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0.003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7.3</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174.9</w:t>
            </w:r>
          </w:p>
        </w:tc>
        <w:tc>
          <w:tcPr>
            <w:tcW w:w="620" w:type="dxa"/>
            <w:vAlign w:val="bottom"/>
          </w:tcPr>
          <w:p>
            <w:pPr>
              <w:ind w:left="120"/>
              <w:spacing w:after="0"/>
              <w:rPr>
                <w:sz w:val="20"/>
                <w:szCs w:val="20"/>
                <w:color w:val="auto"/>
              </w:rPr>
            </w:pPr>
            <w:r>
              <w:rPr>
                <w:rFonts w:ascii="Arial" w:cs="Arial" w:eastAsia="Arial" w:hAnsi="Arial"/>
                <w:sz w:val="14"/>
                <w:szCs w:val="14"/>
                <w:color w:val="auto"/>
              </w:rPr>
              <w:t>CAD</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1.294</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(0.004)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0.9</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CHF</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0.970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7,621.0</w:t>
            </w:r>
          </w:p>
        </w:tc>
        <w:tc>
          <w:tcPr>
            <w:tcW w:w="620" w:type="dxa"/>
            <w:vAlign w:val="bottom"/>
          </w:tcPr>
          <w:p>
            <w:pPr>
              <w:ind w:left="120"/>
              <w:spacing w:after="0"/>
              <w:rPr>
                <w:sz w:val="20"/>
                <w:szCs w:val="20"/>
                <w:color w:val="auto"/>
              </w:rPr>
            </w:pPr>
            <w:r>
              <w:rPr>
                <w:rFonts w:ascii="Arial" w:cs="Arial" w:eastAsia="Arial" w:hAnsi="Arial"/>
                <w:sz w:val="14"/>
                <w:szCs w:val="14"/>
                <w:color w:val="auto"/>
              </w:rPr>
              <w:t>CLP</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678.600</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75,725.7</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COP</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3,028.989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190.1</w:t>
            </w:r>
          </w:p>
        </w:tc>
        <w:tc>
          <w:tcPr>
            <w:tcW w:w="620" w:type="dxa"/>
            <w:vAlign w:val="bottom"/>
          </w:tcPr>
          <w:p>
            <w:pPr>
              <w:ind w:left="120"/>
              <w:spacing w:after="0"/>
              <w:rPr>
                <w:sz w:val="20"/>
                <w:szCs w:val="20"/>
                <w:color w:val="auto"/>
              </w:rPr>
            </w:pPr>
            <w:r>
              <w:rPr>
                <w:rFonts w:ascii="Arial" w:cs="Arial" w:eastAsia="Arial" w:hAnsi="Arial"/>
                <w:sz w:val="14"/>
                <w:szCs w:val="14"/>
                <w:color w:val="auto"/>
              </w:rPr>
              <w:t>DKK</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6.623</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0.001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102.7</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178.2</w:t>
            </w:r>
          </w:p>
        </w:tc>
        <w:tc>
          <w:tcPr>
            <w:tcW w:w="620" w:type="dxa"/>
            <w:vAlign w:val="bottom"/>
          </w:tcPr>
          <w:p>
            <w:pPr>
              <w:ind w:left="120"/>
              <w:spacing w:after="0"/>
              <w:rPr>
                <w:sz w:val="20"/>
                <w:szCs w:val="20"/>
                <w:color w:val="auto"/>
              </w:rPr>
            </w:pPr>
            <w:r>
              <w:rPr>
                <w:rFonts w:ascii="Arial" w:cs="Arial" w:eastAsia="Arial" w:hAnsi="Arial"/>
                <w:sz w:val="14"/>
                <w:szCs w:val="14"/>
                <w:color w:val="auto"/>
              </w:rPr>
              <w:t>GBP</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1.447</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0.023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278.3</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67.998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600.8</w:t>
            </w:r>
          </w:p>
        </w:tc>
        <w:tc>
          <w:tcPr>
            <w:tcW w:w="620" w:type="dxa"/>
            <w:vAlign w:val="bottom"/>
          </w:tcPr>
          <w:p>
            <w:pPr>
              <w:ind w:left="120"/>
              <w:spacing w:after="0"/>
              <w:rPr>
                <w:sz w:val="20"/>
                <w:szCs w:val="20"/>
                <w:color w:val="auto"/>
              </w:rPr>
            </w:pPr>
            <w:r>
              <w:rPr>
                <w:rFonts w:ascii="Arial" w:cs="Arial" w:eastAsia="Arial" w:hAnsi="Arial"/>
                <w:sz w:val="14"/>
                <w:szCs w:val="14"/>
                <w:color w:val="auto"/>
              </w:rPr>
              <w:t>JPY</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106.540</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2,234.5</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MXN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18.290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125.8</w:t>
            </w:r>
          </w:p>
        </w:tc>
        <w:tc>
          <w:tcPr>
            <w:tcW w:w="620" w:type="dxa"/>
            <w:vAlign w:val="bottom"/>
          </w:tcPr>
          <w:p>
            <w:pPr>
              <w:ind w:left="120"/>
              <w:spacing w:after="0"/>
              <w:rPr>
                <w:sz w:val="20"/>
                <w:szCs w:val="20"/>
                <w:color w:val="auto"/>
              </w:rPr>
            </w:pPr>
            <w:r>
              <w:rPr>
                <w:rFonts w:ascii="Arial" w:cs="Arial" w:eastAsia="Arial" w:hAnsi="Arial"/>
                <w:sz w:val="14"/>
                <w:szCs w:val="14"/>
                <w:color w:val="auto"/>
              </w:rPr>
              <w:t>NOK</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8.365</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13.8</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20.2</w:t>
            </w:r>
          </w:p>
        </w:tc>
        <w:tc>
          <w:tcPr>
            <w:tcW w:w="620" w:type="dxa"/>
            <w:vAlign w:val="bottom"/>
          </w:tcPr>
          <w:p>
            <w:pPr>
              <w:ind w:left="120"/>
              <w:spacing w:after="0"/>
              <w:rPr>
                <w:sz w:val="20"/>
                <w:szCs w:val="20"/>
                <w:color w:val="auto"/>
              </w:rPr>
            </w:pPr>
            <w:r>
              <w:rPr>
                <w:rFonts w:ascii="Arial" w:cs="Arial" w:eastAsia="Arial" w:hAnsi="Arial"/>
                <w:sz w:val="14"/>
                <w:szCs w:val="14"/>
                <w:color w:val="auto"/>
              </w:rPr>
              <w:t>RON</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4.022</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0.003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103.4</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SEK</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57.1</w:t>
            </w:r>
          </w:p>
        </w:tc>
        <w:tc>
          <w:tcPr>
            <w:tcW w:w="620" w:type="dxa"/>
            <w:vAlign w:val="bottom"/>
          </w:tcPr>
          <w:p>
            <w:pPr>
              <w:ind w:left="120"/>
              <w:spacing w:after="0"/>
              <w:rPr>
                <w:sz w:val="20"/>
                <w:szCs w:val="20"/>
                <w:color w:val="auto"/>
              </w:rPr>
            </w:pPr>
            <w:r>
              <w:rPr>
                <w:rFonts w:ascii="Arial" w:cs="Arial" w:eastAsia="Arial" w:hAnsi="Arial"/>
                <w:sz w:val="14"/>
                <w:szCs w:val="14"/>
                <w:color w:val="auto"/>
              </w:rPr>
              <w:t>SGD</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1.359</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(0.001)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43.2</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ZAR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15.358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25.2</w:t>
            </w:r>
          </w:p>
        </w:tc>
        <w:tc>
          <w:tcPr>
            <w:tcW w:w="620" w:type="dxa"/>
            <w:vAlign w:val="bottom"/>
          </w:tcPr>
          <w:p>
            <w:pPr>
              <w:ind w:left="120"/>
              <w:spacing w:after="0"/>
              <w:rPr>
                <w:sz w:val="20"/>
                <w:szCs w:val="20"/>
                <w:color w:val="auto"/>
              </w:rPr>
            </w:pPr>
            <w:r>
              <w:rPr>
                <w:rFonts w:ascii="Arial" w:cs="Arial" w:eastAsia="Arial" w:hAnsi="Arial"/>
                <w:sz w:val="14"/>
                <w:szCs w:val="14"/>
                <w:color w:val="auto"/>
              </w:rPr>
              <w:t>SEK</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8.301</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7.3</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17.5</w:t>
            </w:r>
          </w:p>
        </w:tc>
        <w:tc>
          <w:tcPr>
            <w:tcW w:w="620" w:type="dxa"/>
            <w:vAlign w:val="bottom"/>
          </w:tcPr>
          <w:p>
            <w:pPr>
              <w:ind w:left="120"/>
              <w:spacing w:after="0"/>
              <w:rPr>
                <w:sz w:val="20"/>
                <w:szCs w:val="20"/>
                <w:color w:val="auto"/>
              </w:rPr>
            </w:pPr>
            <w:r>
              <w:rPr>
                <w:rFonts w:ascii="Arial" w:cs="Arial" w:eastAsia="Arial" w:hAnsi="Arial"/>
                <w:sz w:val="14"/>
                <w:szCs w:val="14"/>
                <w:color w:val="auto"/>
              </w:rPr>
              <w:t>GBP</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1.492</w:t>
            </w:r>
          </w:p>
        </w:tc>
        <w:tc>
          <w:tcPr>
            <w:tcW w:w="2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0.156</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16.9</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SEK</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8.149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1.7</w:t>
            </w:r>
          </w:p>
        </w:tc>
        <w:tc>
          <w:tcPr>
            <w:tcW w:w="620" w:type="dxa"/>
            <w:vAlign w:val="bottom"/>
          </w:tcPr>
          <w:p>
            <w:pPr>
              <w:ind w:left="120"/>
              <w:spacing w:after="0"/>
              <w:rPr>
                <w:sz w:val="20"/>
                <w:szCs w:val="20"/>
                <w:color w:val="auto"/>
              </w:rPr>
            </w:pPr>
            <w:r>
              <w:rPr>
                <w:rFonts w:ascii="Arial" w:cs="Arial" w:eastAsia="Arial" w:hAnsi="Arial"/>
                <w:sz w:val="14"/>
                <w:szCs w:val="14"/>
                <w:color w:val="auto"/>
              </w:rPr>
              <w:t>EUR</w:t>
            </w:r>
          </w:p>
        </w:tc>
        <w:tc>
          <w:tcPr>
            <w:tcW w:w="2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1.105</w:t>
            </w:r>
          </w:p>
        </w:tc>
        <w:tc>
          <w:tcPr>
            <w:tcW w:w="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0.095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Foreign currency contracts</w:t>
            </w:r>
          </w:p>
        </w:tc>
        <w:tc>
          <w:tcPr>
            <w:tcW w:w="13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0.3</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GBP</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1.457</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0.115</w:t>
            </w: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1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Balance Sheet Location</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Derivative assets:</w:t>
            </w:r>
          </w:p>
        </w:tc>
        <w:tc>
          <w:tcPr>
            <w:tcW w:w="3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0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60" w:type="dxa"/>
            <w:vAlign w:val="bottom"/>
            <w:gridSpan w:val="3"/>
          </w:tcPr>
          <w:p>
            <w:pPr>
              <w:spacing w:after="0"/>
              <w:rPr>
                <w:sz w:val="20"/>
                <w:szCs w:val="20"/>
                <w:color w:val="auto"/>
              </w:rPr>
            </w:pPr>
            <w:r>
              <w:rPr>
                <w:rFonts w:ascii="Arial" w:cs="Arial" w:eastAsia="Arial" w:hAnsi="Arial"/>
                <w:sz w:val="14"/>
                <w:szCs w:val="14"/>
                <w:color w:val="auto"/>
                <w:w w:val="94"/>
              </w:rPr>
              <w:t>Derivatives designated as hedging instruments</w:t>
            </w:r>
          </w:p>
        </w:tc>
        <w:tc>
          <w:tcPr>
            <w:tcW w:w="3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Short-term derivative assets, net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8"/>
                <w:szCs w:val="18"/>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122.0</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122.0</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Derivatives not designated as hedging instruments</w:t>
            </w:r>
          </w:p>
        </w:tc>
        <w:tc>
          <w:tcPr>
            <w:tcW w:w="7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48.5</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133.9</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long-term liabilities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3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3"/>
          </w:tcPr>
          <w:p>
            <w:pPr>
              <w:spacing w:after="0" w:line="135" w:lineRule="exact"/>
              <w:rPr>
                <w:sz w:val="20"/>
                <w:szCs w:val="20"/>
                <w:color w:val="auto"/>
              </w:rPr>
            </w:pPr>
            <w:r>
              <w:rPr>
                <w:rFonts w:ascii="Arial" w:cs="Arial" w:eastAsia="Arial" w:hAnsi="Arial"/>
                <w:sz w:val="14"/>
                <w:szCs w:val="14"/>
                <w:color w:val="auto"/>
              </w:rPr>
              <w:t>Derivative liabilities:</w:t>
            </w:r>
          </w:p>
        </w:tc>
        <w:tc>
          <w:tcPr>
            <w:tcW w:w="3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4"/>
              </w:rPr>
              <w:t>Derivatives designated as hedging instruments</w:t>
            </w:r>
          </w:p>
        </w:tc>
        <w:tc>
          <w:tcPr>
            <w:tcW w:w="37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8"/>
                <w:szCs w:val="18"/>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133.4</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133.4</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Derivatives not designated as hedging instruments</w:t>
            </w:r>
          </w:p>
        </w:tc>
        <w:tc>
          <w:tcPr>
            <w:tcW w:w="7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169.2</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long-term liabilities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9.6</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Short-term derivative assets, net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7.7</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color w:val="auto"/>
              </w:rPr>
              <w:t>Foreign currency contracts</w:t>
            </w:r>
          </w:p>
        </w:tc>
        <w:tc>
          <w:tcPr>
            <w:tcW w:w="3740" w:type="dxa"/>
            <w:vAlign w:val="bottom"/>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3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214.9</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a fair value hedging relationship and related hedged items on our consolidated statements of income and comprehensive income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r>
      <w:tr>
        <w:trPr>
          <w:trHeight w:val="201"/>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Derivative Instruments</w:t>
            </w: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Hedged Items</w:t>
            </w: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Gain (Loss)</w:t>
            </w:r>
          </w:p>
        </w:tc>
      </w:tr>
      <w:tr>
        <w:trPr>
          <w:trHeight w:val="210"/>
        </w:trPr>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196"/>
        </w:trPr>
        <w:tc>
          <w:tcPr>
            <w:tcW w:w="2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Three months ended June 30,</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7"/>
        </w:trPr>
        <w:tc>
          <w:tcPr>
            <w:tcW w:w="1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Commodity contracts</w:t>
            </w:r>
          </w:p>
        </w:tc>
        <w:tc>
          <w:tcPr>
            <w:tcW w:w="480" w:type="dxa"/>
            <w:vAlign w:val="bottom"/>
            <w:tcBorders>
              <w:top w:val="single" w:sz="8" w:color="CCEEFF"/>
              <w:bottom w:val="single" w:sz="8" w:color="auto"/>
            </w:tcBorders>
          </w:tcPr>
          <w:p>
            <w:pPr>
              <w:spacing w:after="0"/>
              <w:rPr>
                <w:sz w:val="18"/>
                <w:szCs w:val="18"/>
                <w:color w:val="auto"/>
              </w:rPr>
            </w:pPr>
          </w:p>
        </w:tc>
        <w:tc>
          <w:tcPr>
            <w:tcW w:w="1540" w:type="dxa"/>
            <w:vAlign w:val="bottom"/>
            <w:tcBorders>
              <w:top w:val="single" w:sz="8" w:color="CCEEFF"/>
              <w:bottom w:val="single" w:sz="8" w:color="auto"/>
            </w:tcBorders>
          </w:tcPr>
          <w:p>
            <w:pPr>
              <w:ind w:left="480"/>
              <w:spacing w:after="0"/>
              <w:rPr>
                <w:sz w:val="20"/>
                <w:szCs w:val="20"/>
                <w:color w:val="auto"/>
              </w:rPr>
            </w:pPr>
            <w:r>
              <w:rPr>
                <w:rFonts w:ascii="Arial" w:cs="Arial" w:eastAsia="Arial" w:hAnsi="Arial"/>
                <w:sz w:val="14"/>
                <w:szCs w:val="14"/>
                <w:color w:val="auto"/>
              </w:rPr>
              <w:t>Cost of revenue</w:t>
            </w:r>
          </w:p>
        </w:tc>
        <w:tc>
          <w:tcPr>
            <w:tcW w:w="340" w:type="dxa"/>
            <w:vAlign w:val="bottom"/>
            <w:tcBorders>
              <w:top w:val="single" w:sz="8" w:color="CCEEFF"/>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bottom w:val="single" w:sz="8" w:color="auto"/>
            </w:tcBorders>
          </w:tcPr>
          <w:p>
            <w:pPr>
              <w:ind w:left="320"/>
              <w:spacing w:after="0"/>
              <w:rPr>
                <w:sz w:val="20"/>
                <w:szCs w:val="20"/>
                <w:color w:val="auto"/>
              </w:rPr>
            </w:pPr>
            <w:r>
              <w:rPr>
                <w:rFonts w:ascii="Arial" w:cs="Arial" w:eastAsia="Arial" w:hAnsi="Arial"/>
                <w:sz w:val="14"/>
                <w:szCs w:val="14"/>
                <w:color w:val="auto"/>
              </w:rPr>
              <w:t>(34.2)</w:t>
            </w:r>
          </w:p>
        </w:tc>
        <w:tc>
          <w:tcPr>
            <w:tcW w:w="360" w:type="dxa"/>
            <w:vAlign w:val="bottom"/>
            <w:tcBorders>
              <w:top w:val="single" w:sz="8" w:color="CCEEFF"/>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bottom w:val="single" w:sz="8" w:color="auto"/>
            </w:tcBorders>
          </w:tcPr>
          <w:p>
            <w:pPr>
              <w:ind w:left="240"/>
              <w:spacing w:after="0"/>
              <w:rPr>
                <w:sz w:val="20"/>
                <w:szCs w:val="20"/>
                <w:color w:val="auto"/>
              </w:rPr>
            </w:pPr>
            <w:r>
              <w:rPr>
                <w:rFonts w:ascii="Arial" w:cs="Arial" w:eastAsia="Arial" w:hAnsi="Arial"/>
                <w:sz w:val="14"/>
                <w:szCs w:val="14"/>
                <w:color w:val="auto"/>
                <w:w w:val="87"/>
              </w:rPr>
              <w:t>(20.1)</w:t>
            </w:r>
          </w:p>
        </w:tc>
        <w:tc>
          <w:tcPr>
            <w:tcW w:w="1100" w:type="dxa"/>
            <w:vAlign w:val="bottom"/>
            <w:tcBorders>
              <w:top w:val="single" w:sz="8" w:color="CCEEFF"/>
              <w:bottom w:val="single" w:sz="8" w:color="auto"/>
            </w:tcBorders>
          </w:tcPr>
          <w:p>
            <w:pPr>
              <w:ind w:left="140"/>
              <w:spacing w:after="0"/>
              <w:rPr>
                <w:sz w:val="20"/>
                <w:szCs w:val="20"/>
                <w:color w:val="auto"/>
              </w:rPr>
            </w:pPr>
            <w:r>
              <w:rPr>
                <w:rFonts w:ascii="Arial" w:cs="Arial" w:eastAsia="Arial" w:hAnsi="Arial"/>
                <w:sz w:val="14"/>
                <w:szCs w:val="14"/>
                <w:color w:val="auto"/>
              </w:rPr>
              <w:t>Inventories</w:t>
            </w:r>
          </w:p>
        </w:tc>
        <w:tc>
          <w:tcPr>
            <w:tcW w:w="1160" w:type="dxa"/>
            <w:vAlign w:val="bottom"/>
            <w:tcBorders>
              <w:top w:val="single" w:sz="8" w:color="CCEEFF"/>
              <w:bottom w:val="single" w:sz="8" w:color="auto"/>
            </w:tcBorders>
          </w:tcPr>
          <w:p>
            <w:pPr>
              <w:ind w:left="100"/>
              <w:spacing w:after="0"/>
              <w:rPr>
                <w:sz w:val="20"/>
                <w:szCs w:val="20"/>
                <w:color w:val="auto"/>
              </w:rPr>
            </w:pPr>
            <w:r>
              <w:rPr>
                <w:rFonts w:ascii="Arial" w:cs="Arial" w:eastAsia="Arial" w:hAnsi="Arial"/>
                <w:sz w:val="14"/>
                <w:szCs w:val="14"/>
                <w:color w:val="auto"/>
              </w:rPr>
              <w:t>Cost of revenue</w:t>
            </w:r>
          </w:p>
        </w:tc>
        <w:tc>
          <w:tcPr>
            <w:tcW w:w="380" w:type="dxa"/>
            <w:vAlign w:val="bottom"/>
            <w:tcBorders>
              <w:top w:val="single" w:sz="8" w:color="CCEEFF"/>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203"/>
        </w:trPr>
        <w:tc>
          <w:tcPr>
            <w:tcW w:w="2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Six months ended June 30,</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7"/>
        </w:trPr>
        <w:tc>
          <w:tcPr>
            <w:tcW w:w="1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Commodity contracts</w:t>
            </w:r>
          </w:p>
        </w:tc>
        <w:tc>
          <w:tcPr>
            <w:tcW w:w="620" w:type="dxa"/>
            <w:vAlign w:val="bottom"/>
            <w:tcBorders>
              <w:top w:val="single" w:sz="8" w:color="CCEEFF"/>
              <w:bottom w:val="single" w:sz="8" w:color="auto"/>
            </w:tcBorders>
            <w:gridSpan w:val="2"/>
          </w:tcPr>
          <w:p>
            <w:pPr>
              <w:spacing w:after="0"/>
              <w:rPr>
                <w:sz w:val="18"/>
                <w:szCs w:val="18"/>
                <w:color w:val="auto"/>
              </w:rPr>
            </w:pPr>
          </w:p>
        </w:tc>
        <w:tc>
          <w:tcPr>
            <w:tcW w:w="1540" w:type="dxa"/>
            <w:vAlign w:val="bottom"/>
            <w:tcBorders>
              <w:top w:val="single" w:sz="8" w:color="CCEEFF"/>
              <w:bottom w:val="single" w:sz="8" w:color="auto"/>
            </w:tcBorders>
          </w:tcPr>
          <w:p>
            <w:pPr>
              <w:ind w:left="480"/>
              <w:spacing w:after="0"/>
              <w:rPr>
                <w:sz w:val="20"/>
                <w:szCs w:val="20"/>
                <w:color w:val="auto"/>
              </w:rPr>
            </w:pPr>
            <w:r>
              <w:rPr>
                <w:rFonts w:ascii="Arial" w:cs="Arial" w:eastAsia="Arial" w:hAnsi="Arial"/>
                <w:sz w:val="14"/>
                <w:szCs w:val="14"/>
                <w:color w:val="auto"/>
              </w:rPr>
              <w:t>Cost of revenue</w:t>
            </w:r>
          </w:p>
        </w:tc>
        <w:tc>
          <w:tcPr>
            <w:tcW w:w="340" w:type="dxa"/>
            <w:vAlign w:val="bottom"/>
            <w:tcBorders>
              <w:top w:val="single" w:sz="8" w:color="CCEEFF"/>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bottom w:val="single" w:sz="8" w:color="auto"/>
            </w:tcBorders>
          </w:tcPr>
          <w:p>
            <w:pPr>
              <w:ind w:left="320"/>
              <w:spacing w:after="0"/>
              <w:rPr>
                <w:sz w:val="20"/>
                <w:szCs w:val="20"/>
                <w:color w:val="auto"/>
              </w:rPr>
            </w:pPr>
            <w:r>
              <w:rPr>
                <w:rFonts w:ascii="Arial" w:cs="Arial" w:eastAsia="Arial" w:hAnsi="Arial"/>
                <w:sz w:val="14"/>
                <w:szCs w:val="14"/>
                <w:color w:val="auto"/>
              </w:rPr>
              <w:t>(30.8)</w:t>
            </w:r>
          </w:p>
        </w:tc>
        <w:tc>
          <w:tcPr>
            <w:tcW w:w="360" w:type="dxa"/>
            <w:vAlign w:val="bottom"/>
            <w:tcBorders>
              <w:top w:val="single" w:sz="8" w:color="CCEEFF"/>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bottom w:val="single" w:sz="8" w:color="auto"/>
            </w:tcBorders>
          </w:tcPr>
          <w:p>
            <w:pPr>
              <w:ind w:left="240"/>
              <w:spacing w:after="0"/>
              <w:rPr>
                <w:sz w:val="20"/>
                <w:szCs w:val="20"/>
                <w:color w:val="auto"/>
              </w:rPr>
            </w:pPr>
            <w:r>
              <w:rPr>
                <w:rFonts w:ascii="Arial" w:cs="Arial" w:eastAsia="Arial" w:hAnsi="Arial"/>
                <w:sz w:val="14"/>
                <w:szCs w:val="14"/>
                <w:color w:val="auto"/>
                <w:w w:val="87"/>
              </w:rPr>
              <w:t>(16.1)</w:t>
            </w:r>
          </w:p>
        </w:tc>
        <w:tc>
          <w:tcPr>
            <w:tcW w:w="1100" w:type="dxa"/>
            <w:vAlign w:val="bottom"/>
            <w:tcBorders>
              <w:top w:val="single" w:sz="8" w:color="CCEEFF"/>
              <w:bottom w:val="single" w:sz="8" w:color="auto"/>
            </w:tcBorders>
          </w:tcPr>
          <w:p>
            <w:pPr>
              <w:ind w:left="140"/>
              <w:spacing w:after="0"/>
              <w:rPr>
                <w:sz w:val="20"/>
                <w:szCs w:val="20"/>
                <w:color w:val="auto"/>
              </w:rPr>
            </w:pPr>
            <w:r>
              <w:rPr>
                <w:rFonts w:ascii="Arial" w:cs="Arial" w:eastAsia="Arial" w:hAnsi="Arial"/>
                <w:sz w:val="14"/>
                <w:szCs w:val="14"/>
                <w:color w:val="auto"/>
              </w:rPr>
              <w:t>Inventories</w:t>
            </w:r>
          </w:p>
        </w:tc>
        <w:tc>
          <w:tcPr>
            <w:tcW w:w="1160" w:type="dxa"/>
            <w:vAlign w:val="bottom"/>
            <w:tcBorders>
              <w:top w:val="single" w:sz="8" w:color="CCEEFF"/>
              <w:bottom w:val="single" w:sz="8" w:color="auto"/>
            </w:tcBorders>
          </w:tcPr>
          <w:p>
            <w:pPr>
              <w:ind w:left="100"/>
              <w:spacing w:after="0"/>
              <w:rPr>
                <w:sz w:val="20"/>
                <w:szCs w:val="20"/>
                <w:color w:val="auto"/>
              </w:rPr>
            </w:pPr>
            <w:r>
              <w:rPr>
                <w:rFonts w:ascii="Arial" w:cs="Arial" w:eastAsia="Arial" w:hAnsi="Arial"/>
                <w:sz w:val="14"/>
                <w:szCs w:val="14"/>
                <w:color w:val="auto"/>
              </w:rPr>
              <w:t>Cost of revenue</w:t>
            </w:r>
          </w:p>
        </w:tc>
        <w:tc>
          <w:tcPr>
            <w:tcW w:w="380" w:type="dxa"/>
            <w:vAlign w:val="bottom"/>
            <w:tcBorders>
              <w:top w:val="single" w:sz="8" w:color="CCEEFF"/>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bottom w:val="single" w:sz="8" w:color="auto"/>
            </w:tcBorders>
          </w:tcPr>
          <w:p>
            <w:pPr>
              <w:jc w:val="right"/>
              <w:ind w:right="28"/>
              <w:spacing w:after="0"/>
              <w:rPr>
                <w:sz w:val="20"/>
                <w:szCs w:val="20"/>
                <w:color w:val="auto"/>
              </w:rPr>
            </w:pPr>
            <w:r>
              <w:rPr>
                <w:rFonts w:ascii="Arial" w:cs="Arial" w:eastAsia="Arial" w:hAnsi="Arial"/>
                <w:sz w:val="14"/>
                <w:szCs w:val="14"/>
                <w:color w:val="auto"/>
              </w:rPr>
              <w:t>10.7</w:t>
            </w: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19.3</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gains or losses for the three and six months ended June 30, 2016 and 2015 that were excluded from the assessment of the effectiveness of our fair value hedges.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Amount of Gain (Loss)</w:t>
            </w: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 of Gain (Loss)</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Location of Realized</w:t>
            </w:r>
          </w:p>
        </w:tc>
        <w:tc>
          <w:tcPr>
            <w:tcW w:w="220" w:type="dxa"/>
            <w:vAlign w:val="bottom"/>
          </w:tcPr>
          <w:p>
            <w:pPr>
              <w:spacing w:after="0"/>
              <w:rPr>
                <w:sz w:val="12"/>
                <w:szCs w:val="12"/>
                <w:color w:val="auto"/>
              </w:rPr>
            </w:pPr>
          </w:p>
        </w:tc>
        <w:tc>
          <w:tcPr>
            <w:tcW w:w="20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Reclassified from</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Recognized in Accumulated</w:t>
            </w:r>
          </w:p>
        </w:tc>
        <w:tc>
          <w:tcPr>
            <w:tcW w:w="1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Accumulated Other</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 Income</w:t>
            </w:r>
          </w:p>
        </w:tc>
        <w:tc>
          <w:tcPr>
            <w:tcW w:w="1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 (Loss)   (Effective</w:t>
            </w:r>
          </w:p>
        </w:tc>
        <w:tc>
          <w:tcPr>
            <w:tcW w:w="220" w:type="dxa"/>
            <w:vAlign w:val="bottom"/>
          </w:tcPr>
          <w:p>
            <w:pPr>
              <w:spacing w:after="0"/>
              <w:rPr>
                <w:sz w:val="12"/>
                <w:szCs w:val="12"/>
                <w:color w:val="auto"/>
              </w:rPr>
            </w:pPr>
          </w:p>
        </w:tc>
        <w:tc>
          <w:tcPr>
            <w:tcW w:w="20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Comprehensive Income</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Recognized in Income</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(Effective Portion)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Portion)</w:t>
            </w:r>
          </w:p>
        </w:tc>
        <w:tc>
          <w:tcPr>
            <w:tcW w:w="220" w:type="dxa"/>
            <w:vAlign w:val="bottom"/>
          </w:tcPr>
          <w:p>
            <w:pPr>
              <w:spacing w:after="0"/>
              <w:rPr>
                <w:sz w:val="16"/>
                <w:szCs w:val="16"/>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(Effective Portion)</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(Ineffective Portion)</w:t>
            </w:r>
          </w:p>
        </w:tc>
        <w:tc>
          <w:tcPr>
            <w:tcW w:w="0" w:type="dxa"/>
            <w:vAlign w:val="bottom"/>
          </w:tcPr>
          <w:p>
            <w:pPr>
              <w:spacing w:after="0"/>
              <w:rPr>
                <w:sz w:val="1"/>
                <w:szCs w:val="1"/>
                <w:color w:val="auto"/>
              </w:rPr>
            </w:pPr>
          </w:p>
        </w:tc>
      </w:tr>
      <w:tr>
        <w:trPr>
          <w:trHeight w:val="201"/>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 Instruments</w:t>
            </w: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Three Months ended June 30,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4"/>
                <w:szCs w:val="14"/>
                <w:color w:val="auto"/>
              </w:rPr>
              <w:t>Commodity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(70.0)</w:t>
            </w:r>
          </w:p>
        </w:tc>
        <w:tc>
          <w:tcPr>
            <w:tcW w:w="400" w:type="dxa"/>
            <w:vAlign w:val="bottom"/>
          </w:tcPr>
          <w:p>
            <w:pPr>
              <w:jc w:val="center"/>
              <w:ind w:right="188"/>
              <w:spacing w:after="0"/>
              <w:rPr>
                <w:sz w:val="20"/>
                <w:szCs w:val="20"/>
                <w:color w:val="auto"/>
              </w:rPr>
            </w:pPr>
            <w:r>
              <w:rPr>
                <w:rFonts w:ascii="Arial" w:cs="Arial" w:eastAsia="Arial" w:hAnsi="Arial"/>
                <w:sz w:val="14"/>
                <w:szCs w:val="14"/>
                <w:color w:val="auto"/>
                <w:w w:val="76"/>
              </w:rPr>
              <w:t>$</w:t>
            </w:r>
          </w:p>
        </w:tc>
        <w:tc>
          <w:tcPr>
            <w:tcW w:w="2320" w:type="dxa"/>
            <w:vAlign w:val="bottom"/>
            <w:gridSpan w:val="3"/>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Revenue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5.4</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(15.0)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40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w:t>
            </w:r>
          </w:p>
        </w:tc>
        <w:tc>
          <w:tcPr>
            <w:tcW w:w="7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w:t>
            </w:r>
          </w:p>
        </w:tc>
        <w:tc>
          <w:tcPr>
            <w:tcW w:w="7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Six Months ended June 30,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4"/>
                <w:szCs w:val="14"/>
                <w:color w:val="auto"/>
              </w:rPr>
              <w:t>Commodity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(116.5)</w:t>
            </w:r>
          </w:p>
        </w:tc>
        <w:tc>
          <w:tcPr>
            <w:tcW w:w="400" w:type="dxa"/>
            <w:vAlign w:val="bottom"/>
          </w:tcPr>
          <w:p>
            <w:pPr>
              <w:jc w:val="center"/>
              <w:ind w:right="188"/>
              <w:spacing w:after="0"/>
              <w:rPr>
                <w:sz w:val="20"/>
                <w:szCs w:val="20"/>
                <w:color w:val="auto"/>
              </w:rPr>
            </w:pPr>
            <w:r>
              <w:rPr>
                <w:rFonts w:ascii="Arial" w:cs="Arial" w:eastAsia="Arial" w:hAnsi="Arial"/>
                <w:sz w:val="14"/>
                <w:szCs w:val="14"/>
                <w:color w:val="auto"/>
                <w:w w:val="76"/>
              </w:rPr>
              <w:t>$</w:t>
            </w:r>
          </w:p>
        </w:tc>
        <w:tc>
          <w:tcPr>
            <w:tcW w:w="2320" w:type="dxa"/>
            <w:vAlign w:val="bottom"/>
            <w:gridSpan w:val="3"/>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Revenue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(48.4)</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(15.1)</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112.9</w:t>
            </w:r>
          </w:p>
        </w:tc>
        <w:tc>
          <w:tcPr>
            <w:tcW w:w="40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55.5</w:t>
            </w:r>
          </w:p>
        </w:tc>
        <w:tc>
          <w:tcPr>
            <w:tcW w:w="7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12.8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4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w:t>
            </w:r>
          </w:p>
        </w:tc>
        <w:tc>
          <w:tcPr>
            <w:tcW w:w="7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  $</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and six months ended June 30, 2016, we recorded a loss of $15.0 million in revenue and income of $9.9 million in cost of revenue, related to hedge ineffectiveness.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r>
      <w:tr>
        <w:trPr>
          <w:trHeight w:val="201"/>
        </w:trPr>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Derivatives</w:t>
            </w:r>
          </w:p>
        </w:tc>
        <w:tc>
          <w:tcPr>
            <w:tcW w:w="36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Location</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 (Loss)</w:t>
            </w:r>
          </w:p>
        </w:tc>
      </w:tr>
      <w:tr>
        <w:trPr>
          <w:trHeight w:val="210"/>
        </w:trPr>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196"/>
        </w:trPr>
        <w:tc>
          <w:tcPr>
            <w:tcW w:w="2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Three months ended June 30,</w:t>
            </w:r>
          </w:p>
        </w:tc>
        <w:tc>
          <w:tcPr>
            <w:tcW w:w="3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Commodity contracts</w:t>
            </w:r>
          </w:p>
        </w:tc>
        <w:tc>
          <w:tcPr>
            <w:tcW w:w="112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ind w:left="1120"/>
              <w:spacing w:after="0"/>
              <w:rPr>
                <w:sz w:val="20"/>
                <w:szCs w:val="20"/>
                <w:color w:val="auto"/>
              </w:rPr>
            </w:pPr>
            <w:r>
              <w:rPr>
                <w:rFonts w:ascii="Arial" w:cs="Arial" w:eastAsia="Arial" w:hAnsi="Arial"/>
                <w:sz w:val="14"/>
                <w:szCs w:val="14"/>
                <w:color w:val="auto"/>
              </w:rPr>
              <w:t>Revenue</w:t>
            </w:r>
          </w:p>
        </w:tc>
        <w:tc>
          <w:tcPr>
            <w:tcW w:w="138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(5.5)</w:t>
            </w:r>
          </w:p>
        </w:tc>
        <w:tc>
          <w:tcPr>
            <w:tcW w:w="40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25.4</w:t>
            </w: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36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Cost of 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216"/>
        </w:trPr>
        <w:tc>
          <w:tcPr>
            <w:tcW w:w="2800" w:type="dxa"/>
            <w:vAlign w:val="bottom"/>
            <w:gridSpan w:val="3"/>
          </w:tcPr>
          <w:p>
            <w:pPr>
              <w:spacing w:after="0"/>
              <w:rPr>
                <w:sz w:val="20"/>
                <w:szCs w:val="20"/>
                <w:color w:val="auto"/>
              </w:rPr>
            </w:pPr>
            <w:r>
              <w:rPr>
                <w:rFonts w:ascii="Arial" w:cs="Arial" w:eastAsia="Arial" w:hAnsi="Arial"/>
                <w:sz w:val="14"/>
                <w:szCs w:val="14"/>
                <w:color w:val="auto"/>
              </w:rPr>
              <w:t>Foreign currency contracts</w:t>
            </w:r>
          </w:p>
        </w:tc>
        <w:tc>
          <w:tcPr>
            <w:tcW w:w="3620" w:type="dxa"/>
            <w:vAlign w:val="bottom"/>
          </w:tcPr>
          <w:p>
            <w:pPr>
              <w:ind w:left="1120"/>
              <w:spacing w:after="0"/>
              <w:rPr>
                <w:sz w:val="20"/>
                <w:szCs w:val="20"/>
                <w:color w:val="auto"/>
              </w:rPr>
            </w:pPr>
            <w:r>
              <w:rPr>
                <w:rFonts w:ascii="Arial" w:cs="Arial" w:eastAsia="Arial" w:hAnsi="Arial"/>
                <w:sz w:val="14"/>
                <w:szCs w:val="14"/>
                <w:color w:val="auto"/>
              </w:rPr>
              <w:t>Revenue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16"/>
        </w:trPr>
        <w:tc>
          <w:tcPr>
            <w:tcW w:w="28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Foreign currency contracts</w:t>
            </w:r>
          </w:p>
        </w:tc>
        <w:tc>
          <w:tcPr>
            <w:tcW w:w="36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Other (expense) income, net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17"/>
        </w:trPr>
        <w:tc>
          <w:tcPr>
            <w:tcW w:w="1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2800" w:type="dxa"/>
            <w:vAlign w:val="bottom"/>
            <w:gridSpan w:val="3"/>
          </w:tcPr>
          <w:p>
            <w:pPr>
              <w:spacing w:after="0"/>
              <w:rPr>
                <w:sz w:val="20"/>
                <w:szCs w:val="20"/>
                <w:color w:val="auto"/>
              </w:rPr>
            </w:pPr>
            <w:r>
              <w:rPr>
                <w:rFonts w:ascii="Arial" w:cs="Arial" w:eastAsia="Arial" w:hAnsi="Arial"/>
                <w:sz w:val="14"/>
                <w:szCs w:val="14"/>
                <w:color w:val="auto"/>
              </w:rPr>
              <w:t>Six months ended June 30,</w:t>
            </w:r>
          </w:p>
        </w:tc>
        <w:tc>
          <w:tcPr>
            <w:tcW w:w="3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126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Revenue</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33.4</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216"/>
        </w:trPr>
        <w:tc>
          <w:tcPr>
            <w:tcW w:w="2800" w:type="dxa"/>
            <w:vAlign w:val="bottom"/>
            <w:gridSpan w:val="3"/>
          </w:tcPr>
          <w:p>
            <w:pPr>
              <w:spacing w:after="0"/>
              <w:rPr>
                <w:sz w:val="20"/>
                <w:szCs w:val="20"/>
                <w:color w:val="auto"/>
              </w:rPr>
            </w:pPr>
            <w:r>
              <w:rPr>
                <w:rFonts w:ascii="Arial" w:cs="Arial" w:eastAsia="Arial" w:hAnsi="Arial"/>
                <w:sz w:val="14"/>
                <w:szCs w:val="14"/>
                <w:color w:val="auto"/>
              </w:rPr>
              <w:t>Commodity contracts</w:t>
            </w:r>
          </w:p>
        </w:tc>
        <w:tc>
          <w:tcPr>
            <w:tcW w:w="3620" w:type="dxa"/>
            <w:vAlign w:val="bottom"/>
          </w:tcPr>
          <w:p>
            <w:pPr>
              <w:ind w:left="1120"/>
              <w:spacing w:after="0"/>
              <w:rPr>
                <w:sz w:val="20"/>
                <w:szCs w:val="20"/>
                <w:color w:val="auto"/>
              </w:rPr>
            </w:pPr>
            <w:r>
              <w:rPr>
                <w:rFonts w:ascii="Arial" w:cs="Arial" w:eastAsia="Arial" w:hAnsi="Arial"/>
                <w:sz w:val="14"/>
                <w:szCs w:val="14"/>
                <w:color w:val="auto"/>
              </w:rPr>
              <w:t>Cost of revenue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Foreign currency contracts</w:t>
            </w:r>
          </w:p>
        </w:tc>
        <w:tc>
          <w:tcPr>
            <w:tcW w:w="36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Foreign currency contracts</w:t>
            </w:r>
          </w:p>
        </w:tc>
        <w:tc>
          <w:tcPr>
            <w:tcW w:w="36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Other (expense) income,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17"/>
        </w:trPr>
        <w:tc>
          <w:tcPr>
            <w:tcW w:w="1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net liability position for such contracts, the collateral posted and amount of assets required to be posted and/or to settle the positions should a credit-risk contingent feature be triggered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80" w:type="dxa"/>
            <w:vAlign w:val="bottom"/>
          </w:tcPr>
          <w:p>
            <w:pPr>
              <w:jc w:val="right"/>
              <w:ind w:right="128"/>
              <w:spacing w:after="0"/>
              <w:rPr>
                <w:sz w:val="20"/>
                <w:szCs w:val="20"/>
                <w:color w:val="auto"/>
              </w:rPr>
            </w:pPr>
            <w:r>
              <w:rPr>
                <w:rFonts w:ascii="Arial" w:cs="Arial" w:eastAsia="Arial" w:hAnsi="Arial"/>
                <w:sz w:val="14"/>
                <w:szCs w:val="14"/>
                <w:b w:val="1"/>
                <w:bCs w:val="1"/>
                <w:color w:val="auto"/>
              </w:rPr>
              <w:t>Net Liability Position</w:t>
            </w:r>
          </w:p>
        </w:tc>
        <w:tc>
          <w:tcPr>
            <w:tcW w:w="68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Collateral</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Contingent</w:t>
            </w:r>
          </w:p>
        </w:tc>
      </w:tr>
      <w:tr>
        <w:trPr>
          <w:trHeight w:val="201"/>
        </w:trPr>
        <w:tc>
          <w:tcPr>
            <w:tcW w:w="2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Subject to Collateral Requirements</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Posted</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Additional Collateral</w:t>
            </w:r>
          </w:p>
        </w:tc>
      </w:tr>
      <w:tr>
        <w:trPr>
          <w:trHeight w:val="210"/>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As of June 30, 2016</w:t>
            </w:r>
          </w:p>
        </w:tc>
        <w:tc>
          <w:tcPr>
            <w:tcW w:w="128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r>
      <w:tr>
        <w:trPr>
          <w:trHeight w:val="217"/>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Commodity contracts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16.0</w:t>
            </w:r>
          </w:p>
        </w:tc>
        <w:tc>
          <w:tcPr>
            <w:tcW w:w="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16"/>
        </w:trPr>
        <w:tc>
          <w:tcPr>
            <w:tcW w:w="2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2015</w:t>
            </w:r>
          </w:p>
        </w:tc>
        <w:tc>
          <w:tcPr>
            <w:tcW w:w="1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7"/>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Commodity contract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63.2</w:t>
            </w:r>
          </w:p>
        </w:tc>
        <w:tc>
          <w:tcPr>
            <w:tcW w:w="6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(28.1)</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5" w:name="page16"/>
    <w:bookmarkEnd w:id="15"/>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781" w:hanging="781"/>
        <w:spacing w:after="0"/>
        <w:tabs>
          <w:tab w:leader="none" w:pos="78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1" w:firstLine="324"/>
        <w:spacing w:after="0" w:line="293"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$796.5 million and $772.2 million as of June 30, 2016 and December 31, 2015, respectively, and our notes receivable of $7.4 million and $7.4 million as of June 30, 2016 and December 31, 2015, respectively, are categorized in Level 3.</w:t>
      </w:r>
    </w:p>
    <w:p>
      <w:pPr>
        <w:spacing w:after="0" w:line="97" w:lineRule="exact"/>
        <w:rPr>
          <w:sz w:val="20"/>
          <w:szCs w:val="20"/>
          <w:color w:val="auto"/>
        </w:rPr>
      </w:pPr>
    </w:p>
    <w:p>
      <w:pPr>
        <w:jc w:val="both"/>
        <w:ind w:left="1"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millions):</w:t>
      </w: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Netting</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Sub-Total</w:t>
            </w:r>
          </w:p>
        </w:tc>
        <w:tc>
          <w:tcPr>
            <w:tcW w:w="3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and</w:t>
            </w:r>
          </w:p>
        </w:tc>
        <w:tc>
          <w:tcPr>
            <w:tcW w:w="4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Collateral</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As of June 30, 2016</w:t>
            </w:r>
          </w:p>
        </w:tc>
        <w:tc>
          <w:tcPr>
            <w:tcW w:w="19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213.6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123.6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337.7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(287.6)</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Cash surrender value of life insurance</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213.6</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(296.5)</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127.1</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(304.7)</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rPr>
                <w:sz w:val="20"/>
                <w:szCs w:val="20"/>
                <w:color w:val="auto"/>
              </w:rPr>
            </w:pPr>
            <w:r>
              <w:rPr>
                <w:rFonts w:ascii="Arial" w:cs="Arial" w:eastAsia="Arial" w:hAnsi="Arial"/>
                <w:sz w:val="14"/>
                <w:szCs w:val="14"/>
                <w:color w:val="auto"/>
              </w:rPr>
              <w:t>As of December 31, 2015</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255.4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251.9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510.5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(279.0)</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Cash surrender value of life insurance</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266.7</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525.3</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(283.1)</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(389.6)</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340.1</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(393.7)</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 w:firstLine="324"/>
        <w:spacing w:after="0" w:line="277" w:lineRule="auto"/>
        <w:rPr>
          <w:sz w:val="20"/>
          <w:szCs w:val="20"/>
          <w:color w:val="auto"/>
        </w:rPr>
      </w:pPr>
      <w:r>
        <w:rPr>
          <w:rFonts w:ascii="Arial" w:cs="Arial" w:eastAsia="Arial" w:hAnsi="Arial"/>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pacing w:after="0" w:line="170" w:lineRule="exact"/>
        <w:rPr>
          <w:sz w:val="20"/>
          <w:szCs w:val="20"/>
          <w:color w:val="auto"/>
        </w:rPr>
      </w:pPr>
    </w:p>
    <w:p>
      <w:pPr>
        <w:jc w:val="both"/>
        <w:ind w:left="1" w:firstLine="324"/>
        <w:spacing w:after="0" w:line="293" w:lineRule="auto"/>
        <w:rPr>
          <w:sz w:val="20"/>
          <w:szCs w:val="20"/>
          <w:color w:val="auto"/>
        </w:rPr>
      </w:pPr>
      <w:r>
        <w:rPr>
          <w:rFonts w:ascii="Arial" w:cs="Arial" w:eastAsia="Arial" w:hAnsi="Arial"/>
          <w:sz w:val="16"/>
          <w:szCs w:val="16"/>
          <w:i w:val="1"/>
          <w:iCs w:val="1"/>
          <w:color w:val="auto"/>
        </w:rPr>
        <w:t xml:space="preserve">Nonrecurring Fair Value Measurements. </w:t>
      </w:r>
      <w:r>
        <w:rPr>
          <w:rFonts w:ascii="Arial" w:cs="Arial" w:eastAsia="Arial" w:hAnsi="Arial"/>
          <w:sz w:val="16"/>
          <w:szCs w:val="16"/>
          <w:color w:val="auto"/>
        </w:rPr>
        <w:t>In connection with the acquisition of all of the outstanding stock of Pester on September 1,</w:t>
      </w:r>
      <w:r>
        <w:rPr>
          <w:rFonts w:ascii="Arial" w:cs="Arial" w:eastAsia="Arial" w:hAnsi="Arial"/>
          <w:sz w:val="16"/>
          <w:szCs w:val="16"/>
          <w:i w:val="1"/>
          <w:iCs w:val="1"/>
          <w:color w:val="auto"/>
        </w:rPr>
        <w:t xml:space="preserve"> </w:t>
      </w:r>
      <w:r>
        <w:rPr>
          <w:rFonts w:ascii="Arial" w:cs="Arial" w:eastAsia="Arial" w:hAnsi="Arial"/>
          <w:sz w:val="16"/>
          <w:szCs w:val="16"/>
          <w:color w:val="auto"/>
        </w:rPr>
        <w:t>2015, we committed to a plan to sell certain assets and liabilities of Pester’s fuel retail business. The fair value of the assets and liabilities held for sale were measured using a discounted cash flow valuation methodology. In accordance with the applicable accounting guidance, the long-lived assets held for sale were recorded at fair value less cost to sell. The carrying amounts of the current assets and liabilities held for sale approximate fair value based on the short-term maturities of these instruments. On May 1, 2016, we completed the sale of Pester’s retail business for $29.3 million in cash and an additional $3.0 million to be received at a future date.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r>
      <w:tr>
        <w:trPr>
          <w:trHeight w:val="142"/>
        </w:trPr>
        <w:tc>
          <w:tcPr>
            <w:tcW w:w="1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June 30, 2016</w:t>
            </w: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r>
      <w:tr>
        <w:trPr>
          <w:trHeight w:val="196"/>
        </w:trPr>
        <w:tc>
          <w:tcPr>
            <w:tcW w:w="1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3"/>
              </w:rPr>
              <w:t>Commodity Contracts</w:t>
            </w:r>
          </w:p>
        </w:tc>
        <w:tc>
          <w:tcPr>
            <w:tcW w:w="3660" w:type="dxa"/>
            <w:vAlign w:val="bottom"/>
            <w:tcBorders>
              <w:bottom w:val="single" w:sz="8" w:color="CCEEFF"/>
            </w:tcBorders>
            <w:gridSpan w:val="2"/>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10"/>
        </w:trPr>
        <w:tc>
          <w:tcPr>
            <w:tcW w:w="4940" w:type="dxa"/>
            <w:vAlign w:val="bottom"/>
            <w:gridSpan w:val="3"/>
          </w:tcPr>
          <w:p>
            <w:pPr>
              <w:spacing w:after="0"/>
              <w:rPr>
                <w:sz w:val="20"/>
                <w:szCs w:val="20"/>
                <w:color w:val="auto"/>
              </w:rPr>
            </w:pPr>
            <w:r>
              <w:rPr>
                <w:rFonts w:ascii="Arial" w:cs="Arial" w:eastAsia="Arial" w:hAnsi="Arial"/>
                <w:sz w:val="14"/>
                <w:szCs w:val="14"/>
                <w:color w:val="auto"/>
              </w:rPr>
              <w:t>Assets: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9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Short-term derivative assets, net</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r>
      <w:tr>
        <w:trPr>
          <w:trHeight w:val="216"/>
        </w:trPr>
        <w:tc>
          <w:tcPr>
            <w:tcW w:w="4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1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r>
        <w:trPr>
          <w:trHeight w:val="217"/>
        </w:trPr>
        <w:tc>
          <w:tcPr>
            <w:tcW w:w="4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Total net assets</w:t>
            </w:r>
          </w:p>
        </w:tc>
        <w:tc>
          <w:tcPr>
            <w:tcW w:w="2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231.5</w:t>
            </w:r>
          </w:p>
        </w:tc>
      </w:tr>
      <w:tr>
        <w:trPr>
          <w:trHeight w:val="216"/>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2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68.7</w:t>
            </w:r>
          </w:p>
        </w:tc>
      </w:tr>
      <w:tr>
        <w:trPr>
          <w:trHeight w:val="216"/>
        </w:trPr>
        <w:tc>
          <w:tcPr>
            <w:tcW w:w="49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Other long-term liabilities</w:t>
            </w:r>
          </w:p>
        </w:tc>
        <w:tc>
          <w:tcPr>
            <w:tcW w:w="1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17"/>
        </w:trPr>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Total net liabilities</w:t>
            </w:r>
          </w:p>
        </w:tc>
        <w:tc>
          <w:tcPr>
            <w:tcW w:w="2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r>
      <w:tr>
        <w:trPr>
          <w:trHeight w:val="216"/>
        </w:trPr>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940" w:type="dxa"/>
            <w:vAlign w:val="bottom"/>
            <w:gridSpan w:val="3"/>
          </w:tcPr>
          <w:p>
            <w:pPr>
              <w:spacing w:after="0"/>
              <w:rPr>
                <w:sz w:val="20"/>
                <w:szCs w:val="20"/>
                <w:color w:val="auto"/>
              </w:rPr>
            </w:pPr>
            <w:r>
              <w:rPr>
                <w:rFonts w:ascii="Arial" w:cs="Arial" w:eastAsia="Arial" w:hAnsi="Arial"/>
                <w:sz w:val="14"/>
                <w:szCs w:val="14"/>
                <w:color w:val="auto"/>
              </w:rPr>
              <w:t>Foreign Currency Contracts</w:t>
            </w: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160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Assets:</w:t>
            </w:r>
          </w:p>
        </w:tc>
        <w:tc>
          <w:tcPr>
            <w:tcW w:w="3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100"/>
              <w:spacing w:after="0"/>
              <w:rPr>
                <w:sz w:val="20"/>
                <w:szCs w:val="20"/>
                <w:color w:val="auto"/>
              </w:rPr>
            </w:pPr>
            <w:r>
              <w:rPr>
                <w:rFonts w:ascii="Arial" w:cs="Arial" w:eastAsia="Arial" w:hAnsi="Arial"/>
                <w:sz w:val="14"/>
                <w:szCs w:val="14"/>
                <w:color w:val="auto"/>
              </w:rPr>
              <w:t>Short-term derivative assets, net</w:t>
            </w:r>
          </w:p>
        </w:tc>
        <w:tc>
          <w:tcPr>
            <w:tcW w:w="2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16"/>
        </w:trPr>
        <w:tc>
          <w:tcPr>
            <w:tcW w:w="49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Identifiable intangible and other non-current assets</w:t>
            </w:r>
          </w:p>
        </w:tc>
        <w:tc>
          <w:tcPr>
            <w:tcW w:w="1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17"/>
        </w:trPr>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Total net assets</w:t>
            </w:r>
          </w:p>
        </w:tc>
        <w:tc>
          <w:tcPr>
            <w:tcW w:w="2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216"/>
        </w:trPr>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100"/>
              <w:spacing w:after="0"/>
              <w:rPr>
                <w:sz w:val="20"/>
                <w:szCs w:val="20"/>
                <w:color w:val="auto"/>
              </w:rPr>
            </w:pPr>
            <w:r>
              <w:rPr>
                <w:rFonts w:ascii="Arial" w:cs="Arial" w:eastAsia="Arial" w:hAnsi="Arial"/>
                <w:sz w:val="14"/>
                <w:szCs w:val="14"/>
                <w:color w:val="auto"/>
              </w:rPr>
              <w:t>Liabilities: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9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2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17"/>
        </w:trPr>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Total net liabilities</w:t>
            </w:r>
          </w:p>
        </w:tc>
        <w:tc>
          <w:tcPr>
            <w:tcW w:w="2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June 30, 2016, we had $54.7 million of cash collateral deposits held by financial counterparties, of which $12.4 million have been offset against the total amount of commodity fair value liabilities in the above table and the remaining $42.3 million is included in other current assets in the accompanying consolidated balance sheets. In addition, as of June 30, 2016, we have offset $4.2 million of cash collateral deposits received from customers against the total amount of commodity fair value assets in the above table. As of December 31, 2015, we had $174.6 million of cash collateral deposits held by financial counterparties, of which $132.2 million have been offset against the total amount of commodity fair value liabilities in the above table and the remaining $42.4 million is included in other current assets in the accompanying consolidated balance sheets. In addition, as of December 31, 2015, we have offset $21.6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following table presents information about our assets and liabilities that are measured at fair value on a recurring basis that utilized</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8"/>
          <w:szCs w:val="18"/>
          <w:color w:val="auto"/>
        </w:rPr>
        <w:t>Level 3 inputs for the periods presented (in millions):</w:t>
      </w: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Realized and</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 in Unrealized</w:t>
            </w:r>
          </w:p>
        </w:tc>
        <w:tc>
          <w:tcPr>
            <w:tcW w:w="1200" w:type="dxa"/>
            <w:vAlign w:val="bottom"/>
          </w:tcPr>
          <w:p>
            <w:pPr>
              <w:ind w:left="42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Transfers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Gains (Losses)</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Unrealized</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Beginning of</w:t>
            </w:r>
          </w:p>
        </w:tc>
        <w:tc>
          <w:tcPr>
            <w:tcW w:w="2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End</w:t>
            </w: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8"/>
              </w:rPr>
              <w:t>Relating to Assets and</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1"/>
              </w:rPr>
              <w:t>Included in</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Settlements</w:t>
            </w:r>
          </w:p>
        </w:tc>
        <w:tc>
          <w:tcPr>
            <w:tcW w:w="220" w:type="dxa"/>
            <w:vAlign w:val="bottom"/>
          </w:tcPr>
          <w:p>
            <w:pPr>
              <w:spacing w:after="0"/>
              <w:rPr>
                <w:sz w:val="12"/>
                <w:szCs w:val="12"/>
                <w:color w:val="auto"/>
              </w:rPr>
            </w:pPr>
          </w:p>
        </w:tc>
        <w:tc>
          <w:tcPr>
            <w:tcW w:w="9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7"/>
              </w:rPr>
              <w:t>into Level</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Liabilities that are</w:t>
            </w:r>
          </w:p>
        </w:tc>
        <w:tc>
          <w:tcPr>
            <w:tcW w:w="12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3"/>
              </w:rPr>
              <w:t>(Losses)Included</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Period</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3 of Period</w:t>
            </w:r>
          </w:p>
        </w:tc>
        <w:tc>
          <w:tcPr>
            <w:tcW w:w="16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Held at end of Period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w w:val="90"/>
              </w:rPr>
              <w:t>Three months ended June 30, 2016</w:t>
            </w:r>
          </w:p>
        </w:tc>
        <w:tc>
          <w:tcPr>
            <w:tcW w:w="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40" w:type="dxa"/>
            <w:vAlign w:val="bottom"/>
            <w:gridSpan w:val="3"/>
          </w:tcPr>
          <w:p>
            <w:pPr>
              <w:spacing w:after="0"/>
              <w:rPr>
                <w:sz w:val="20"/>
                <w:szCs w:val="20"/>
                <w:color w:val="auto"/>
              </w:rPr>
            </w:pPr>
            <w:r>
              <w:rPr>
                <w:rFonts w:ascii="Arial" w:cs="Arial" w:eastAsia="Arial" w:hAnsi="Arial"/>
                <w:sz w:val="14"/>
                <w:szCs w:val="14"/>
                <w:color w:val="auto"/>
              </w:rPr>
              <w:t>Assets: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03"/>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Three months ended June 30, 2015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0" w:type="dxa"/>
            <w:vAlign w:val="bottom"/>
          </w:tcPr>
          <w:p>
            <w:pPr>
              <w:ind w:left="1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03"/>
        </w:trPr>
        <w:tc>
          <w:tcPr>
            <w:tcW w:w="2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Six months ended June 30, 2016</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480" w:type="dxa"/>
            <w:vAlign w:val="bottom"/>
            <w:tcBorders>
              <w:top w:val="single" w:sz="8" w:color="CCEEFF"/>
            </w:tcBorders>
            <w:gridSpan w:val="2"/>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1.3 $</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03"/>
        </w:trPr>
        <w:tc>
          <w:tcPr>
            <w:tcW w:w="2340" w:type="dxa"/>
            <w:vAlign w:val="bottom"/>
            <w:gridSpan w:val="3"/>
          </w:tcPr>
          <w:p>
            <w:pPr>
              <w:spacing w:after="0"/>
              <w:rPr>
                <w:sz w:val="20"/>
                <w:szCs w:val="20"/>
                <w:color w:val="auto"/>
              </w:rPr>
            </w:pPr>
            <w:r>
              <w:rPr>
                <w:rFonts w:ascii="Arial" w:cs="Arial" w:eastAsia="Arial" w:hAnsi="Arial"/>
                <w:sz w:val="14"/>
                <w:szCs w:val="14"/>
                <w:color w:val="auto"/>
              </w:rPr>
              <w:t>Six months ended June 30, 2015</w:t>
            </w: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48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0.8</w:t>
            </w:r>
          </w:p>
        </w:tc>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ind w:left="1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Commodity contracts</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 w:firstLine="324"/>
        <w:spacing w:after="0" w:line="273" w:lineRule="auto"/>
        <w:rPr>
          <w:sz w:val="20"/>
          <w:szCs w:val="20"/>
          <w:color w:val="auto"/>
        </w:rPr>
      </w:pPr>
      <w:r>
        <w:rPr>
          <w:rFonts w:ascii="Arial" w:cs="Arial" w:eastAsia="Arial" w:hAnsi="Arial"/>
          <w:sz w:val="17"/>
          <w:szCs w:val="17"/>
          <w:color w:val="auto"/>
        </w:rPr>
        <w:t>The nature of inputs that are considered Level 3 are modeled inputs. Commodity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391" w:lineRule="exact"/>
        <w:rPr>
          <w:sz w:val="20"/>
          <w:szCs w:val="20"/>
          <w:color w:val="auto"/>
        </w:rPr>
      </w:pPr>
    </w:p>
    <w:p>
      <w:pPr>
        <w:ind w:left="781" w:hanging="781"/>
        <w:spacing w:after="0"/>
        <w:tabs>
          <w:tab w:leader="none" w:pos="78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 Expense and Other Financing Costs</w:t>
      </w:r>
    </w:p>
    <w:p>
      <w:pPr>
        <w:spacing w:after="0" w:line="229" w:lineRule="exact"/>
        <w:rPr>
          <w:sz w:val="20"/>
          <w:szCs w:val="20"/>
          <w:color w:val="auto"/>
        </w:rPr>
      </w:pPr>
    </w:p>
    <w:p>
      <w:pPr>
        <w:ind w:left="1"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3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9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 and other financing costs</w:t>
            </w:r>
          </w:p>
        </w:tc>
        <w:tc>
          <w:tcPr>
            <w:tcW w:w="1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83"/>
        </w:trPr>
        <w:tc>
          <w:tcPr>
            <w:tcW w:w="398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7"/>
        </w:trPr>
        <w:tc>
          <w:tcPr>
            <w:tcW w:w="39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781" w:hanging="781"/>
        <w:spacing w:after="0"/>
        <w:tabs>
          <w:tab w:leader="none" w:pos="78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left="1"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derivative instruments, was as follows (in millions):</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r>
      <w:tr>
        <w:trPr>
          <w:trHeight w:val="216"/>
        </w:trPr>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Derivative</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Comprehensive</w:t>
            </w:r>
          </w:p>
        </w:tc>
      </w:tr>
      <w:tr>
        <w:trPr>
          <w:trHeight w:val="212"/>
        </w:trPr>
        <w:tc>
          <w:tcPr>
            <w:tcW w:w="54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Instruments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2015</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16"/>
        </w:trPr>
        <w:tc>
          <w:tcPr>
            <w:tcW w:w="54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16"/>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Less: Net other comprehensive income attributable to noncontrolling interest</w:t>
            </w:r>
          </w:p>
        </w:tc>
        <w:tc>
          <w:tcPr>
            <w:tcW w:w="10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June 30, 2016</w:t>
            </w: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w:t>
            </w:r>
          </w:p>
        </w:tc>
      </w:tr>
      <w:tr>
        <w:trPr>
          <w:trHeight w:val="216"/>
        </w:trPr>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4"/>
                <w:szCs w:val="14"/>
                <w:color w:val="auto"/>
              </w:rPr>
              <w:t>Balance as of December 31, 2014</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Net other comprehensive income attributable to noncontrolling interest</w:t>
            </w: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7"/>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June 30, 2015</w:t>
            </w:r>
          </w:p>
        </w:tc>
        <w:tc>
          <w:tcPr>
            <w:tcW w:w="13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r>
    </w:tbl>
    <w:p>
      <w:pPr>
        <w:spacing w:after="0" w:line="202" w:lineRule="exact"/>
        <w:rPr>
          <w:sz w:val="20"/>
          <w:szCs w:val="20"/>
          <w:color w:val="auto"/>
        </w:rPr>
      </w:pPr>
    </w:p>
    <w:p>
      <w:pPr>
        <w:jc w:val="both"/>
        <w:ind w:left="1" w:right="20" w:firstLine="324"/>
        <w:spacing w:after="0" w:line="312" w:lineRule="auto"/>
        <w:rPr>
          <w:sz w:val="20"/>
          <w:szCs w:val="20"/>
          <w:color w:val="auto"/>
        </w:rPr>
      </w:pPr>
      <w:r>
        <w:rPr>
          <w:rFonts w:ascii="Arial" w:cs="Arial" w:eastAsia="Arial" w:hAnsi="Arial"/>
          <w:sz w:val="16"/>
          <w:szCs w:val="16"/>
          <w:color w:val="auto"/>
        </w:rPr>
        <w:t>The foreign currency translation adjustment losses for the six months ended June 30, 2016 were primarily due to the strengthening of the U.S. dollar as compared to the Brazilian Real and the British Pound. The foreign currency translation adjustment losses for the six months ended June 30, 2015 were primarily due to the strengthening of the U.S. dollar as compared to the Brazilian Real.</w:t>
      </w:r>
    </w:p>
    <w:p>
      <w:pPr>
        <w:spacing w:after="0" w:line="359" w:lineRule="exact"/>
        <w:rPr>
          <w:sz w:val="20"/>
          <w:szCs w:val="20"/>
          <w:color w:val="auto"/>
        </w:rPr>
      </w:pPr>
    </w:p>
    <w:p>
      <w:pPr>
        <w:ind w:left="781" w:hanging="781"/>
        <w:spacing w:after="0"/>
        <w:tabs>
          <w:tab w:leader="none" w:pos="78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1" w:right="2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Three Months ended</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4"/>
              </w:rPr>
              <w:t>For the Six Months ended</w:t>
            </w:r>
          </w:p>
        </w:tc>
      </w:tr>
      <w:tr>
        <w:trPr>
          <w:trHeight w:val="201"/>
        </w:trPr>
        <w:tc>
          <w:tcPr>
            <w:tcW w:w="2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r>
      <w:tr>
        <w:trPr>
          <w:trHeight w:val="210"/>
        </w:trPr>
        <w:tc>
          <w:tcPr>
            <w:tcW w:w="2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r>
      <w:tr>
        <w:trPr>
          <w:trHeight w:val="217"/>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8"/>
                <w:szCs w:val="18"/>
                <w:color w:val="auto"/>
              </w:rPr>
            </w:pPr>
          </w:p>
        </w:tc>
      </w:tr>
      <w:tr>
        <w:trPr>
          <w:trHeight w:val="216"/>
        </w:trPr>
        <w:tc>
          <w:tcPr>
            <w:tcW w:w="2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Effective income tax rate</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5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16.9 %</w:t>
            </w:r>
          </w:p>
        </w:tc>
      </w:tr>
      <w:tr>
        <w:trPr>
          <w:trHeight w:val="27"/>
        </w:trPr>
        <w:tc>
          <w:tcPr>
            <w:tcW w:w="2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1" w:right="20" w:firstLine="324"/>
        <w:spacing w:after="0" w:line="270" w:lineRule="auto"/>
        <w:rPr>
          <w:sz w:val="20"/>
          <w:szCs w:val="20"/>
          <w:color w:val="auto"/>
        </w:rPr>
      </w:pPr>
      <w:r>
        <w:rPr>
          <w:rFonts w:ascii="Arial" w:cs="Arial" w:eastAsia="Arial" w:hAnsi="Arial"/>
          <w:sz w:val="17"/>
          <w:szCs w:val="17"/>
          <w:color w:val="auto"/>
        </w:rPr>
        <w:t>Our provision for income taxes for each of the three-month and six-month periods ended June 30, 2016 and 2015 was calculated based on the estimated annual effective income tax rate for the full 2016 and 2015 fiscal years. Our provision for income taxes for the second quarter of 2016 was adjusted for an income tax expense of $2.4 million, net, for discrete items related to changes in estimates in uncertain tax positions. Without the $2.4 million adjustment, the three-month period ended June 30, 2016 effective income tax rate would have been 12.8%. Our provision for income taxes for the six months ended June 30, 2016 was adjusted for an income tax benefit of $1.6 million, net, for discrete items related to changes in estimates in uncertain tax positions. Without the $1.6 million adjustment, the six month period ended June 30, 2016 effective income tax rate would have been 13.0%. The actual effective income tax rate for the full 2016 fiscal year may be materially different as a result of differences between estimated versus actual results and the geographic tax jurisdictions in which the results are earned.</w:t>
      </w:r>
    </w:p>
    <w:p>
      <w:pPr>
        <w:spacing w:after="0" w:line="182" w:lineRule="exact"/>
        <w:rPr>
          <w:sz w:val="20"/>
          <w:szCs w:val="20"/>
          <w:color w:val="auto"/>
        </w:rPr>
      </w:pPr>
    </w:p>
    <w:p>
      <w:pPr>
        <w:jc w:val="both"/>
        <w:ind w:left="1" w:right="20" w:firstLine="324"/>
        <w:spacing w:after="0" w:line="270" w:lineRule="auto"/>
        <w:rPr>
          <w:sz w:val="20"/>
          <w:szCs w:val="20"/>
          <w:color w:val="auto"/>
        </w:rPr>
      </w:pPr>
      <w:r>
        <w:rPr>
          <w:rFonts w:ascii="Arial" w:cs="Arial" w:eastAsia="Arial" w:hAnsi="Arial"/>
          <w:sz w:val="17"/>
          <w:szCs w:val="17"/>
          <w:color w:val="auto"/>
        </w:rPr>
        <w:t>We operated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$1.2 million and $0.4 million for the three months ended June 30, 2016 and 2015, respectively, and by $1.8 million and $2.7 million for the six months ended June 30, 2016 and 2015, respectively. The impact of the income tax concession on basic earnings per common share was $0.02 and $0.01 for the three months ended June 30, 2016 and 2015, respectively, and $0.03 and $0.04 for the six months ended June 30, 2016 and 2015 respectively. On a diluted earnings per common share basis, the impact was $0.02 and $0.01 for the three months ended June 30, 2016 and 2015, respectively, and $0.03 and $0.04 for the six months ended June 30, 2016 and 2015,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25" w:right="899" w:bottom="1440" w:gutter="0" w:footer="0" w:header="0"/>
        </w:sectPr>
      </w:pPr>
    </w:p>
    <w:bookmarkStart w:id="19" w:name="page20"/>
    <w:bookmarkEnd w:id="1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1" w:hanging="781"/>
        <w:spacing w:after="0"/>
        <w:tabs>
          <w:tab w:leader="none" w:pos="78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325"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3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Aviation</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Marine</w:t>
            </w: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2015</w:t>
            </w:r>
          </w:p>
        </w:tc>
        <w:tc>
          <w:tcPr>
            <w:tcW w:w="1420" w:type="dxa"/>
            <w:vAlign w:val="bottom"/>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173.7</w:t>
            </w:r>
          </w:p>
        </w:tc>
        <w:tc>
          <w:tcPr>
            <w:tcW w:w="600" w:type="dxa"/>
            <w:vAlign w:val="bottom"/>
            <w:shd w:val="clear" w:color="auto" w:fill="CCEEFF"/>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430.7</w:t>
            </w:r>
          </w:p>
        </w:tc>
        <w:tc>
          <w:tcPr>
            <w:tcW w:w="520" w:type="dxa"/>
            <w:vAlign w:val="bottom"/>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71.4</w:t>
            </w:r>
          </w:p>
        </w:tc>
        <w:tc>
          <w:tcPr>
            <w:tcW w:w="620" w:type="dxa"/>
            <w:vAlign w:val="bottom"/>
            <w:shd w:val="clear" w:color="auto" w:fill="CCEEFF"/>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675.8</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Additions</w:t>
            </w:r>
          </w:p>
        </w:tc>
        <w:tc>
          <w:tcPr>
            <w:tcW w:w="14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52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6"/>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exchange and other adjustments</w:t>
            </w:r>
          </w:p>
        </w:tc>
        <w:tc>
          <w:tcPr>
            <w:tcW w:w="1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6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49"/>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as of June 30, 2016</w:t>
            </w:r>
          </w:p>
        </w:tc>
        <w:tc>
          <w:tcPr>
            <w:tcW w:w="14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173.7</w:t>
            </w:r>
          </w:p>
        </w:tc>
        <w:tc>
          <w:tcPr>
            <w:tcW w:w="60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426.4</w:t>
            </w:r>
          </w:p>
        </w:tc>
        <w:tc>
          <w:tcPr>
            <w:tcW w:w="5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72.1</w:t>
            </w:r>
          </w:p>
        </w:tc>
        <w:tc>
          <w:tcPr>
            <w:tcW w:w="6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672.2</w:t>
            </w:r>
          </w:p>
        </w:tc>
      </w:tr>
    </w:tbl>
    <w:p>
      <w:pPr>
        <w:spacing w:after="0" w:line="200" w:lineRule="exact"/>
        <w:rPr>
          <w:sz w:val="20"/>
          <w:szCs w:val="20"/>
          <w:color w:val="auto"/>
        </w:rPr>
      </w:pPr>
    </w:p>
    <w:p>
      <w:pPr>
        <w:spacing w:after="0" w:line="241" w:lineRule="exact"/>
        <w:rPr>
          <w:sz w:val="20"/>
          <w:szCs w:val="20"/>
          <w:color w:val="auto"/>
        </w:rPr>
      </w:pPr>
    </w:p>
    <w:p>
      <w:pPr>
        <w:ind w:left="881" w:hanging="881"/>
        <w:spacing w:after="0"/>
        <w:tabs>
          <w:tab w:leader="none" w:pos="88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9" w:lineRule="exact"/>
        <w:rPr>
          <w:sz w:val="20"/>
          <w:szCs w:val="20"/>
          <w:color w:val="auto"/>
        </w:rPr>
      </w:pPr>
    </w:p>
    <w:p>
      <w:pPr>
        <w:ind w:left="1"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3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210"/>
        </w:trPr>
        <w:tc>
          <w:tcPr>
            <w:tcW w:w="3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210"/>
        </w:trPr>
        <w:tc>
          <w:tcPr>
            <w:tcW w:w="3940" w:type="dxa"/>
            <w:vAlign w:val="bottom"/>
          </w:tcPr>
          <w:p>
            <w:pPr>
              <w:spacing w:after="0"/>
              <w:rPr>
                <w:sz w:val="20"/>
                <w:szCs w:val="20"/>
                <w:color w:val="auto"/>
              </w:rPr>
            </w:pPr>
            <w:r>
              <w:rPr>
                <w:rFonts w:ascii="Arial" w:cs="Arial" w:eastAsia="Arial" w:hAnsi="Arial"/>
                <w:sz w:val="14"/>
                <w:szCs w:val="14"/>
                <w:color w:val="auto"/>
              </w:rPr>
              <w:t>Numerator:</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9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Net income attributable to World Fuel</w:t>
            </w:r>
          </w:p>
        </w:tc>
        <w:tc>
          <w:tcPr>
            <w:tcW w:w="1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81.6</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638873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45" w:lineRule="exact"/>
        <w:rPr>
          <w:sz w:val="20"/>
          <w:szCs w:val="20"/>
          <w:color w:val="auto"/>
        </w:rPr>
      </w:pPr>
    </w:p>
    <w:p>
      <w:pPr>
        <w:ind w:left="1"/>
        <w:spacing w:after="0"/>
        <w:rPr>
          <w:sz w:val="20"/>
          <w:szCs w:val="20"/>
          <w:color w:val="auto"/>
        </w:rPr>
      </w:pPr>
      <w:r>
        <w:rPr>
          <w:rFonts w:ascii="Arial" w:cs="Arial" w:eastAsia="Arial" w:hAnsi="Arial"/>
          <w:sz w:val="14"/>
          <w:szCs w:val="14"/>
          <w:color w:val="auto"/>
        </w:rPr>
        <w:t>Denominator:</w:t>
      </w:r>
    </w:p>
    <w:p>
      <w:pPr>
        <w:sectPr>
          <w:pgSz w:w="11900" w:h="16838" w:orient="portrait"/>
          <w:cols w:equalWidth="0" w:num="1">
            <w:col w:w="10061"/>
          </w:cols>
          <w:pgMar w:left="919" w:top="125" w:right="919" w:bottom="1440" w:gutter="0" w:footer="0" w:header="0"/>
        </w:sectPr>
      </w:pPr>
    </w:p>
    <w:p>
      <w:pPr>
        <w:spacing w:after="0" w:line="55" w:lineRule="exact"/>
        <w:rPr>
          <w:sz w:val="20"/>
          <w:szCs w:val="20"/>
          <w:color w:val="auto"/>
        </w:rPr>
      </w:pPr>
    </w:p>
    <w:tbl>
      <w:tblPr>
        <w:tblLayout w:type="fixed"/>
        <w:tblInd w:w="1" w:type="dxa"/>
        <w:tblCellMar>
          <w:top w:w="0" w:type="dxa"/>
          <w:left w:w="0" w:type="dxa"/>
          <w:bottom w:w="0" w:type="dxa"/>
          <w:right w:w="0" w:type="dxa"/>
        </w:tblCellMar>
      </w:tblPr>
      <w:tr>
        <w:trPr>
          <w:trHeight w:val="182"/>
        </w:trPr>
        <w:tc>
          <w:tcPr>
            <w:tcW w:w="5800" w:type="dxa"/>
            <w:vAlign w:val="bottom"/>
          </w:tcPr>
          <w:p>
            <w:pPr>
              <w:ind w:left="10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69.5</w:t>
            </w:r>
          </w:p>
        </w:tc>
        <w:tc>
          <w:tcPr>
            <w:tcW w:w="80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201"/>
        </w:trPr>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Effect of dilutive securities</w:t>
            </w: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17"/>
        </w:trPr>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r>
      <w:tr>
        <w:trPr>
          <w:trHeight w:val="346"/>
        </w:trPr>
        <w:tc>
          <w:tcPr>
            <w:tcW w:w="5800" w:type="dxa"/>
            <w:vAlign w:val="bottom"/>
          </w:tcPr>
          <w:p>
            <w:pPr>
              <w:spacing w:after="0"/>
              <w:rPr>
                <w:sz w:val="20"/>
                <w:szCs w:val="20"/>
                <w:color w:val="auto"/>
              </w:rPr>
            </w:pPr>
            <w:r>
              <w:rPr>
                <w:rFonts w:ascii="Arial" w:cs="Arial" w:eastAsia="Arial" w:hAnsi="Arial"/>
                <w:sz w:val="14"/>
                <w:szCs w:val="14"/>
                <w:color w:val="auto"/>
              </w:rPr>
              <w:t>Weighted average securities which are not included in the calculation of diluted earnings per</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5800" w:type="dxa"/>
            <w:vAlign w:val="bottom"/>
          </w:tcPr>
          <w:p>
            <w:pPr>
              <w:spacing w:after="0" w:line="149" w:lineRule="exact"/>
              <w:rPr>
                <w:sz w:val="20"/>
                <w:szCs w:val="20"/>
                <w:color w:val="auto"/>
              </w:rPr>
            </w:pPr>
            <w:r>
              <w:rPr>
                <w:rFonts w:ascii="Arial" w:cs="Arial" w:eastAsia="Arial" w:hAnsi="Arial"/>
                <w:sz w:val="14"/>
                <w:szCs w:val="14"/>
                <w:color w:val="auto"/>
              </w:rPr>
              <w:t>common share because their impact is anti-dilutive or their performance conditions have not</w:t>
            </w: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4"/>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been met</w:t>
            </w: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-736600</wp:posOffset>
            </wp:positionV>
            <wp:extent cx="638873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638873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-454025</wp:posOffset>
            </wp:positionV>
            <wp:extent cx="638873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69.5</w:t>
      </w:r>
      <w:r>
        <w:rPr>
          <w:sz w:val="20"/>
          <w:szCs w:val="20"/>
          <w:color w:val="auto"/>
        </w:rPr>
        <w:tab/>
      </w:r>
      <w:r>
        <w:rPr>
          <w:rFonts w:ascii="Arial" w:cs="Arial" w:eastAsia="Arial" w:hAnsi="Arial"/>
          <w:sz w:val="12"/>
          <w:szCs w:val="12"/>
          <w:color w:val="auto"/>
        </w:rPr>
        <w:t>70.7</w:t>
      </w:r>
    </w:p>
    <w:p>
      <w:pPr>
        <w:spacing w:after="0" w:line="55"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0.5</w:t>
      </w:r>
      <w:r>
        <w:rPr>
          <w:sz w:val="20"/>
          <w:szCs w:val="20"/>
          <w:color w:val="auto"/>
        </w:rPr>
        <w:tab/>
      </w:r>
      <w:r>
        <w:rPr>
          <w:rFonts w:ascii="Arial" w:cs="Arial" w:eastAsia="Arial" w:hAnsi="Arial"/>
          <w:sz w:val="12"/>
          <w:szCs w:val="12"/>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3810</wp:posOffset>
            </wp:positionV>
            <wp:extent cx="1337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49"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70.0</w:t>
      </w:r>
      <w:r>
        <w:rPr>
          <w:sz w:val="20"/>
          <w:szCs w:val="20"/>
          <w:color w:val="auto"/>
        </w:rPr>
        <w:tab/>
      </w:r>
      <w:r>
        <w:rPr>
          <w:rFonts w:ascii="Arial" w:cs="Arial" w:eastAsia="Arial" w:hAnsi="Arial"/>
          <w:sz w:val="12"/>
          <w:szCs w:val="12"/>
          <w:color w:val="auto"/>
        </w:rPr>
        <w:t>71.3</w:t>
      </w:r>
    </w:p>
    <w:p>
      <w:pPr>
        <w:spacing w:after="0" w:line="200" w:lineRule="exact"/>
        <w:rPr>
          <w:sz w:val="20"/>
          <w:szCs w:val="20"/>
          <w:color w:val="auto"/>
        </w:rPr>
      </w:pPr>
    </w:p>
    <w:p>
      <w:pPr>
        <w:spacing w:after="0" w:line="328"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0.9</w:t>
      </w:r>
    </w:p>
    <w:p>
      <w:pPr>
        <w:spacing w:after="0" w:line="233" w:lineRule="exact"/>
        <w:rPr>
          <w:sz w:val="20"/>
          <w:szCs w:val="20"/>
          <w:color w:val="auto"/>
        </w:rPr>
      </w:pPr>
    </w:p>
    <w:p>
      <w:pPr>
        <w:sectPr>
          <w:pgSz w:w="11900" w:h="16838" w:orient="portrait"/>
          <w:cols w:equalWidth="0" w:num="2">
            <w:col w:w="7861" w:space="720"/>
            <w:col w:w="1480"/>
          </w:cols>
          <w:pgMar w:left="919" w:top="125" w:right="919" w:bottom="1440" w:gutter="0" w:footer="0" w:header="0"/>
          <w:type w:val="continuous"/>
        </w:sectPr>
      </w:pPr>
    </w:p>
    <w:p>
      <w:pPr>
        <w:spacing w:after="0" w:line="65"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earnings per common share</w:t>
            </w:r>
          </w:p>
        </w:tc>
        <w:tc>
          <w:tcPr>
            <w:tcW w:w="2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16"/>
        </w:trPr>
        <w:tc>
          <w:tcPr>
            <w:tcW w:w="3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earnings per common share</w:t>
            </w:r>
          </w:p>
        </w:tc>
        <w:tc>
          <w:tcPr>
            <w:tcW w:w="2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type w:val="continuous"/>
        </w:sectPr>
      </w:pPr>
    </w:p>
    <w:bookmarkStart w:id="20" w:name="page21"/>
    <w:bookmarkEnd w:id="2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861" w:hanging="861"/>
        <w:spacing w:after="0"/>
        <w:tabs>
          <w:tab w:leader="none" w:pos="86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 w:firstLine="324"/>
        <w:spacing w:after="0" w:line="270" w:lineRule="auto"/>
        <w:rPr>
          <w:sz w:val="20"/>
          <w:szCs w:val="20"/>
          <w:color w:val="auto"/>
        </w:rPr>
      </w:pPr>
      <w:r>
        <w:rPr>
          <w:rFonts w:ascii="Arial" w:cs="Arial" w:eastAsia="Arial" w:hAnsi="Arial"/>
          <w:sz w:val="17"/>
          <w:szCs w:val="17"/>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(“District Court”) seeking a court ruling that the loss is not covered under our policy. On May 17, 2016, the District Court entered an Order granting summary judgment in our favor holding that the loss is covered under the AGCS policy. Final judgment in the case has not yet been entered. On June 14, 2016, AGCS filed with the District Court a Notice of Appeal whereby it sought to appeal the Order granting summary judgment to the United States Court of Appeals for the Second Circuit. On June 28, 2016, we filed with the District Court a Notice of Cross-Appeal. We believe AGCS’ position is without merit and we intend to vigorously pursue our rights. However, due to the complexities and uncertainties inherent in litigation, we can provide no assurance that we will recover the full amount of the loss.</w:t>
      </w:r>
    </w:p>
    <w:p>
      <w:pPr>
        <w:spacing w:after="0" w:line="174"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left="1" w:firstLine="324"/>
        <w:spacing w:after="0" w:line="289"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June 30, 2016,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0"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1" w:name="page22"/>
    <w:bookmarkEnd w:id="21"/>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881" w:hanging="881"/>
        <w:spacing w:after="0"/>
        <w:tabs>
          <w:tab w:leader="none" w:pos="88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left="1" w:firstLine="324"/>
        <w:spacing w:after="0" w:line="287" w:lineRule="auto"/>
        <w:rPr>
          <w:sz w:val="20"/>
          <w:szCs w:val="20"/>
          <w:color w:val="auto"/>
        </w:rPr>
      </w:pPr>
      <w:r>
        <w:rPr>
          <w:rFonts w:ascii="Arial" w:cs="Arial" w:eastAsia="Arial" w:hAnsi="Arial"/>
          <w:sz w:val="16"/>
          <w:szCs w:val="16"/>
          <w:color w:val="auto"/>
        </w:rPr>
        <w:t>Based on the nature of operations and quantitative thresholds pursuant to accounting guidance for segment reporting, we have three reportable operating business segments: aviation, land and marine. Corporate expenses are allocated to the segments based on usage, where possible, or on other factors according to the nature of the activity. Within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98"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20" w:type="dxa"/>
            <w:vAlign w:val="bottom"/>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Revenue:</w:t>
            </w:r>
          </w:p>
        </w:tc>
        <w:tc>
          <w:tcPr>
            <w:tcW w:w="19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Aviation segment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2,621.6</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4,841.0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6,082.3</w:t>
            </w:r>
          </w:p>
        </w:tc>
      </w:tr>
      <w:tr>
        <w:trPr>
          <w:trHeight w:val="216"/>
        </w:trPr>
        <w:tc>
          <w:tcPr>
            <w:tcW w:w="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Land segment</w:t>
            </w:r>
          </w:p>
        </w:tc>
        <w:tc>
          <w:tcPr>
            <w:tcW w:w="19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2,171.0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3,866.0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4,628.7</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Marine segment</w:t>
            </w:r>
          </w:p>
        </w:tc>
        <w:tc>
          <w:tcPr>
            <w:tcW w:w="19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1,840.4</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2,805.4</w:t>
            </w: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3,116.9</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5,126.1</w:t>
            </w:r>
          </w:p>
        </w:tc>
      </w:tr>
      <w:tr>
        <w:trPr>
          <w:trHeight w:val="217"/>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6,633.0</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8,496.4</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11,823.9</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15,837.1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Aviation segment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r>
      <w:tr>
        <w:trPr>
          <w:trHeight w:val="216"/>
        </w:trPr>
        <w:tc>
          <w:tcPr>
            <w:tcW w:w="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Land segment</w:t>
            </w:r>
          </w:p>
        </w:tc>
        <w:tc>
          <w:tcPr>
            <w:tcW w:w="19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142.2</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Marine segment</w:t>
            </w:r>
          </w:p>
        </w:tc>
        <w:tc>
          <w:tcPr>
            <w:tcW w:w="19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w:t>
            </w:r>
          </w:p>
        </w:tc>
      </w:tr>
      <w:tr>
        <w:trPr>
          <w:trHeight w:val="217"/>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218.5</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440.0</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404.0</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Aviation segment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216"/>
        </w:trPr>
        <w:tc>
          <w:tcPr>
            <w:tcW w:w="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Land segment</w:t>
            </w:r>
          </w:p>
        </w:tc>
        <w:tc>
          <w:tcPr>
            <w:tcW w:w="19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Marine segment</w:t>
            </w:r>
          </w:p>
        </w:tc>
        <w:tc>
          <w:tcPr>
            <w:tcW w:w="19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138.0</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Corporate overhead - unallocated</w:t>
            </w:r>
          </w:p>
        </w:tc>
        <w:tc>
          <w:tcPr>
            <w:tcW w:w="19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217"/>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106.6</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r>
    </w:tbl>
    <w:p>
      <w:pPr>
        <w:spacing w:after="0" w:line="200" w:lineRule="exact"/>
        <w:rPr>
          <w:sz w:val="20"/>
          <w:szCs w:val="20"/>
          <w:color w:val="auto"/>
        </w:rPr>
      </w:pPr>
    </w:p>
    <w:p>
      <w:pPr>
        <w:spacing w:after="0" w:line="218" w:lineRule="exact"/>
        <w:rPr>
          <w:sz w:val="20"/>
          <w:szCs w:val="20"/>
          <w:color w:val="auto"/>
        </w:rPr>
      </w:pPr>
    </w:p>
    <w:p>
      <w:pPr>
        <w:ind w:left="61"/>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122"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r>
      <w:tr>
        <w:trPr>
          <w:trHeight w:val="225"/>
        </w:trPr>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30"/>
        </w:trPr>
        <w:tc>
          <w:tcPr>
            <w:tcW w:w="7100" w:type="dxa"/>
            <w:vAlign w:val="bottom"/>
          </w:tcPr>
          <w:p>
            <w:pPr>
              <w:ind w:left="100"/>
              <w:spacing w:after="0" w:line="130" w:lineRule="exact"/>
              <w:rPr>
                <w:sz w:val="20"/>
                <w:szCs w:val="20"/>
                <w:color w:val="auto"/>
              </w:rPr>
            </w:pPr>
            <w:r>
              <w:rPr>
                <w:rFonts w:ascii="Arial" w:cs="Arial" w:eastAsia="Arial" w:hAnsi="Arial"/>
                <w:sz w:val="14"/>
                <w:szCs w:val="14"/>
                <w:color w:val="auto"/>
              </w:rPr>
              <w:t>Aviation segment, net of allowance for bad debt of $5.8 and $6.1 as of June 30, 2016 and December 31, 2015,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7"/>
        </w:trPr>
        <w:tc>
          <w:tcPr>
            <w:tcW w:w="7100" w:type="dxa"/>
            <w:vAlign w:val="bottom"/>
          </w:tcPr>
          <w:p>
            <w:pPr>
              <w:ind w:left="100"/>
              <w:spacing w:after="0"/>
              <w:rPr>
                <w:sz w:val="20"/>
                <w:szCs w:val="20"/>
                <w:color w:val="auto"/>
              </w:rPr>
            </w:pPr>
            <w:r>
              <w:rPr>
                <w:rFonts w:ascii="Arial" w:cs="Arial" w:eastAsia="Arial" w:hAnsi="Arial"/>
                <w:sz w:val="14"/>
                <w:szCs w:val="14"/>
                <w:color w:val="auto"/>
              </w:rPr>
              <w:t>respectively</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643.1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571.6</w:t>
            </w:r>
          </w:p>
        </w:tc>
      </w:tr>
      <w:tr>
        <w:trPr>
          <w:trHeight w:val="216"/>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Land segment, net of allowance for bad debt of $7.6 and $7.2 as of June 30, 2016 and December 31, 2015, respectively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w:t>
            </w:r>
          </w:p>
        </w:tc>
      </w:tr>
      <w:tr>
        <w:trPr>
          <w:trHeight w:val="130"/>
        </w:trPr>
        <w:tc>
          <w:tcPr>
            <w:tcW w:w="7100" w:type="dxa"/>
            <w:vAlign w:val="bottom"/>
          </w:tcPr>
          <w:p>
            <w:pPr>
              <w:ind w:left="100"/>
              <w:spacing w:after="0" w:line="130" w:lineRule="exact"/>
              <w:rPr>
                <w:sz w:val="20"/>
                <w:szCs w:val="20"/>
                <w:color w:val="auto"/>
              </w:rPr>
            </w:pPr>
            <w:r>
              <w:rPr>
                <w:rFonts w:ascii="Arial" w:cs="Arial" w:eastAsia="Arial" w:hAnsi="Arial"/>
                <w:sz w:val="14"/>
                <w:szCs w:val="14"/>
                <w:color w:val="auto"/>
              </w:rPr>
              <w:t>Marine segment, net of allowance for bad debt of $10.4 and $10.6 as of June 30, 2016 and December 31, 2015,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7"/>
        </w:trPr>
        <w:tc>
          <w:tcPr>
            <w:tcW w:w="7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respectively</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689.1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611.2</w:t>
            </w:r>
          </w:p>
        </w:tc>
      </w:tr>
      <w:tr>
        <w:trPr>
          <w:trHeight w:val="217"/>
        </w:trPr>
        <w:tc>
          <w:tcPr>
            <w:tcW w:w="7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2,030.7</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1,812.6</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Aviation segment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1,685.8</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w:t>
            </w:r>
          </w:p>
        </w:tc>
      </w:tr>
      <w:tr>
        <w:trPr>
          <w:trHeight w:val="216"/>
        </w:trPr>
        <w:tc>
          <w:tcPr>
            <w:tcW w:w="7100" w:type="dxa"/>
            <w:vAlign w:val="bottom"/>
          </w:tcPr>
          <w:p>
            <w:pPr>
              <w:ind w:left="100"/>
              <w:spacing w:after="0"/>
              <w:rPr>
                <w:sz w:val="20"/>
                <w:szCs w:val="20"/>
                <w:color w:val="auto"/>
              </w:rPr>
            </w:pPr>
            <w:r>
              <w:rPr>
                <w:rFonts w:ascii="Arial" w:cs="Arial" w:eastAsia="Arial" w:hAnsi="Arial"/>
                <w:sz w:val="14"/>
                <w:szCs w:val="14"/>
                <w:color w:val="auto"/>
              </w:rPr>
              <w:t>Land segment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1,701.5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1,651.5</w:t>
            </w:r>
          </w:p>
        </w:tc>
      </w:tr>
      <w:tr>
        <w:trPr>
          <w:trHeight w:val="216"/>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Marine segment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1,141.5</w:t>
            </w:r>
          </w:p>
        </w:tc>
      </w:tr>
      <w:tr>
        <w:trPr>
          <w:trHeight w:val="216"/>
        </w:trPr>
        <w:tc>
          <w:tcPr>
            <w:tcW w:w="7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Corporate</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w:t>
            </w:r>
          </w:p>
        </w:tc>
      </w:tr>
      <w:tr>
        <w:trPr>
          <w:trHeight w:val="217"/>
        </w:trPr>
        <w:tc>
          <w:tcPr>
            <w:tcW w:w="7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4,748.5</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2" w:name="page23"/>
    <w:bookmarkEnd w:id="22"/>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881" w:hanging="881"/>
        <w:spacing w:after="0"/>
        <w:tabs>
          <w:tab w:leader="none" w:pos="88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1" w:firstLine="324"/>
        <w:spacing w:after="0" w:line="257" w:lineRule="auto"/>
        <w:rPr>
          <w:sz w:val="20"/>
          <w:szCs w:val="20"/>
          <w:color w:val="auto"/>
        </w:rPr>
      </w:pPr>
      <w:r>
        <w:rPr>
          <w:rFonts w:ascii="Arial" w:cs="Arial" w:eastAsia="Arial" w:hAnsi="Arial"/>
          <w:sz w:val="18"/>
          <w:szCs w:val="18"/>
          <w:color w:val="auto"/>
        </w:rPr>
        <w:t>On July 1, 2016, we completed the acquisitions of PAPCO, Inc. (“PAPCO”) and Associated Petroleum Products, Inc. (“APP”). PAPCO services retail, commercial and industrial customers with fuel, price-risk management products, and fleet card solutions throughout the Mid-Atlantic region of the United States. APP provides fuel and related services to agricultural, automotive, construction, and commercial and industrial customers in the Pacific Northwest. As the acquisitions of PAPCO and APP were completed in July 2016, the allocation of the purchase price is not yet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should be read in conjunction with our 2015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2015 10-K Report, as updated in this 10-Q Report.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about the conditions in the marine and aviation markets, cost reduction initiatives, the timing, cost and benefits of our multi-year project and upgrade of our Enterprise Resource Planning (“ERP”) platform, the timing for closing the acquisition of assets from ExxonMobil affiliates and funding of the purchase price, as well as expectations regarding our government business,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16, 2016. Important assumptions relating to the forward-looking statements include, among others, assumptions regarding our ability to obtain required consents and satisfy closing conditions in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420" w:hanging="9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560" w:hanging="23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hanging="177"/>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420" w:hanging="97"/>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70" w:lineRule="exact"/>
        <w:rPr>
          <w:rFonts w:ascii="Arial" w:cs="Arial" w:eastAsia="Arial" w:hAnsi="Arial"/>
          <w:sz w:val="18"/>
          <w:szCs w:val="18"/>
          <w:color w:val="auto"/>
        </w:rPr>
      </w:pPr>
    </w:p>
    <w:p>
      <w:pPr>
        <w:ind w:left="460" w:hanging="13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580" w:hanging="25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currency and other global market impacts associated with United Kingdom referendum vote to exit from the European Union;</w:t>
      </w:r>
    </w:p>
    <w:p>
      <w:pPr>
        <w:spacing w:after="0" w:line="236" w:lineRule="exact"/>
        <w:rPr>
          <w:rFonts w:ascii="Arial" w:cs="Arial" w:eastAsia="Arial" w:hAnsi="Arial"/>
          <w:sz w:val="17"/>
          <w:szCs w:val="17"/>
          <w:color w:val="auto"/>
        </w:rPr>
      </w:pPr>
    </w:p>
    <w:p>
      <w:pPr>
        <w:ind w:left="480" w:hanging="15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600" w:hanging="277"/>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760" w:hanging="43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500" w:hanging="177"/>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420" w:hanging="97"/>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460" w:hanging="13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420" w:hanging="97"/>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580" w:hanging="25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00" w:hanging="277"/>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420" w:right="20" w:hanging="97"/>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2015 10-K Report and those described from time to time in our other filings with the SEC.</w:t>
      </w:r>
    </w:p>
    <w:p>
      <w:pPr>
        <w:spacing w:after="0" w:line="16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 2016, we completed the acquisitions of PAPCO, Inc. (“PAPCO”) and Associated Petroleum Products, Inc. (“APP”). PAPCO services retail, commercial and industrial customers with fuel, price-risk management products, and fleet card solutions throughout the Mid-Atlantic region of the United States. APP provides fuel and related services to agricultural, automotive, construction, and commercial and industrial customers in the Pacific Northwest.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United Kingdom Referendum Vote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23, 2016, the United Kingdom (“U.K.”) held a referendum in which voters approved an exit from the European Union (“E.U.”), commonly referred to as "Brexit". As a result,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which may adversely affect our business, results of operations and financial condition.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Declines in commodity and global energy prices, together with slowing economic growth in emerging markets, continue to adversely impact the global shipping and offshore oil exploration markets, affecting our marine segment. These macroeconomic trends present both opportunities and risks for our business. Sustained low fuel prices as compared to previous years, and limited volatility result in decreased per unit margins, demand for our price risk management products, and lower sales to the offshore specialty market due to the significant reduction in offshore exploration activity. We expect that adverse conditions in the shipping markets will continue over the second half of 2016. Further, we have identified certain cost reduction activities that are designed to further right-size and drive efficiencies across the Company.</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Conversely, the low fuel price environment continues to benefit the commercial aviation industry allowing commercial airlines to improve profitability and strengthen their balance sheets. We believe our aviation segment is well positioned to capitalize on the expected increase in passenger growth and route expansion, due in part to our expanded supply capabilities in key airports both in the U.S. and internationally. Lower fuel prices have also reduced the working capital cost required to support our aviation segment, thereby improving returns and making such capital available for investment in other areas of our business. A portion of our aviation business consists of providing fuel and related products and services to military fleets and to the U.S. and foreign governments. While we still expect military-related activity to decline over time, the related contribution to aviation profitability in 2016 may be similar or slightly better than the levels we experienced in 2015. Demand for these products and services is driven by global events and can thus vary significantly from period to period.</w:t>
      </w:r>
    </w:p>
    <w:p>
      <w:pPr>
        <w:spacing w:after="0" w:line="19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may also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The announcement of Brexit and the withdrawal of the U.K. from the E.U. may also create global economic uncertainty and may cause our customers to closely monitor their costs and reduce their spending budget on our products and services, which in turn, may adversely affect our business. Finally, our hedging activities may not be effective to mitigate volatile fuel prices and may expose us to counterparty risk. See “Item 1A – Risk Factors” of our 2015 10</w:t>
      </w:r>
      <w:r>
        <w:rPr>
          <w:rFonts w:ascii="MS PGothic" w:cs="MS PGothic" w:eastAsia="MS PGothic" w:hAnsi="MS PGothic"/>
          <w:sz w:val="18"/>
          <w:szCs w:val="18"/>
          <w:color w:val="auto"/>
        </w:rPr>
        <w:t>‑</w:t>
      </w:r>
      <w:r>
        <w:rPr>
          <w:rFonts w:ascii="Arial" w:cs="Arial" w:eastAsia="Arial" w:hAnsi="Arial"/>
          <w:sz w:val="18"/>
          <w:szCs w:val="18"/>
          <w:color w:val="auto"/>
        </w:rPr>
        <w:t>K Report, as updated in this 10-Q Report.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12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June 30, 2016 Compared to Three Months Ended June 30, 2015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second quarter of 2016 was $6.6 billion, a decrease of $1.9 billion, or 21.9%, as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Our revenue during these periods was attributable to the following segments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2,621.6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Land segment</w:t>
            </w:r>
          </w:p>
        </w:tc>
        <w:tc>
          <w:tcPr>
            <w:tcW w:w="28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2,171.0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2,505.7</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1,840.4</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2,805.4</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6,633.0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8,496.4</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aviation segment were $2.6 billion for the second quarter of 2016, a decrease of $0.6 billion, or 17.7%, as compared to the second quarter of 2015. The decline in aviation revenues was driven by lower average jet fuel prices per gallon sold in the second quarter of 2016, where the average price per gallon sold was $1.52, as compared to $2.03 in the second quarter of 2015. The overall decline attributable to jet fuel prices was partially offset by $0.3 billion, related to an increase in volume to existing customers, where volumes for the second quarter of 2016 were 1.7 billion gallons, an increase of 9.6%, as compared to the comparable prior year period.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$2.2 billion for the second quarter of 2016, a decrease of $0.3 billion, or 13.4%, as compared to the second quarter of 2015. The decline in land revenues primarily resulted from a lower average fuel price per gallon sold in the second quarter of 2016, as compared to the second quarter of 2015, as volumes in our land segment increased by 6.0% to 1.2 billion gallons for the second quarters of 2016, as compared to the 2015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Revenues in our marine segment were $1.8 billion for the second quarter of 2016, a decrease of $1.0 billion, or 34.4%, as compared to the second quarter of 2015. The decrease was driven primarily by a 33% decline in the average price per metric ton sold, to $224.1 in the second quarter of 2016 as compared to $334.2 in the second quarter of 2015. Volumes in our marine segment declined 2.2% to 8.2 million metric tons for the second quarter of 2016, as compared to the 2015 period.</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second quarter of 2016 was $218.5 million, an increase of $28.1 million, or 14.8%,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second quarter of 2015. Our gross profit during these periods was attributable to the following segments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Land segment</w:t>
            </w:r>
          </w:p>
        </w:tc>
        <w:tc>
          <w:tcPr>
            <w:tcW w:w="288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80.2</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8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39.7</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218.5</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aviation segment gross profit for the second quarter of 2016 was $98.6 million, an increase of $13.6 million, or 16.0%, as compared to the second quarter of 2015. The increase in aviation gross profit was primarily due to increases in both the core resale business in North America and Europe, and our U.S. and foreign military-related activity.</w:t>
      </w:r>
    </w:p>
    <w:p>
      <w:pPr>
        <w:spacing w:after="0" w:line="18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Our land segment gross profit for the second quarter of 2016 was $80.2 million, an increase of $16.6 million, or 26.1%, as compared to the second quarter of 2015. While average fuel prices per gallon sold decreased, our land segment generated an increase in gross profit that was driven by recently acquired businesses, including our global energy management services business, that were not included in our prior year results. The land segment was also impacted by increased profits from the North America retail, wholesale and commercial and industrial businesses. Increases in our land segment were partially offset by lower demand in the agricultural sector, due in large part to the extreme wet weather in the United Kingdom, as well as weakness with construction-related customers.</w:t>
      </w:r>
    </w:p>
    <w:p>
      <w:pPr>
        <w:spacing w:after="0" w:line="16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Our marine segment gross profit for the second quarter of 2016 was $39.7 million, a decrease of $2.1 million, or 5.0%, as compared to the second quarter of 2015. The decline in marine segment gross profits was impacted by continued market contraction, which has resulted in a considerably lower fuel price environment, a weakened offshore market and lower price volatility—leading to decreased demand for price risk management offerings, which has collectively resulted in lower overall unit margins. We expect gross profit in the marine segment to benefit from seasonal activity during the quarter ending September 30, 2016, which may result in improved results for the segment, as compared to the current period.</w:t>
      </w:r>
    </w:p>
    <w:p>
      <w:pPr>
        <w:spacing w:after="0" w:line="19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2016 were $173.0 million, an increase of $24.2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16.3%, as compared to the second quarter of 2015. The total increase in operating expenses was primarily associated with acquired businesses primarily within our Land segment, related professional fees and other growth-related initiatives. The following table sets forth our expense categories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2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103.7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bad debt</w:t>
            </w:r>
          </w:p>
        </w:tc>
        <w:tc>
          <w:tcPr>
            <w:tcW w:w="274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66.8</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173.0</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tcPr>
          <w:p>
            <w:pPr>
              <w:jc w:val="right"/>
              <w:ind w:right="1350"/>
              <w:spacing w:after="0"/>
              <w:rPr>
                <w:sz w:val="20"/>
                <w:szCs w:val="20"/>
                <w:color w:val="auto"/>
              </w:rPr>
            </w:pPr>
            <w:r>
              <w:rPr>
                <w:rFonts w:ascii="Arial" w:cs="Arial" w:eastAsia="Arial" w:hAnsi="Arial"/>
                <w:sz w:val="18"/>
                <w:szCs w:val="18"/>
                <w:color w:val="auto"/>
              </w:rPr>
              <w:t>26</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25" w:right="89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Income from operations during these periods was attributable to the following segments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Land segment</w:t>
            </w:r>
          </w:p>
        </w:tc>
        <w:tc>
          <w:tcPr>
            <w:tcW w:w="22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64.4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2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18.8</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income from operations for the second quarter of 2016 was $45.6 million, an increase of $4.0 million, or 9.6%, as compared to the second quarter of 2015. The increase was attributable to our aviation segment, which benefited from increased volume in the core resale business in North America and Europe, and our U.S. and foreign military-related activity. The aviation segment increase was partially offset by lower gross profit per metric ton sold in our marine segment.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second quarter of 2016 were $18.8 million, an increase of $4.3 million, or 29.7%, as compared to the second quarter of 2015. This increase was principally driven by additional costs related to acquired businesses.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second quarter of 2016, we had non-operating expenses, net of $8.7 million, a slight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$0.7 million as compared to the second quarter of 2015.</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second quarter of 2016, our effective income tax rate was 19.4% and our income tax provision was $7.1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an effective income tax rate of 13.7% and an income tax provision of $4.6 million for the second quarter of 2015. Our provision for income taxes for the second quarter of 2016 was adjusted for an income tax expense of $2.4 million net for discrete items related to changes in estimates in uncertain tax positions. Without the $2.4 million adjustment, the three month period ended June 30, 2016 effective tax rate would have been 12.8%.</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second quarter of 2016, net loss attributable to noncontrolling interest was</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a decrease of $1.3 million as compared to the second quarter 2015.</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second quarter of 2016 was $30.0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or 1.6%, as compared to the second quarter of 2015. Diluted earnings per common share was $0.43 per common share for the second quarter of 2016 and 2015, respectively.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Six Months Ended June 30, 2016 Compared to Six Months Ended June 30, 2015</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for the first six months of 2016 was $11.8 billion, a decrease of $4.0 billion, or 25.3%, as compared to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of 2015. Our revenue during these periods was attributable to the following segments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4"/>
              </w:rPr>
              <w:t>For the Six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4,841.0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6,082.3</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Land segment</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3,866.0</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4,628.7</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1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3,116.9</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5,126.1</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11,823.9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15,837.1</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Revenues in our aviation segment were $4.8 billion for the first six months of 2016, a decrease of $1.2 billion, or 20.4%, as compared to the first six months of 2015. The decline in aviation revenues was driven by lower average jet fuel prices per gallon sold in the first six months of 2016, where the average price per gallon sold was $1.45, as compared to $ 2.01 in 2015. The overall decline attributable to jet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fuel prices was partially offset by $0.7 billion, related to an increased volume to existing customers, where volumes for the first six months of 2016 were 3.4 billion gallons, an increase of 10.8%, as compared to the comparable prior year period.</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segment were $3.9 billion for the first six months of 2016, a decrease of $0.8 billion, or 16.5%, as compared to the first six months of 2015. The decline in land revenues primarily resulted from a lower average fuel price per gallon sold during the first six months of 2016, as compared to the first six months of 2015. The overall decline was partially offset by an increase in volumes from new and existing customers, where volumes for the first six months of 2016 was 2.5 billion gallons, an increase of 7.2%, as compared to the first six months of 2015.</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Revenues in our marine segment were $3.1 billion for the first six months of 2016, a decrease of $2.0 billion, or 39.2%, as compared to the first six months of 2015. The decrease was driven primarily by a 39% decline in the average price per metric ton sold, to $196.3 in the first six months of 2016 as compared to $319.3 in the first six months of 2015. Volumes in our marine segment for the first six months of 2016 were 15.9 million metric tons and decreased slightly by 1.1%, as compared to the first six months of 2015.</w:t>
      </w:r>
    </w:p>
    <w:p>
      <w:pPr>
        <w:spacing w:after="0" w:line="1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first six months of 2016 was $440.0 million, an increase of $36.0 million, or 8.9%,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first six months of 2015. Our gross profit during these periods was attributable to the following segments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4"/>
              </w:rPr>
              <w:t>For the Six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Land segment</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142.2</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1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78.8</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440.0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first six months of 2016 was $187.3 million, an increase of $21.2 million, or 12.8%, as compared to the first six months of 2015. The increase in aviation gross profit was due to increased volume attributable to both the core resale business in North America and Europe, and our U.S. and foreign military-related activity.</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land segment gross profit for the first six months of 2016 was $173.9 million, an increase of $31.7 million, or 22.3%, as compared to the first six months of 2015. While average fuel prices per gallon sold decreased, our land segment generated an increase in gross profit that was driven by recently acquired businesses, including our global energy management services business, that were not included in our prior year results. The land segment was also impacted by increased profits from the North American retail, wholesale and commercial and industrial businesses, offset in part by the impact of weather conditions on our reselling activities in the United Kingdom.</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six months of 2016 was $78.8 million, a decrease of $16.9 million, or 17.7%, as compared to the first six months of 2015. The decrease in marine segment gross profit continued to be impacted by the low fuel price environment, a weakened offshore market and lower price volatility, which resulted in decreased demand for the price risk management products we offer, leading to lower overall unit margins.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2016 were $333.4 million, an increase of $38.6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13.1%, as compared to the second quarter of 2015. The total increase in operating expenses was primarily associated with acquired businesses, related professional fees and other growth-related initiatives. The following table sets forth our expense categories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4"/>
              </w:rPr>
              <w:t>For the Six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199.6</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129.9</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 the $23.4 million increase in compensation and employee benefits, $12.2 million was due to compensation for new hires to support our growing global business and $11.2 million was due to expenses related to acquired businesses. Of the $14.9 million increase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general and administrative expenses, $8.6 million was due to expenses related to acquired businesses and $6.3 million was due to increased general and administrative expenses to support our growing global business.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excluding unallocated corporate overhead, for the first six months of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$143.8 million, an increase of $5.8 million, or 4.2%, as compared to the first six months of 2015. Income from operations during these periods was attributable to the following segments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4"/>
              </w:rPr>
              <w:t>For the Six Months ended</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Land segment</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10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income from operations, including allocated corporate overhead, for the first six months of 2016 was $106.6 million, a decrease of $2.6 million, or 2.4%, as compared to the second quarter of 2015. The decline was primarily experienced in our marine segment, where income from operations for the first six months of 2016 was $22.5 million, a decrease of $17.3 million, or 43.5%, as compared to the first six months of 2015. The decrease in the marine segment was impacted by the low fuel price environment, a weakened offshore market and lower price volatility, which resulted in decreased demand for the price risk management products we offer, leading to lower overall unit margins in the first six months of 2016 as compared to the first six months of 2015. The decline in our marine segment was offset by increases in our aviation segment and, to a lesser extent our land segment. Our aviation segment benefited from increased volume attributable to both the core resale business and our U.S. and foreign military-related activity.</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six months of 2016 were $37.2 million, an increase of $8.4 million, or 29.2%, as compared to the first six months of 2015 principally due to increased compensation expenses to support our growing global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We had non-operating expenses, net of $15.0 million, for the first six months of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six months of 2016, our effective income tax rate was 11.2% and our income tax provision was $10.3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an effective income tax rate of 16.9% and an income tax provision of $15.9 million for the first six months of 2015. Our provision for income taxes for the six months ended June 30, 2016 was adjusted for an income tax benefit of $1.6 million, net for discrete items related to changes in estimates in uncertain tax positions. Without the $1.6 million adjustment, the six month period ended June 30, 2016 effective income tax rate would have been 13.0%. The lower effective income tax rate for the first six months of 2016 resulted principally from differences in the results of our subsidiaries in tax jurisdictions with different income tax rates as compared to the first six months of 2015.</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first six months of 2016, net loss attributable to noncontrolling interest was</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a decrease of $2.3 million as compared to the first six months of 2015.</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Our net income for the first six months of 2016 was $81.6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$0.7 million, or 1.0%, as compared to the first six months of 2015. Diluted earnings per common share for the first six months of 2016 was $1.17 per common share, an increase of $0.05 per common share, or 4.4%, as compared to the first six months of 2015.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2016 and 2015 (in millions). For additional details, please see the 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5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4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201.0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(36.8)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six months ended June 30, 2016, net cash provided by operating activities was $201.0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$177.8 million for the first six months of 2015. The $23.2 million increase in operating cash flows was primarily due to year-over-year changes in assets and liabilities, net of acquisitions. For the first six months of 2016 changes in accounts payable balance provided cash of $190.0 million for the first six months of 2016, as compared to $50.8 million for the first six months of 2015, driven principally by increased sales volumes and the impact of rising average fuel prices during the first six months of 2016. Additionally, changes in inventories and short-term derivative assets were impacted by the low price fuel environment, coupled with limited volatility, resulting in combined net cash provided of $16.1 million. Offsetting these increase were changes in our accounts receivables balances which had a cash use of $230.1 million, as compared to $50.1 million in the first six months of 2015, principally due to increased sales volumes and the impact of rising average fuel prices during the first six months of 2016.</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the six months ended June 30, 2016, net cash used in investing activities was $36.8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$24.0 million for the first six months of 2015. Of the $12.8 million increase in cash used in investing activities, $43.2 million was principally due to increased acquisition-related activity, whereas in the first three months of 2016 we completed three acquisitions in our land segment, which was partially offset by proceeds of $29.3 million from the sale of the Pester retail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six months ended June 30, 2016, net cash used in financing activities was $10.6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$34.7 million of cash provided by financing activities for the first six months of 2015. The $45.3 million change was principally due to $60.3 million in lower net borrowings under our credit facility in the first six months of 2016 as compared to the first six months of 2015 partially offset by an $11.6 million decrease in cash used for common stock repurchases in the first six months of 2016 as compared to the first six months of 2015.</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As of June 30, 2016 and December 31, 2015, we had cash and cash equivalents of $737.2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$582.5 million, respectively. Our primary use of cash and cash equivalents are to fund strategic investments, primarily acquisitions and purchase inventory.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early planning phase and the cost incurred during the first six months of 2016 was not considered significant. We expect the total cost of the project over the next three years to range between $30.0 million and $40.0 million.</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Credit Facility and Term Loans. </w:t>
      </w:r>
      <w:r>
        <w:rPr>
          <w:rFonts w:ascii="Arial" w:cs="Arial" w:eastAsia="Arial" w:hAnsi="Arial"/>
          <w:sz w:val="16"/>
          <w:szCs w:val="16"/>
          <w:color w:val="auto"/>
        </w:rPr>
        <w:t>We have a Credit Facility which permits borrowing up to $1.26 billion with a sublimit of $400.0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$444.5 million and $416.0 million as of June 30, 2016 and December 31, 2015, respectively. Our issued letters of credit under the Credit Facility totaled $5.1 million and $5.5 million as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June 30, 2016 and December 31, 2015, respectively. We also had $326.4 million and $333.2 million in Term Loans outstanding as of June 30, 2016 and December 31, 2015, respectively. As of June 30, 2016 and December 31, 2015, the unused portion of our Credit Facility was $809.1 million and $838.5 million, respectively.</w:t>
      </w:r>
    </w:p>
    <w:p>
      <w:pPr>
        <w:spacing w:after="0" w:line="18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7"/>
          <w:szCs w:val="17"/>
          <w:color w:val="auto"/>
        </w:rPr>
        <w:t>‑</w:t>
      </w:r>
      <w:r>
        <w:rPr>
          <w:rFonts w:ascii="Arial" w:cs="Arial" w:eastAsia="Arial" w:hAnsi="Arial"/>
          <w:sz w:val="17"/>
          <w:szCs w:val="17"/>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2016, we were in compliance with all financial covenants contained in our Credit Facility and our Term Loans.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Other Credit Lines and Receivables Purchase Agreements</w:t>
      </w:r>
      <w:r>
        <w:rPr>
          <w:rFonts w:ascii="Arial" w:cs="Arial" w:eastAsia="Arial" w:hAnsi="Arial"/>
          <w:sz w:val="18"/>
          <w:szCs w:val="18"/>
          <w:color w:val="auto"/>
        </w:rPr>
        <w:t>. Additionally, we have other uncommitted credit lines primarily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letters of credit, bank guarantees and bankers’ acceptances. These credit lines are renewable on an annual basis and are subject to fees at market rates. As of June 30, 2016 and December 31, 2015, our outstanding letters of credit and bank guarantees under these credit lines totaled $160.8 million and $208.4 million, respectively. We also have Receivables Purchase Agreements (“RPAs”) that allow for the sale of up to an aggregate of $499.0 million of our accounts receivable. As of June 30, 2016, we had sold accounts receivable of $170.3 million under the RPAs.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Short-Term Debt</w:t>
      </w:r>
      <w:r>
        <w:rPr>
          <w:rFonts w:ascii="Arial" w:cs="Arial" w:eastAsia="Arial" w:hAnsi="Arial"/>
          <w:sz w:val="17"/>
          <w:szCs w:val="17"/>
          <w:color w:val="auto"/>
        </w:rPr>
        <w:t>. As of June 30, 2016, our short-term debt of $28.8 million primarily represents the current maturities (within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twelve months) of Term Loan borrowings, certain promissory notes related to acquisitions and capital lease obligations.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June 30, 2016 (of which $111.4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In July 2016, we completed the acquisitions of PAPCO, Inc. (“PAPCO”), which services retail, commercial and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with fuel, price-risk management products, and fleet card solutions throughout the Mid-Atlantic region of the United States and Associated Petroleum Products, Inc. (“APP”), which provides fuel and related services to agricultural, automotive, construction, and commercial and industrial customers in the Pacific Northwest. In the first quarter of 2016, we signed a definitive agreement to acquire from certain ExxonMobil affiliates their aviation fueling operations at 83 airports in Canada, the United Kingdom, Germany, Italy, France, Australia and New Zealand. The total purchase price is approximately $260.0 million and is expected to be fully funded with cash on hand. The transaction will close in phases, with the majority of locations expected to close during the second half of 2016. The transaction is subject to customary regulatory consents and closing conditions, including securing third party consents and therefore there can be no assurance that we will be successful in closing the acquisition.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2015 to June 30, 2016. For a discussion of these matters, refer to “Contractual Obligations and Off-Balance Sheet Arrangements” in Item 7 of our 2015 10-K Report.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`Derivative Obligations. </w:t>
      </w:r>
      <w:r>
        <w:rPr>
          <w:rFonts w:ascii="Arial" w:cs="Arial" w:eastAsia="Arial" w:hAnsi="Arial"/>
          <w:sz w:val="17"/>
          <w:szCs w:val="17"/>
          <w:color w:val="auto"/>
        </w:rPr>
        <w:t>As of June 30, 2016, our net derivative obligations were $43.5 million, principally due within one year.</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June 30, 2016, fixed purchase commitments under our derivative programs amounted to</w:t>
      </w:r>
      <w:r>
        <w:rPr>
          <w:rFonts w:ascii="Arial" w:cs="Arial" w:eastAsia="Arial" w:hAnsi="Arial"/>
          <w:sz w:val="18"/>
          <w:szCs w:val="18"/>
          <w:i w:val="1"/>
          <w:iCs w:val="1"/>
          <w:color w:val="auto"/>
        </w:rPr>
        <w:t xml:space="preserve"> </w:t>
      </w:r>
      <w:r>
        <w:rPr>
          <w:rFonts w:ascii="Arial" w:cs="Arial" w:eastAsia="Arial" w:hAnsi="Arial"/>
          <w:sz w:val="18"/>
          <w:szCs w:val="18"/>
          <w:color w:val="auto"/>
        </w:rPr>
        <w:t>$92.1 million, principally due within one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majority of these letters of credit expire within one year from their issuance, and expired letters of credit are renewed as needed. As of June 30, 2016, we had issued letters of credit and bank guarantees totaling $165.9 million under our Credit Facility and other uncommitted credit lines. For additional information on our Credit Facility and other credit lines, see the discussion in “Liquidity and Capital Resources” above.</w:t>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recently adopted accounting pronouncements is included in Note 1 - Significant Accounting Policies in the “Notes to the Consolidated Financial Statements” in this 10-Q Report.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2014-09, Revenue from Contracts with Customers. Under this ASU and subsequently issued amendments, an entity is required to recognize the amount of revenue it expects to be entitled to for the transfer of promised goods or services to customers. The standard is effective for interim and annual reporting periods beginning after December 15, 2017. The updated standard will replace most existing revenue recognition guidance in U.S. GAAP when it becomes effective and permits the use of either the retrospective or cumulative effect transition method. Early adoption of the standard is permitted, but not before December 15, 2016. We have not yet selected a transition method and we are currently evaluating how the adoption of the standard will impact our consolidated financial statements and related disclosures.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In March 2016, the FASB issued ASU 2016-05, Derivatives and Hedging: Effect of Derivative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Novations on Existing Hedge Accounting Relationships and ASU 2016-06, Derivatives and Hedging: Contingent Put and Call Options in Debt Instruments. ASU 2016-05 clarifies that a change in the counterparty to a derivative instrument that has been designated as a hedging instrument does not, in and of itself, require dedesignation of that hedging relationship provided that all other hedge accounting criteria continue to be met. ASU 2016-06 clarifies the steps required to determine bifurcation of an embedded derivative. These standards are effective at the beginning of our 2017 fiscal year. We are currently evaluating whether the adoption of these standards will have a significant impact on our consolidated financial statements and related disclosures.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Inventory: Simplifying the Measurement of Inventory. </w:t>
      </w:r>
      <w:r>
        <w:rPr>
          <w:rFonts w:ascii="Arial" w:cs="Arial" w:eastAsia="Arial" w:hAnsi="Arial"/>
          <w:sz w:val="16"/>
          <w:szCs w:val="16"/>
          <w:color w:val="auto"/>
        </w:rPr>
        <w:t>In July 2015, the FASB issued ASU 2015-11, which simplifies the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inventory by requiring inventory within the scope of this update to be measured at the lower of cost or net realizable value rather than the lower of cost or market. This standard is effective at the beginning of our 2017 fiscal year. We are currently evaluating whether the adoption of this new guidance will have a significant impact on our consolidated financial statements and related disclosures.</w:t>
      </w:r>
    </w:p>
    <w:p>
      <w:pPr>
        <w:spacing w:after="0" w:line="15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FASB issued an ASU 2016-02, Leases. This standard will require all lessees to recognize a right of use</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a lease liability on the balance sheet, except for leases with durations that are less than twelve months. The standard is effective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We are currently evaluating whether the adoption of this new guidance will have a significant impact on our consolidated financial statements and disclosures.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Compensation – Stock Compensation: Improvements to Employee Share-Based Payment Accounting. </w:t>
      </w:r>
      <w:r>
        <w:rPr>
          <w:rFonts w:ascii="Arial" w:cs="Arial" w:eastAsia="Arial" w:hAnsi="Arial"/>
          <w:sz w:val="17"/>
          <w:szCs w:val="17"/>
          <w:color w:val="auto"/>
        </w:rPr>
        <w:t>In March 2016, the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2016-09. This ASU is intended to improve the accounting for employee share-based payments. Several aspects of the accounting for share-based payment award transactions are simplified, including: </w:t>
      </w:r>
      <w:r>
        <w:rPr>
          <w:rFonts w:ascii="Arial" w:cs="Arial" w:eastAsia="Arial" w:hAnsi="Arial"/>
          <w:sz w:val="17"/>
          <w:szCs w:val="17"/>
          <w:i w:val="1"/>
          <w:iCs w:val="1"/>
          <w:color w:val="auto"/>
        </w:rPr>
        <w:t>(a)</w:t>
      </w:r>
      <w:r>
        <w:rPr>
          <w:rFonts w:ascii="Arial" w:cs="Arial" w:eastAsia="Arial" w:hAnsi="Arial"/>
          <w:sz w:val="17"/>
          <w:szCs w:val="17"/>
          <w:color w:val="auto"/>
        </w:rPr>
        <w:t xml:space="preserve"> income tax consequences; </w:t>
      </w:r>
      <w:r>
        <w:rPr>
          <w:rFonts w:ascii="Arial" w:cs="Arial" w:eastAsia="Arial" w:hAnsi="Arial"/>
          <w:sz w:val="17"/>
          <w:szCs w:val="17"/>
          <w:i w:val="1"/>
          <w:iCs w:val="1"/>
          <w:color w:val="auto"/>
        </w:rPr>
        <w:t>(b)</w:t>
      </w:r>
      <w:r>
        <w:rPr>
          <w:rFonts w:ascii="Arial" w:cs="Arial" w:eastAsia="Arial" w:hAnsi="Arial"/>
          <w:sz w:val="17"/>
          <w:szCs w:val="17"/>
          <w:color w:val="auto"/>
        </w:rPr>
        <w:t xml:space="preserve"> classification of awards as either equity or liabilities; and </w:t>
      </w:r>
      <w:r>
        <w:rPr>
          <w:rFonts w:ascii="Arial" w:cs="Arial" w:eastAsia="Arial" w:hAnsi="Arial"/>
          <w:sz w:val="17"/>
          <w:szCs w:val="17"/>
          <w:i w:val="1"/>
          <w:iCs w:val="1"/>
          <w:color w:val="auto"/>
        </w:rPr>
        <w:t>(c)</w:t>
      </w:r>
      <w:r>
        <w:rPr>
          <w:rFonts w:ascii="Arial" w:cs="Arial" w:eastAsia="Arial" w:hAnsi="Arial"/>
          <w:sz w:val="17"/>
          <w:szCs w:val="17"/>
          <w:color w:val="auto"/>
        </w:rPr>
        <w:t xml:space="preserve"> classification on the statement of cash flows. This update is effective at the beginning of our 2017 fiscal year with an election to early adopt at the beginning of 2016. We are currently evaluating whether the adoption of this new guidance will impact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our derivative classifications: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1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2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Non-designated Derivatives</w:t>
      </w:r>
      <w:r>
        <w:rPr>
          <w:rFonts w:ascii="Arial" w:cs="Arial" w:eastAsia="Arial" w:hAnsi="Arial"/>
          <w:sz w:val="17"/>
          <w:szCs w:val="17"/>
          <w:color w:val="auto"/>
        </w:rPr>
        <w:t>. 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12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June 30, 2016, see Notes to the Consolidated Financial Statements – </w:t>
      </w:r>
      <w:r>
        <w:rPr>
          <w:rFonts w:ascii="Arial" w:cs="Arial" w:eastAsia="Arial" w:hAnsi="Arial"/>
          <w:sz w:val="18"/>
          <w:szCs w:val="18"/>
          <w:i w:val="1"/>
          <w:iCs w:val="1"/>
          <w:color w:val="auto"/>
        </w:rPr>
        <w:t>Note 4. Derivatives</w:t>
      </w:r>
    </w:p>
    <w:p>
      <w:pPr>
        <w:spacing w:after="0" w:line="12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2015. Please refer to our 2015 10-K Report for a complete discussion of our exposure to these risks.</w:t>
      </w:r>
    </w:p>
    <w:p>
      <w:pPr>
        <w:spacing w:after="0" w:line="1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2016.</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June 30, 2016.</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is cooperating with the investigation.</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updated our existing risk factor on foreign exchange rates disclosed in Part I—Item 1A, “Risk Factors,” in the Company’s Annual Report on Form 10-K filed with the SEC on February 16, 2016 to include information associated with the current events in the United Kingdom.</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June 23, 2016 referendum in which British voters approved an exit from the European Union (“E.U.”), commonly referred to as "Brexit",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and may cause our customers to closely monitor their costs and reduce their spending budget on our products and services, which in turn, may adversely affect our business, results of operations and financial condition.</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information with respect to repurchases of common stock made by us during the quarterly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(in thousands, except average price per share):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of Shares Purchased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78"/>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Announced Plans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4"/>
                <w:szCs w:val="14"/>
                <w:b w:val="1"/>
                <w:bCs w:val="1"/>
                <w:color w:val="auto"/>
                <w:vertAlign w:val="superscript"/>
              </w:rPr>
              <w:t>(1)</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or Programs</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4/1/2016 - 4/30/2016</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59,524</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4"/>
                <w:szCs w:val="14"/>
                <w:color w:val="auto"/>
              </w:rPr>
              <w:t>5/1/2016 - 5/31/2016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45.12</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44,472</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6/1/2016 - 6/30/2016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2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6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45.37</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180" w:hanging="188"/>
        <w:spacing w:after="0" w:line="278" w:lineRule="auto"/>
        <w:rPr>
          <w:sz w:val="20"/>
          <w:szCs w:val="20"/>
          <w:color w:val="auto"/>
        </w:rPr>
      </w:pPr>
      <w:r>
        <w:rPr>
          <w:rFonts w:ascii="Arial" w:cs="Arial" w:eastAsia="Arial" w:hAnsi="Arial"/>
          <w:sz w:val="16"/>
          <w:szCs w:val="16"/>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1" w:lineRule="exact"/>
        <w:rPr>
          <w:sz w:val="20"/>
          <w:szCs w:val="20"/>
          <w:color w:val="auto"/>
        </w:rPr>
      </w:pPr>
    </w:p>
    <w:p>
      <w:pPr>
        <w:jc w:val="both"/>
        <w:ind w:left="180" w:hanging="188"/>
        <w:spacing w:after="0" w:line="329" w:lineRule="auto"/>
        <w:rPr>
          <w:sz w:val="20"/>
          <w:szCs w:val="20"/>
          <w:color w:val="auto"/>
        </w:rPr>
      </w:pPr>
      <w:r>
        <w:rPr>
          <w:rFonts w:ascii="Arial" w:cs="Arial" w:eastAsia="Arial" w:hAnsi="Arial"/>
          <w:sz w:val="15"/>
          <w:szCs w:val="15"/>
          <w:color w:val="auto"/>
        </w:rPr>
        <w:t>(2)In June 2015, our Board of Directors renewed its existing common stock repurchase program by replacing the remainder of the existing program and authorizing the purchase of up to $100.0 million in common stock (the “Repurchase Program”). The Repurchase Program does not require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0" w:lineRule="exact"/>
        <w:rPr>
          <w:sz w:val="20"/>
          <w:szCs w:val="20"/>
          <w:color w:val="auto"/>
        </w:rPr>
      </w:pPr>
    </w:p>
    <w:p>
      <w:pPr>
        <w:jc w:val="both"/>
        <w:ind w:left="320"/>
        <w:spacing w:after="0" w:line="305" w:lineRule="auto"/>
        <w:rPr>
          <w:sz w:val="20"/>
          <w:szCs w:val="20"/>
          <w:color w:val="auto"/>
        </w:rPr>
      </w:pPr>
      <w:r>
        <w:rPr>
          <w:rFonts w:ascii="Arial" w:cs="Arial" w:eastAsia="Arial" w:hAnsi="Arial"/>
          <w:sz w:val="15"/>
          <w:szCs w:val="15"/>
          <w:color w:val="auto"/>
        </w:rPr>
        <w:t>minimum number of shares of common stock to be purchased, has no expiration date and may be suspended or discontinued at any time. As of June 30, 2016, $41.1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67"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 —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4"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under Section 906 of the Sarbanes-Oxley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jc w:val="both"/>
        <w:ind w:left="1260" w:right="20" w:hanging="862"/>
        <w:spacing w:after="0" w:line="291"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Quarterly Report on Form 10-Q for the quarter ended June 30, 2016, formatted in XBRL (Extensible Business Reporting Language); (i) Consolidated Balance Sheets,</w:t>
      </w:r>
    </w:p>
    <w:p>
      <w:pPr>
        <w:ind w:left="1260" w:firstLine="9"/>
        <w:spacing w:after="0" w:line="290" w:lineRule="auto"/>
        <w:tabs>
          <w:tab w:leader="none" w:pos="1563"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Consolidated Statements of Income and Comprehensive Income, (iii) Consolidated Statements of Shareholders’ Equity, (iv) Consolidated Statements of Cash Flows, and (v) Notes to the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July 29, 2016</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460" w:right="340" w:hanging="134"/>
        <w:spacing w:after="0" w:line="277" w:lineRule="auto"/>
        <w:rPr>
          <w:sz w:val="20"/>
          <w:szCs w:val="20"/>
          <w:color w:val="auto"/>
        </w:rPr>
      </w:pPr>
      <w:r>
        <w:rPr>
          <w:rFonts w:ascii="Arial" w:cs="Arial" w:eastAsia="Arial" w:hAnsi="Arial"/>
          <w:sz w:val="18"/>
          <w:szCs w:val="18"/>
          <w:color w:val="auto"/>
        </w:rPr>
        <w:t>1.I have reviewed this Quarterly Report on Form 10-Q of World Fuel Services Corporation for the quarterly period ended June 30, 2016;</w:t>
      </w:r>
    </w:p>
    <w:p>
      <w:pPr>
        <w:spacing w:after="0" w:line="170"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460" w:right="340" w:hanging="134"/>
        <w:spacing w:after="0" w:line="277" w:lineRule="auto"/>
        <w:rPr>
          <w:sz w:val="20"/>
          <w:szCs w:val="20"/>
          <w:color w:val="auto"/>
        </w:rPr>
      </w:pPr>
      <w:r>
        <w:rPr>
          <w:rFonts w:ascii="Arial" w:cs="Arial" w:eastAsia="Arial" w:hAnsi="Arial"/>
          <w:sz w:val="18"/>
          <w:szCs w:val="18"/>
          <w:color w:val="auto"/>
        </w:rPr>
        <w:t>1.I have reviewed this Quarterly Report on Form 10-Q of World Fuel Services Corporation for the quarterly period ended June 30, 2016;</w:t>
      </w:r>
    </w:p>
    <w:p>
      <w:pPr>
        <w:spacing w:after="0" w:line="170"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180" w:lineRule="exact"/>
        <w:rPr>
          <w:sz w:val="20"/>
          <w:szCs w:val="20"/>
          <w:color w:val="auto"/>
        </w:rPr>
      </w:pPr>
    </w:p>
    <w:p>
      <w:pPr>
        <w:ind w:right="400" w:firstLine="486"/>
        <w:spacing w:after="0" w:line="312" w:lineRule="auto"/>
        <w:rPr>
          <w:sz w:val="20"/>
          <w:szCs w:val="20"/>
          <w:color w:val="auto"/>
        </w:rPr>
      </w:pPr>
      <w:r>
        <w:rPr>
          <w:rFonts w:ascii="Arial" w:cs="Arial" w:eastAsia="Arial" w:hAnsi="Arial"/>
          <w:sz w:val="16"/>
          <w:szCs w:val="16"/>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7" w:lineRule="exact"/>
        <w:rPr>
          <w:sz w:val="20"/>
          <w:szCs w:val="20"/>
          <w:color w:val="auto"/>
        </w:rPr>
      </w:pPr>
    </w:p>
    <w:p>
      <w:pPr>
        <w:ind w:left="760" w:right="200" w:hanging="271"/>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2016 (the “Report”) fully complies with the requirements of Section 13(a) or 15(d), as applicable, of the Securities Exchange Act of 1934; and</w:t>
      </w:r>
    </w:p>
    <w:p>
      <w:pPr>
        <w:spacing w:after="0" w:line="181" w:lineRule="exact"/>
        <w:rPr>
          <w:rFonts w:ascii="Arial" w:cs="Arial" w:eastAsia="Arial" w:hAnsi="Arial"/>
          <w:sz w:val="18"/>
          <w:szCs w:val="18"/>
          <w:color w:val="auto"/>
        </w:rPr>
      </w:pPr>
    </w:p>
    <w:p>
      <w:pPr>
        <w:ind w:left="820" w:right="80" w:hanging="331"/>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1."/>
      <w:numFmt w:val="decimal"/>
      <w:start w:val="6"/>
    </w:lvl>
  </w:abstractNum>
  <w:abstractNum w:abstractNumId="10">
    <w:nsid w:val="6B68079A"/>
    <w:multiLevelType w:val="hybridMultilevel"/>
    <w:lvl w:ilvl="0">
      <w:lvlJc w:val="left"/>
      <w:lvlText w:val="%1."/>
      <w:numFmt w:val="decimal"/>
      <w:start w:val="7"/>
    </w:lvl>
  </w:abstractNum>
  <w:abstractNum w:abstractNumId="11">
    <w:nsid w:val="4E6AFB66"/>
    <w:multiLevelType w:val="hybridMultilevel"/>
    <w:lvl w:ilvl="0">
      <w:lvlJc w:val="left"/>
      <w:lvlText w:val="%1."/>
      <w:numFmt w:val="decimal"/>
      <w:start w:val="8"/>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decimal"/>
      <w:start w:val="12"/>
    </w:lvl>
  </w:abstractNum>
  <w:abstractNum w:abstractNumId="16">
    <w:nsid w:val="7C83E458"/>
    <w:multiLevelType w:val="hybridMultilevel"/>
    <w:lvl w:ilvl="0">
      <w:lvlJc w:val="left"/>
      <w:lvlText w:val="%1."/>
      <w:numFmt w:val="decimal"/>
      <w:start w:val="1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01"/>
    </w:lvl>
    <w:lvl w:ilvl="1">
      <w:lvlJc w:val="left"/>
      <w:lvlText w:val="(%2)"/>
      <w:numFmt w:val="lowerRoman"/>
      <w:start w:val="2"/>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2019-12-29T10:55:58Z</dcterms:created>
  <dcterms:modified xsi:type="dcterms:W3CDTF">2019-12-29T10:55:58Z</dcterms:modified>
</cp:coreProperties>
</file>