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19, 2012</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line="257" w:lineRule="auto"/>
        <w:rPr>
          <w:sz w:val="20"/>
          <w:szCs w:val="20"/>
          <w:color w:val="auto"/>
        </w:rPr>
      </w:pPr>
      <w:r>
        <w:rPr>
          <w:rFonts w:ascii="Arial" w:cs="Arial" w:eastAsia="Arial" w:hAnsi="Arial"/>
          <w:sz w:val="22"/>
          <w:szCs w:val="22"/>
          <w:b w:val="1"/>
          <w:bCs w:val="1"/>
          <w:color w:val="auto"/>
        </w:rPr>
        <w:t>Item 5.02. Departures of Directors or Certain Officers; Election of Directors; Appointment of Certain Officers; Compensatory Arrangements of Certain Officers.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5.02(b)</w:t>
      </w:r>
    </w:p>
    <w:p>
      <w:pPr>
        <w:spacing w:after="0" w:line="213"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Effective April 1, 2012, Francis X. Shea will no longer be a named executive officer of World Fuel Services Corporation (the “Company”). Mr. Shea will remain employed by the Company supporting strategic initiatives, corporate development activities and other special projects. His duties as Chief Risk and Administrative Officer have been assigned to other members of Company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March 19, 2012</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0700"/>
      </w:cols>
      <w:pgMar w:left="240" w:top="12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2019-12-09T09:39:33Z</dcterms:created>
  <dcterms:modified xsi:type="dcterms:W3CDTF">2019-12-09T09:39:33Z</dcterms:modified>
</cp:coreProperties>
</file>