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July 27, 2017</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27, 2017, World Fuel Services Corporation (the “Company”) issued a press release reporting its financial results for the second quarter ended June 30, 2017.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0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86"/>
              </w:rPr>
              <w:t>Press Release, dated July 27, 2017</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July 27, 2017</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27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ind w:left="4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Press Release, dated July 27, 2017</w:t>
            </w: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Vice President, Assistant Treasurer</w:t>
      </w: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Second Quarter 2017 Earnings</w:t>
      </w:r>
    </w:p>
    <w:p>
      <w:pPr>
        <w:spacing w:after="0" w:line="200" w:lineRule="exact"/>
        <w:rPr>
          <w:sz w:val="20"/>
          <w:szCs w:val="20"/>
          <w:color w:val="auto"/>
        </w:rPr>
      </w:pPr>
    </w:p>
    <w:p>
      <w:pPr>
        <w:spacing w:after="0" w:line="2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MIAMI—July 27, 2017-- World Fuel Services Corporation (NYSE: INT) today reported second quarter 2017 net income of $30.0 million or $0.44 diluted earnings per share. Excluding the impact of certain one-time items, adjusted second quarter net income was $34.2 million or $0.50 adjusted diluted earnings per share. In the second quarter of 2016, net income as adjusted for one-time items was $34.8 million or $0.50 adjusted diluted earnings per share. Non-GAAP net income and diluted earnings per share for the second quarter of 2017, excluding share-based compensation, amortization of acquired intangible assets and other one-time items were $45.1 million and $0.66, respectively, compared to $44.0 million and $0.63 in 2016.</w:t>
      </w:r>
    </w:p>
    <w:p>
      <w:pPr>
        <w:spacing w:after="0" w:line="115"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“Our aviation segment posted strong results in the second quarter with solid growth coming from our core resale business, as well as strong performance from our recently acquired international fueling operations” stated Michael J. Kasbar, Chairman and Chief Executive Officer of World Fuel Services Corporation. “While certain headwinds in our marine and land businesses persist, we remain focused on achieving operational efficiencies which should serve us well as we execute on our long-term growth strategy.”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aviation segment generated gross profit of $110.9 million, an increase of $12.3 million or 12.5% year-over-year. The company’s marine segment generated gross profit of $32.9 million, a decrease of $6.7 million or 17.0% year-over-year. The company’s land segment generated gross profit of $87.2 million, an increase of $6.9 million or 8.6% year-over-year.</w:t>
      </w:r>
    </w:p>
    <w:p>
      <w:pPr>
        <w:spacing w:after="0" w:line="20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generated $156 million of operating cash flow in the first half of 2017, reduced our debt by approximately $120 million and repurchased $32 million of our common stock, further strengthening our balance sheet and driving incremental shareholder value,” said Ira M. Birns, Executive Vice President and Chief Financial Officer. “However, due to a weaker outlook for certain parts of our business, we are lowering our 2017 full year guidance range to $2.10 to $2.40 adjusted diluted earnings per share.”</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press release contains non-GAAP financial measures, including Non-GAAP and adjusted net income and diluted earnings per share (“EPS”) for the three and six months ended June 30, 2017 and 2016 (collectively, the “2017 Non-GAAP Measures”) as well as the Company's outlook for Adjusted EPS for 2017. The 2017 Non-GAAP Measures exclude costs associated with share-based compensation, amortization of acquired intangible assets, acquisition-related charges, severance and other restructuring-related costs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acquisition-related charges, severance and other restructuring-related costs are useful for purposes of evaluating operating performance of our core operating results and comparing them period over period. We believe that the 2017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Non-GAAP financial measures should not be considered in isolation from, or as a substitute for, financial information prepared in accordance with GAAP. In addition, our presentation of the 2017 Non-GAAP Measures may not be comparable to the presentation of such metrics by other companies. Non-GAAP and adjusted diluted earnings per common share is computed by dividing non-GAAP net income and adjusted net income, respectively,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2017 Non-GAAP Measures to their most directly comparable GAAP financial measures.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regard to the Company’s guidance for 2017, reconciliation of Adjusted EPS to the most directly comparable GAAP measure is not available without unreasonable efforts on a forward-looking basis due to the high variability and complexity with respect to the charges excluded from this non-GAAP measure, including expenses associated with acquisitions and divestitures, and other unusual gains and losses, which we are unable to predict without unreasonable efforts due to their inherent uncertainty. Consequently, any attempt to disclose such reconciliation would imply a degree of precision that could be confusing or misleading to investors. While we do not expect the variability of the above charges to have a significant impact on our future GAAP financial results, there can be no assurance that they will not materially affect our future GAAP financial results. The expected 2017 adjusted EPS range assumes the following: (i) weighted-average outstanding shares of approximately 70 million; (ii) a full-year effective tax rate in a range of 15 to 18 percent; (iii) the integration and realization of anticipated financial and operational contributions from acquisitions announced in 2016, but does not contemplate the impact of any potential future acquisitions; (iv) the realization of cost savings of approximately $15 million in 2017; (v) performance consistent with management’s current visibility into the Company's annual operating performance, including continued contributions from our government-related activities; and (vi) traditional seasonal weather patterns in 2017.</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expectations about executing on our long-term strategy, and gaining operational efficiencies, as well as our expectations about our outlook for the 2017 adjusted EPS range.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integrate and derive benefits from acquired businesses,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6" w:name="page7"/>
    <w:bookmarkEnd w:id="6"/>
    <w:p>
      <w:pPr>
        <w:ind w:left="30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575.6</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698.6</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2,344.0</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458.0</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58.9</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230.6</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3,836.6</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311.2</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835.8</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77"/>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5,286.0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5,412.6</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Short-term debt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1,794.4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1,770.4</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64"/>
        </w:trPr>
        <w:tc>
          <w:tcPr>
            <w:tcW w:w="8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306.0</w:t>
            </w:r>
          </w:p>
        </w:tc>
      </w:tr>
      <w:tr>
        <w:trPr>
          <w:trHeight w:val="25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2,182.7</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1,046.1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1,170.8</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w:t>
            </w:r>
          </w:p>
        </w:tc>
      </w:tr>
      <w:tr>
        <w:trPr>
          <w:trHeight w:val="250"/>
        </w:trPr>
        <w:tc>
          <w:tcPr>
            <w:tcW w:w="8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3,291.7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3,472.6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83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6"/>
              </w:rPr>
              <w:t>Common stock, $0.01 par value; 100.0 shares authorized, 68.6 and 69.9 issued and outstanding as of June 30, 2017 and December 31,</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2016, respectively</w:t>
            </w:r>
          </w:p>
        </w:tc>
        <w:tc>
          <w:tcPr>
            <w:tcW w:w="4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399.9</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4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1,732.4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1,679.3</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1,925.0</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50"/>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1,940.0</w:t>
            </w:r>
          </w:p>
        </w:tc>
      </w:tr>
      <w:tr>
        <w:trPr>
          <w:trHeight w:val="23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5,412.6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796" w:right="2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6"/>
                <w:szCs w:val="16"/>
                <w:color w:val="auto"/>
              </w:rPr>
            </w:pPr>
          </w:p>
        </w:tc>
        <w:tc>
          <w:tcPr>
            <w:tcW w:w="22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5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8,086.2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16,280.4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11,823.9</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15,818.0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11,383.9</w:t>
            </w:r>
          </w:p>
        </w:tc>
      </w:tr>
      <w:tr>
        <w:trPr>
          <w:trHeight w:val="250"/>
        </w:trPr>
        <w:tc>
          <w:tcPr>
            <w:tcW w:w="5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440.0</w:t>
            </w:r>
          </w:p>
        </w:tc>
      </w:tr>
      <w:tr>
        <w:trPr>
          <w:trHeight w:val="277"/>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199.6</w:t>
            </w: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Provision for bad debt</w:t>
            </w:r>
          </w:p>
        </w:tc>
        <w:tc>
          <w:tcPr>
            <w:tcW w:w="4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129.9</w:t>
            </w:r>
          </w:p>
        </w:tc>
      </w:tr>
      <w:tr>
        <w:trPr>
          <w:trHeight w:val="250"/>
        </w:trPr>
        <w:tc>
          <w:tcPr>
            <w:tcW w:w="59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179.7</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173.0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360.9</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333.4</w:t>
            </w:r>
          </w:p>
        </w:tc>
      </w:tr>
      <w:tr>
        <w:trPr>
          <w:trHeight w:val="250"/>
        </w:trPr>
        <w:tc>
          <w:tcPr>
            <w:tcW w:w="5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r>
    </w:tbl>
    <w:p>
      <w:pPr>
        <w:spacing w:after="0" w:line="89" w:lineRule="exact"/>
        <w:rPr>
          <w:sz w:val="20"/>
          <w:szCs w:val="20"/>
          <w:color w:val="auto"/>
        </w:rPr>
      </w:pPr>
    </w:p>
    <w:p>
      <w:pPr>
        <w:sectPr>
          <w:pgSz w:w="11900" w:h="16838" w:orient="portrait"/>
          <w:cols w:equalWidth="0" w:num="1">
            <w:col w:w="11320"/>
          </w:cols>
          <w:pgMar w:left="240" w:top="796" w:right="339" w:bottom="1440" w:gutter="0" w:footer="0" w:header="0"/>
        </w:sectPr>
      </w:pPr>
    </w:p>
    <w:p>
      <w:pPr>
        <w:ind w:left="40"/>
        <w:spacing w:after="0"/>
        <w:rPr>
          <w:sz w:val="20"/>
          <w:szCs w:val="20"/>
          <w:color w:val="auto"/>
        </w:rPr>
      </w:pPr>
      <w:r>
        <w:rPr>
          <w:rFonts w:ascii="Arial" w:cs="Arial" w:eastAsia="Arial" w:hAnsi="Arial"/>
          <w:sz w:val="14"/>
          <w:szCs w:val="14"/>
          <w:color w:val="auto"/>
        </w:rPr>
        <w:t>Non-operating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 and other financing costs,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8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including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295"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2317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including noncontrolling interest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translation adjustments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Cash Flow hedges, net of income tax benefit of $6.6 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862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88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89" w:lineRule="exact"/>
        <w:rPr>
          <w:sz w:val="20"/>
          <w:szCs w:val="20"/>
          <w:color w:val="auto"/>
        </w:rPr>
      </w:pPr>
    </w:p>
    <w:p>
      <w:pPr>
        <w:ind w:left="40" w:right="1540"/>
        <w:spacing w:after="0" w:line="422" w:lineRule="auto"/>
        <w:rPr>
          <w:sz w:val="20"/>
          <w:szCs w:val="20"/>
          <w:color w:val="auto"/>
        </w:rPr>
      </w:pPr>
      <w:r>
        <w:rPr>
          <w:rFonts w:ascii="Arial" w:cs="Arial" w:eastAsia="Arial" w:hAnsi="Arial"/>
          <w:sz w:val="13"/>
          <w:szCs w:val="13"/>
          <w:color w:val="auto"/>
        </w:rPr>
        <w:t>Comprehensive income including noncontrolling interest Comprehensive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8629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Comprehensive income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8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8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37388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76"/>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r>
      <w:tr>
        <w:trPr>
          <w:trHeight w:val="250"/>
        </w:trPr>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44"/>
        </w:trPr>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91.6</w:t>
            </w:r>
          </w:p>
        </w:tc>
      </w:tr>
      <w:tr>
        <w:trPr>
          <w:trHeight w:val="276"/>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r>
      <w:tr>
        <w:trPr>
          <w:trHeight w:val="244"/>
        </w:trPr>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81.3</w:t>
            </w:r>
          </w:p>
        </w:tc>
      </w:tr>
      <w:tr>
        <w:trPr>
          <w:trHeight w:val="276"/>
        </w:trPr>
        <w:tc>
          <w:tcPr>
            <w:tcW w:w="4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37"/>
        </w:trPr>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81.6</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52"/>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81.3</w:t>
            </w:r>
          </w:p>
        </w:tc>
      </w:tr>
      <w:tr>
        <w:trPr>
          <w:trHeight w:val="554"/>
        </w:trPr>
        <w:tc>
          <w:tcPr>
            <w:tcW w:w="4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76"/>
        </w:trPr>
        <w:tc>
          <w:tcPr>
            <w:tcW w:w="4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50"/>
        </w:trPr>
        <w:tc>
          <w:tcPr>
            <w:tcW w:w="4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244"/>
        </w:trPr>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73.0</w:t>
            </w:r>
          </w:p>
        </w:tc>
      </w:tr>
      <w:tr>
        <w:trPr>
          <w:trHeight w:val="276"/>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480" w:space="540"/>
            <w:col w:w="5300"/>
          </w:cols>
          <w:pgMar w:left="240" w:top="79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2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5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w:t>
            </w:r>
          </w:p>
        </w:tc>
      </w:tr>
      <w:tr>
        <w:trPr>
          <w:trHeight w:val="156"/>
        </w:trPr>
        <w:tc>
          <w:tcPr>
            <w:tcW w:w="608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Gain on sale of held for sale assets and liabilities</w:t>
            </w:r>
          </w:p>
        </w:tc>
        <w:tc>
          <w:tcPr>
            <w:tcW w:w="3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Deferred income tax (benefit) provision</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Extinguishment of liabilities, net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Foreign currency gains, net</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78"/>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174.6</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113.0</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190.0</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(101.2)</w:t>
            </w:r>
          </w:p>
        </w:tc>
      </w:tr>
      <w:tr>
        <w:trPr>
          <w:trHeight w:val="270"/>
        </w:trPr>
        <w:tc>
          <w:tcPr>
            <w:tcW w:w="5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119.7</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201.0</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Proceeds from sale of business</w:t>
            </w:r>
          </w:p>
        </w:tc>
        <w:tc>
          <w:tcPr>
            <w:tcW w:w="3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29.3</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1,577.5</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(1,188.6)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(2,111.1)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(1,557.3)</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Purchases of common stock</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4"/>
              </w:rPr>
              <w:t>Purchases of common stock tendered by employees to satisfy the required withholding taxes related</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 share-based payment awards</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5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582.5</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737.2</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18"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RECONCILIATION OF GAAP TO NON-GAAP FINANCIAL MEASURES </w:t>
      </w:r>
      <w:r>
        <w:rPr>
          <w:rFonts w:ascii="Arial" w:cs="Arial" w:eastAsia="Arial" w:hAnsi="Arial"/>
          <w:sz w:val="18"/>
          <w:szCs w:val="18"/>
          <w:color w:val="auto"/>
        </w:rPr>
        <w:t>(Unaudited - 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9"/>
                <w:szCs w:val="19"/>
                <w:color w:val="auto"/>
              </w:rPr>
            </w:pPr>
          </w:p>
        </w:tc>
        <w:tc>
          <w:tcPr>
            <w:tcW w:w="21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net income attributable to World Fuel</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0"/>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87.6</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 net of income taxes (3)</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Intangible asset amortization expense, net of income taxes (4)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r>
      <w:tr>
        <w:trPr>
          <w:trHeight w:val="243"/>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Non-GAAP net income attributable to World Fuel</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6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diluted earnings per common share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0.09</w:t>
            </w:r>
          </w:p>
        </w:tc>
      </w:tr>
      <w:tr>
        <w:trPr>
          <w:trHeight w:val="270"/>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 net of income taxes (3)</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Intangible asset amortization expense, net of income taxes (4)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0.18</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Non-GAAP diluted earnings per common share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right="32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acquisition related charges was $2.6 million and $5.9 million for the three months ended June 30, 2017 and 2016, and $5.5 million and $7.5 million for the six months ended June 30, 2017 and 2016, respectively.</w:t>
      </w:r>
    </w:p>
    <w:p>
      <w:pPr>
        <w:spacing w:after="0" w:line="133"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severance and other restructuring-related costs was $3.1 million and $5.0 million for the three and six months ended June 30, 2017, respectively.</w:t>
      </w:r>
    </w:p>
    <w:p>
      <w:pPr>
        <w:spacing w:after="0" w:line="176" w:lineRule="exact"/>
        <w:rPr>
          <w:rFonts w:ascii="Arial" w:cs="Arial" w:eastAsia="Arial" w:hAnsi="Arial"/>
          <w:sz w:val="14"/>
          <w:szCs w:val="14"/>
          <w:color w:val="auto"/>
        </w:rPr>
      </w:pPr>
    </w:p>
    <w:p>
      <w:pPr>
        <w:ind w:left="660" w:right="4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share-based compensation expense was $5.1 million and $4.7 million for the three months ended June 30, 2017 and 2016, and $9.2 million and $8.8 million for the six months ended June 30, 2017 and 2016, respectively.</w:t>
      </w:r>
    </w:p>
    <w:p>
      <w:pPr>
        <w:spacing w:after="0" w:line="133" w:lineRule="exact"/>
        <w:rPr>
          <w:rFonts w:ascii="Arial" w:cs="Arial" w:eastAsia="Arial" w:hAnsi="Arial"/>
          <w:sz w:val="14"/>
          <w:szCs w:val="14"/>
          <w:color w:val="auto"/>
        </w:rPr>
      </w:pPr>
    </w:p>
    <w:p>
      <w:pPr>
        <w:ind w:left="660" w:right="8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intangible asset amortization expense attributable to World Fuel Services was $10.5 million and $8.1 million for the three months ended June 30, 2017 and 2016, , and $20.3 million and $16.5 million for the six months ended June 30, 2017 and 2016, respectively.</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1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76"/>
        </w:trPr>
        <w:tc>
          <w:tcPr>
            <w:tcW w:w="6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3,508.4</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2,621.6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6,825.8</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4,841.0</w:t>
            </w: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3,866.0</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2,013.8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1,840.4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4,107.3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3,116.9</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8,086.2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11,823.9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0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7"/>
        </w:trPr>
        <w:tc>
          <w:tcPr>
            <w:tcW w:w="618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231.0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462.4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56"/>
        </w:trPr>
        <w:tc>
          <w:tcPr>
            <w:tcW w:w="6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3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24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6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61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Volume (Gallons):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3,862.5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3,349.6</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Land Segment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1,472.3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1,243.8</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2,969.4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2,456.9</w:t>
            </w:r>
          </w:p>
        </w:tc>
      </w:tr>
      <w:tr>
        <w:trPr>
          <w:trHeight w:val="270"/>
        </w:trPr>
        <w:tc>
          <w:tcPr>
            <w:tcW w:w="6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(1)</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1,785.4</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2,168.3</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3,589.1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4,190.9</w:t>
            </w:r>
          </w:p>
        </w:tc>
      </w:tr>
      <w:tr>
        <w:trPr>
          <w:trHeight w:val="237"/>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5,289.3</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5,135.3</w:t>
            </w: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10,421.0</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9,997.4</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6.8 and 13.6 for the three and six months ended June 30, 2017.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Assistant Treasurer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2019-12-05T13:17:28Z</dcterms:created>
  <dcterms:modified xsi:type="dcterms:W3CDTF">2019-12-05T13:17:28Z</dcterms:modified>
</cp:coreProperties>
</file>