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9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5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Date of Report (Date of earliest event reported): February 21, 2019</w:t>
      </w:r>
    </w:p>
    <w:p>
      <w:pPr>
        <w:spacing w:after="0" w:line="366" w:lineRule="exact"/>
        <w:rPr>
          <w:sz w:val="24"/>
          <w:szCs w:val="24"/>
          <w:color w:val="auto"/>
        </w:rPr>
      </w:pPr>
    </w:p>
    <w:p>
      <w:pPr>
        <w:jc w:val="center"/>
        <w:ind w:right="-59"/>
        <w:spacing w:after="0"/>
        <w:rPr>
          <w:sz w:val="20"/>
          <w:szCs w:val="20"/>
          <w:color w:val="auto"/>
        </w:rPr>
      </w:pPr>
      <w:r>
        <w:rPr>
          <w:rFonts w:ascii="Arial" w:cs="Arial" w:eastAsia="Arial" w:hAnsi="Arial"/>
          <w:sz w:val="39"/>
          <w:szCs w:val="39"/>
          <w:b w:val="1"/>
          <w:bCs w:val="1"/>
          <w:color w:val="auto"/>
        </w:rPr>
        <w:t>WORLD FUEL SERVICES CORPORATION</w:t>
      </w:r>
    </w:p>
    <w:p>
      <w:pPr>
        <w:spacing w:after="0" w:line="5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380"/>
          </w:cols>
          <w:pgMar w:left="240" w:top="679"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left="1260"/>
        <w:spacing w:after="0"/>
        <w:rPr>
          <w:sz w:val="20"/>
          <w:szCs w:val="20"/>
          <w:color w:val="auto"/>
        </w:rPr>
      </w:pPr>
      <w:r>
        <w:rPr>
          <w:rFonts w:ascii="Arial" w:cs="Arial" w:eastAsia="Arial" w:hAnsi="Arial"/>
          <w:sz w:val="17"/>
          <w:szCs w:val="17"/>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2740"/>
        <w:spacing w:after="0"/>
        <w:rPr>
          <w:sz w:val="20"/>
          <w:szCs w:val="20"/>
          <w:color w:val="auto"/>
        </w:rPr>
      </w:pPr>
      <w:r>
        <w:rPr>
          <w:rFonts w:ascii="Arial" w:cs="Arial" w:eastAsia="Arial" w:hAnsi="Arial"/>
          <w:sz w:val="16"/>
          <w:szCs w:val="16"/>
          <w:b w:val="1"/>
          <w:bCs w:val="1"/>
          <w:color w:val="auto"/>
        </w:rPr>
        <w:t>1-9533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59-2459427</w:t>
      </w:r>
    </w:p>
    <w:p>
      <w:pPr>
        <w:spacing w:after="0" w:line="50" w:lineRule="exact"/>
        <w:rPr>
          <w:sz w:val="24"/>
          <w:szCs w:val="24"/>
          <w:color w:val="auto"/>
        </w:rPr>
      </w:pPr>
    </w:p>
    <w:p>
      <w:pPr>
        <w:sectPr>
          <w:pgSz w:w="11900" w:h="16838" w:orient="portrait"/>
          <w:cols w:equalWidth="0" w:num="3">
            <w:col w:w="4920" w:space="720"/>
            <w:col w:w="3260" w:space="720"/>
            <w:col w:w="1760"/>
          </w:cols>
          <w:pgMar w:left="240" w:top="679" w:right="279" w:bottom="1440" w:gutter="0" w:footer="0" w:header="0"/>
          <w:type w:val="continuous"/>
        </w:sectPr>
      </w:pPr>
    </w:p>
    <w:p>
      <w:pPr>
        <w:ind w:left="18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340" w:space="720"/>
            <w:col w:w="3180" w:space="720"/>
            <w:col w:w="2420"/>
          </w:cols>
          <w:pgMar w:left="240" w:top="679" w:right="27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tbl>
      <w:tblPr>
        <w:tblLayout w:type="fixed"/>
        <w:tblInd w:w="1000" w:type="dxa"/>
        <w:tblCellMar>
          <w:top w:w="0" w:type="dxa"/>
          <w:left w:w="0" w:type="dxa"/>
          <w:bottom w:w="0" w:type="dxa"/>
          <w:right w:w="0" w:type="dxa"/>
        </w:tblCellMar>
      </w:tblPr>
      <w:tr>
        <w:trPr>
          <w:trHeight w:val="216"/>
        </w:trPr>
        <w:tc>
          <w:tcPr>
            <w:tcW w:w="7760" w:type="dxa"/>
            <w:vAlign w:val="bottom"/>
          </w:tcPr>
          <w:p>
            <w:pPr>
              <w:jc w:val="center"/>
              <w:ind w:right="5294"/>
              <w:spacing w:after="0"/>
              <w:rPr>
                <w:sz w:val="20"/>
                <w:szCs w:val="20"/>
                <w:color w:val="auto"/>
              </w:rPr>
            </w:pPr>
            <w:r>
              <w:rPr>
                <w:rFonts w:ascii="Arial" w:cs="Arial" w:eastAsia="Arial" w:hAnsi="Arial"/>
                <w:sz w:val="18"/>
                <w:szCs w:val="18"/>
                <w:b w:val="1"/>
                <w:bCs w:val="1"/>
                <w:color w:val="auto"/>
                <w:w w:val="91"/>
              </w:rPr>
              <w:t>9800 N.W. 41</w:t>
            </w:r>
            <w:r>
              <w:rPr>
                <w:rFonts w:ascii="Arial" w:cs="Arial" w:eastAsia="Arial" w:hAnsi="Arial"/>
                <w:sz w:val="8"/>
                <w:szCs w:val="8"/>
                <w:b w:val="1"/>
                <w:bCs w:val="1"/>
                <w:color w:val="auto"/>
                <w:w w:val="91"/>
              </w:rPr>
              <w:t>st</w:t>
            </w:r>
            <w:r>
              <w:rPr>
                <w:rFonts w:ascii="Arial" w:cs="Arial" w:eastAsia="Arial" w:hAnsi="Arial"/>
                <w:sz w:val="18"/>
                <w:szCs w:val="18"/>
                <w:b w:val="1"/>
                <w:bCs w:val="1"/>
                <w:color w:val="auto"/>
                <w:w w:val="91"/>
              </w:rPr>
              <w:t xml:space="preserve"> Street</w:t>
            </w:r>
          </w:p>
        </w:tc>
        <w:tc>
          <w:tcPr>
            <w:tcW w:w="122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33178</w:t>
            </w:r>
          </w:p>
        </w:tc>
        <w:tc>
          <w:tcPr>
            <w:tcW w:w="0" w:type="dxa"/>
            <w:vAlign w:val="bottom"/>
          </w:tcPr>
          <w:p>
            <w:pPr>
              <w:spacing w:after="0"/>
              <w:rPr>
                <w:sz w:val="1"/>
                <w:szCs w:val="1"/>
                <w:color w:val="auto"/>
              </w:rPr>
            </w:pPr>
          </w:p>
        </w:tc>
      </w:tr>
      <w:tr>
        <w:trPr>
          <w:trHeight w:val="180"/>
        </w:trPr>
        <w:tc>
          <w:tcPr>
            <w:tcW w:w="7760" w:type="dxa"/>
            <w:vAlign w:val="bottom"/>
          </w:tcPr>
          <w:p>
            <w:pPr>
              <w:jc w:val="center"/>
              <w:ind w:right="5314"/>
              <w:spacing w:after="0" w:line="181" w:lineRule="exact"/>
              <w:rPr>
                <w:sz w:val="20"/>
                <w:szCs w:val="20"/>
                <w:color w:val="auto"/>
              </w:rPr>
            </w:pPr>
            <w:r>
              <w:rPr>
                <w:rFonts w:ascii="Arial" w:cs="Arial" w:eastAsia="Arial" w:hAnsi="Arial"/>
                <w:sz w:val="18"/>
                <w:szCs w:val="18"/>
                <w:b w:val="1"/>
                <w:bCs w:val="1"/>
                <w:color w:val="auto"/>
                <w:w w:val="95"/>
              </w:rPr>
              <w:t>Miami, Florida</w:t>
            </w: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7760" w:type="dxa"/>
            <w:vAlign w:val="bottom"/>
          </w:tcPr>
          <w:p>
            <w:pPr>
              <w:jc w:val="center"/>
              <w:ind w:right="529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20" w:type="dxa"/>
            <w:vAlign w:val="bottom"/>
          </w:tcPr>
          <w:p>
            <w:pPr>
              <w:jc w:val="center"/>
              <w:ind w:left="374"/>
              <w:spacing w:after="0"/>
              <w:rPr>
                <w:sz w:val="20"/>
                <w:szCs w:val="20"/>
                <w:color w:val="auto"/>
              </w:rPr>
            </w:pPr>
            <w:r>
              <w:rPr>
                <w:rFonts w:ascii="Arial" w:cs="Arial" w:eastAsia="Arial" w:hAnsi="Arial"/>
                <w:sz w:val="16"/>
                <w:szCs w:val="16"/>
                <w:b w:val="1"/>
                <w:bCs w:val="1"/>
                <w:color w:val="auto"/>
                <w:w w:val="96"/>
              </w:rPr>
              <w:t>(Zip Code)</w:t>
            </w:r>
          </w:p>
        </w:tc>
        <w:tc>
          <w:tcPr>
            <w:tcW w:w="0" w:type="dxa"/>
            <w:vAlign w:val="bottom"/>
          </w:tcPr>
          <w:p>
            <w:pPr>
              <w:spacing w:after="0"/>
              <w:rPr>
                <w:sz w:val="1"/>
                <w:szCs w:val="1"/>
                <w:color w:val="auto"/>
              </w:rPr>
            </w:pPr>
          </w:p>
        </w:tc>
      </w:tr>
      <w:tr>
        <w:trPr>
          <w:trHeight w:val="444"/>
        </w:trPr>
        <w:tc>
          <w:tcPr>
            <w:tcW w:w="7760" w:type="dxa"/>
            <w:vAlign w:val="bottom"/>
          </w:tcPr>
          <w:p>
            <w:pPr>
              <w:ind w:left="2120"/>
              <w:spacing w:after="0"/>
              <w:rPr>
                <w:sz w:val="20"/>
                <w:szCs w:val="20"/>
                <w:color w:val="auto"/>
              </w:rPr>
            </w:pPr>
            <w:r>
              <w:rPr>
                <w:rFonts w:ascii="Arial" w:cs="Arial" w:eastAsia="Arial" w:hAnsi="Arial"/>
                <w:sz w:val="18"/>
                <w:szCs w:val="18"/>
                <w:b w:val="1"/>
                <w:bCs w:val="1"/>
                <w:color w:val="auto"/>
                <w:w w:val="97"/>
              </w:rPr>
              <w:t>Registrant’s telephone number, including area code: (305) 428-8000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1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p>
      <w:pPr>
        <w:ind w:firstLine="648"/>
        <w:spacing w:after="0" w:line="28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3"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80"/>
          </w:cols>
          <w:pgMar w:left="240" w:top="679"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information is provided pursuant to Item 7.01 of Form 8-K, “Regulation FD Disclosure” and Item 2.02 of Form 8-K, “Results of Operations and Financial Condition.”</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21, 2019, World Fuel Services Corporation (the “Company”) issued a press release reporting its financial results for the fourth quarter and fiscal year ended December 31, 2018. A copy of the press release is attached hereto as Exhibit 99.1.</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91"/>
              </w:rPr>
              <w:t>Exhibit No.</w:t>
            </w:r>
          </w:p>
        </w:tc>
        <w:tc>
          <w:tcPr>
            <w:tcW w:w="2100" w:type="dxa"/>
            <w:vAlign w:val="bottom"/>
          </w:tcPr>
          <w:p>
            <w:pPr>
              <w:spacing w:after="0"/>
              <w:rPr>
                <w:sz w:val="17"/>
                <w:szCs w:val="17"/>
                <w:color w:val="auto"/>
              </w:rPr>
            </w:pPr>
          </w:p>
        </w:tc>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50"/>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5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w w:val="86"/>
              </w:rPr>
              <w:t>Press Release, dated February 21, 2019</w:t>
            </w:r>
          </w:p>
        </w:tc>
      </w:tr>
    </w:tbl>
    <w:p>
      <w:pPr>
        <w:sectPr>
          <w:pgSz w:w="11900" w:h="16838" w:orient="portrait"/>
          <w:cols w:equalWidth="0" w:num="1">
            <w:col w:w="11420"/>
          </w:cols>
          <w:pgMar w:left="240" w:top="58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color w:val="auto"/>
        </w:rPr>
        <w:t>SIGNATURES</w:t>
      </w:r>
    </w:p>
    <w:p>
      <w:pPr>
        <w:spacing w:after="0" w:line="1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Date: February 21, 2019</w:t>
      </w:r>
      <w:r>
        <w:rPr>
          <w:sz w:val="20"/>
          <w:szCs w:val="20"/>
          <w:color w:val="auto"/>
        </w:rPr>
        <w:tab/>
      </w:r>
      <w:r>
        <w:rPr>
          <w:rFonts w:ascii="Arial" w:cs="Arial" w:eastAsia="Arial" w:hAnsi="Arial"/>
          <w:sz w:val="16"/>
          <w:szCs w:val="16"/>
          <w:b w:val="1"/>
          <w:bCs w:val="1"/>
          <w:color w:val="auto"/>
        </w:rPr>
        <w:t>World Fuel Services Corporation</w:t>
      </w:r>
    </w:p>
    <w:p>
      <w:pPr>
        <w:spacing w:after="0" w:line="33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90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80" w:type="dxa"/>
            <w:vAlign w:val="bottom"/>
          </w:tcPr>
          <w:p>
            <w:pPr>
              <w:ind w:left="1580"/>
              <w:spacing w:after="0"/>
              <w:rPr>
                <w:sz w:val="20"/>
                <w:szCs w:val="20"/>
                <w:color w:val="auto"/>
              </w:rPr>
            </w:pPr>
            <w:r>
              <w:rPr>
                <w:rFonts w:ascii="Arial" w:cs="Arial" w:eastAsia="Arial" w:hAnsi="Arial"/>
                <w:sz w:val="22"/>
                <w:szCs w:val="22"/>
                <w:color w:val="auto"/>
              </w:rPr>
              <w:t>EXHIBIT INDEX</w:t>
            </w:r>
          </w:p>
        </w:tc>
      </w:tr>
      <w:tr>
        <w:trPr>
          <w:trHeight w:val="625"/>
        </w:trPr>
        <w:tc>
          <w:tcPr>
            <w:tcW w:w="40" w:type="dxa"/>
            <w:vAlign w:val="bottom"/>
          </w:tcPr>
          <w:p>
            <w:pPr>
              <w:spacing w:after="0"/>
              <w:rPr>
                <w:sz w:val="24"/>
                <w:szCs w:val="24"/>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8080" w:type="dxa"/>
            <w:vAlign w:val="bottom"/>
          </w:tcPr>
          <w:p>
            <w:pPr>
              <w:ind w:left="20"/>
              <w:spacing w:after="0"/>
              <w:rPr>
                <w:sz w:val="20"/>
                <w:szCs w:val="20"/>
                <w:color w:val="auto"/>
              </w:rPr>
            </w:pPr>
            <w:r>
              <w:rPr>
                <w:rFonts w:ascii="Arial" w:cs="Arial" w:eastAsia="Arial" w:hAnsi="Arial"/>
                <w:sz w:val="18"/>
                <w:szCs w:val="18"/>
                <w:color w:val="auto"/>
              </w:rPr>
              <w:t>Description</w:t>
            </w:r>
          </w:p>
        </w:tc>
      </w:tr>
      <w:tr>
        <w:trPr>
          <w:trHeight w:val="27"/>
        </w:trPr>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196"/>
        </w:trPr>
        <w:tc>
          <w:tcPr>
            <w:tcW w:w="360" w:type="dxa"/>
            <w:vAlign w:val="bottom"/>
            <w:gridSpan w:val="2"/>
          </w:tcPr>
          <w:p>
            <w:pPr>
              <w:ind w:left="40"/>
              <w:spacing w:after="0" w:line="182" w:lineRule="exact"/>
              <w:rPr>
                <w:rFonts w:ascii="Arial" w:cs="Arial" w:eastAsia="Arial" w:hAnsi="Arial"/>
                <w:sz w:val="18"/>
                <w:szCs w:val="18"/>
                <w:color w:val="0000FF"/>
                <w:w w:val="85"/>
              </w:rPr>
            </w:pPr>
            <w:hyperlink w:anchor="page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2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80" w:type="dxa"/>
            <w:vAlign w:val="bottom"/>
          </w:tcPr>
          <w:p>
            <w:pPr>
              <w:ind w:left="20"/>
              <w:spacing w:after="0" w:line="182" w:lineRule="exact"/>
              <w:rPr>
                <w:sz w:val="20"/>
                <w:szCs w:val="20"/>
                <w:color w:val="auto"/>
              </w:rPr>
            </w:pPr>
            <w:r>
              <w:rPr>
                <w:rFonts w:ascii="Arial" w:cs="Arial" w:eastAsia="Arial" w:hAnsi="Arial"/>
                <w:sz w:val="18"/>
                <w:szCs w:val="18"/>
                <w:color w:val="auto"/>
              </w:rPr>
              <w:t>Press Release, dated February 21, 2019</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bl>
    <w:p>
      <w:pPr>
        <w:sectPr>
          <w:pgSz w:w="11900" w:h="16838" w:orient="portrait"/>
          <w:cols w:equalWidth="0" w:num="1">
            <w:col w:w="11420"/>
          </w:cols>
          <w:pgMar w:left="240" w:top="59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332" w:lineRule="exact"/>
        <w:rPr>
          <w:sz w:val="20"/>
          <w:szCs w:val="20"/>
          <w:color w:val="auto"/>
        </w:rPr>
      </w:pPr>
    </w:p>
    <w:p>
      <w:pPr>
        <w:ind w:left="7660"/>
        <w:spacing w:after="0"/>
        <w:rPr>
          <w:sz w:val="20"/>
          <w:szCs w:val="20"/>
          <w:color w:val="auto"/>
        </w:rPr>
      </w:pPr>
      <w:r>
        <w:rPr>
          <w:rFonts w:ascii="Arial" w:cs="Arial" w:eastAsia="Arial" w:hAnsi="Arial"/>
          <w:sz w:val="20"/>
          <w:szCs w:val="20"/>
          <w:u w:val="single" w:color="auto"/>
          <w:color w:val="auto"/>
        </w:rPr>
        <w:t>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-117475</wp:posOffset>
            </wp:positionV>
            <wp:extent cx="2324100" cy="977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24100" cy="977900"/>
                    </a:xfrm>
                    <a:prstGeom prst="rect">
                      <a:avLst/>
                    </a:prstGeom>
                    <a:noFill/>
                  </pic:spPr>
                </pic:pic>
              </a:graphicData>
            </a:graphic>
          </wp:anchor>
        </w:drawing>
      </w:r>
    </w:p>
    <w:p>
      <w:pPr>
        <w:ind w:left="7660"/>
        <w:spacing w:after="0"/>
        <w:rPr>
          <w:sz w:val="20"/>
          <w:szCs w:val="20"/>
          <w:color w:val="auto"/>
        </w:rPr>
      </w:pPr>
      <w:r>
        <w:rPr>
          <w:rFonts w:ascii="Arial" w:cs="Arial" w:eastAsia="Arial" w:hAnsi="Arial"/>
          <w:sz w:val="20"/>
          <w:szCs w:val="20"/>
          <w:color w:val="auto"/>
        </w:rPr>
        <w:t>Ira M. Birns, Executive Vice President &amp;</w:t>
      </w:r>
    </w:p>
    <w:p>
      <w:pPr>
        <w:ind w:left="7660"/>
        <w:spacing w:after="0"/>
        <w:rPr>
          <w:sz w:val="20"/>
          <w:szCs w:val="20"/>
          <w:color w:val="auto"/>
        </w:rPr>
      </w:pPr>
      <w:r>
        <w:rPr>
          <w:rFonts w:ascii="Arial" w:cs="Arial" w:eastAsia="Arial" w:hAnsi="Arial"/>
          <w:sz w:val="20"/>
          <w:szCs w:val="20"/>
          <w:color w:val="auto"/>
        </w:rPr>
        <w:t>Chief Financial Officer</w:t>
      </w:r>
    </w:p>
    <w:p>
      <w:pPr>
        <w:spacing w:after="0" w:line="213" w:lineRule="exact"/>
        <w:rPr>
          <w:sz w:val="20"/>
          <w:szCs w:val="20"/>
          <w:color w:val="auto"/>
        </w:rPr>
      </w:pPr>
    </w:p>
    <w:p>
      <w:pPr>
        <w:ind w:left="7660"/>
        <w:spacing w:after="0"/>
        <w:rPr>
          <w:sz w:val="20"/>
          <w:szCs w:val="20"/>
          <w:color w:val="auto"/>
        </w:rPr>
      </w:pPr>
      <w:r>
        <w:rPr>
          <w:rFonts w:ascii="Arial" w:cs="Arial" w:eastAsia="Arial" w:hAnsi="Arial"/>
          <w:sz w:val="20"/>
          <w:szCs w:val="20"/>
          <w:color w:val="auto"/>
        </w:rPr>
        <w:t>Glenn Klevitz</w:t>
      </w:r>
    </w:p>
    <w:p>
      <w:pPr>
        <w:spacing w:after="0" w:line="1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Vice President, Treasury &amp; Investor Relations</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20"/>
          <w:szCs w:val="20"/>
          <w:color w:val="auto"/>
        </w:rPr>
        <w:t>305-428-8000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World Fuel Services Corporation Reports Fourth Quarter and Full Year 2018 Results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---Surpasses $1 Billion of Gross Profit---</w:t>
      </w:r>
    </w:p>
    <w:p>
      <w:pPr>
        <w:jc w:val="center"/>
        <w:spacing w:after="0"/>
        <w:rPr>
          <w:sz w:val="20"/>
          <w:szCs w:val="20"/>
          <w:color w:val="auto"/>
        </w:rPr>
      </w:pPr>
      <w:r>
        <w:rPr>
          <w:rFonts w:ascii="Arial" w:cs="Arial" w:eastAsia="Arial" w:hAnsi="Arial"/>
          <w:sz w:val="20"/>
          <w:szCs w:val="20"/>
          <w:color w:val="auto"/>
        </w:rPr>
        <w:t>---Significantly Improves Operating Leverage---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MIAMI—February 21, 2019-- World Fuel Services Corporation (NYSE: INT)</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Fourth-Quarter 2018 Highlights</w:t>
      </w:r>
    </w:p>
    <w:p>
      <w:pPr>
        <w:spacing w:after="0" w:line="23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gross profit of $262.2 million, up 14% year-over-year</w:t>
      </w:r>
    </w:p>
    <w:p>
      <w:pPr>
        <w:spacing w:after="0" w:line="15" w:lineRule="exact"/>
        <w:rPr>
          <w:rFonts w:ascii="Arial" w:cs="Arial" w:eastAsia="Arial" w:hAnsi="Arial"/>
          <w:sz w:val="20"/>
          <w:szCs w:val="20"/>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EBITDA of $90.7 million, up 48% year-over-year</w:t>
      </w: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GAAP net income of $29.6 million, or $0.44 per diluted share</w:t>
      </w: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net income of $33.7 million, or $0.50 per diluted share</w:t>
      </w:r>
    </w:p>
    <w:p>
      <w:pPr>
        <w:spacing w:after="0" w:line="207" w:lineRule="exact"/>
        <w:rPr>
          <w:sz w:val="20"/>
          <w:szCs w:val="20"/>
          <w:color w:val="auto"/>
        </w:rPr>
      </w:pPr>
    </w:p>
    <w:p>
      <w:pPr>
        <w:spacing w:after="0"/>
        <w:tabs>
          <w:tab w:leader="none" w:pos="1440" w:val="left"/>
        </w:tabs>
        <w:rPr>
          <w:sz w:val="20"/>
          <w:szCs w:val="20"/>
          <w:color w:val="auto"/>
        </w:rPr>
      </w:pPr>
      <w:r>
        <w:rPr>
          <w:rFonts w:ascii="Arial" w:cs="Arial" w:eastAsia="Arial" w:hAnsi="Arial"/>
          <w:sz w:val="20"/>
          <w:szCs w:val="20"/>
          <w:b w:val="1"/>
          <w:bCs w:val="1"/>
          <w:color w:val="auto"/>
        </w:rPr>
        <w:t>Full-Year 2018</w:t>
      </w:r>
      <w:r>
        <w:rPr>
          <w:sz w:val="20"/>
          <w:szCs w:val="20"/>
          <w:color w:val="auto"/>
        </w:rPr>
        <w:tab/>
      </w:r>
      <w:r>
        <w:rPr>
          <w:rFonts w:ascii="Arial" w:cs="Arial" w:eastAsia="Arial" w:hAnsi="Arial"/>
          <w:sz w:val="16"/>
          <w:szCs w:val="16"/>
          <w:b w:val="1"/>
          <w:bCs w:val="1"/>
          <w:color w:val="auto"/>
        </w:rPr>
        <w:t>Highlights</w:t>
      </w:r>
    </w:p>
    <w:p>
      <w:pPr>
        <w:spacing w:after="0" w:line="23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Total gross profit of $1.02 billion, up 9% year-over-year</w:t>
      </w:r>
    </w:p>
    <w:p>
      <w:pPr>
        <w:spacing w:after="0" w:line="15"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EBITDA of $360.3 million, up 20% year-over-year</w:t>
      </w: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GAAP net income of $127.7 million, or $1.89 per diluted share</w:t>
      </w: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net income of $142.9 million, or $2.11 per diluted share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 2018 Highlights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“2018 was a year of continuing transformation for World Fuel and our actions advanced our value creation strategy of continuous cost management and sharpening our portfolio to drive enhanced returns,” stated Michael J. Kasbar, chairman and chief executive officer of World Fuel Services Corporation. “Our business performed well in 2018, led by record results in our aviation segment and a solid rebound in profitability in marine. We are optimistic about our efforts to reposition our land portfolio and drive operating efficiencies and profitable growth in our global land business in 2019.”</w:t>
      </w:r>
    </w:p>
    <w:p>
      <w:pPr>
        <w:spacing w:after="0" w:line="212"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For the full year, our aviation segment generated gross profit of $507.8 million, an increase of 15% year-over-year, primarily driven by solid organic growth in our international fueling operations and increased government-related activity. Our marine segment generated gross profit of $145.8 million, an increase of 16% year-over-year, principally related to stronger performance in our core resale operations. Our land segment generated gross profit of $364.9 million, relatively flat year-over-year, with growth in commercial and industrial activity in the U.S., our Kinect global energy services platform and our MultiService payment solutions business, offset by the elimination of certain non-core activities.</w:t>
      </w:r>
    </w:p>
    <w:p>
      <w:pPr>
        <w:sectPr>
          <w:pgSz w:w="11900" w:h="16838" w:orient="portrait"/>
          <w:cols w:equalWidth="0" w:num="1">
            <w:col w:w="11420"/>
          </w:cols>
          <w:pgMar w:left="240" w:top="576" w:right="239" w:bottom="1440" w:gutter="0" w:footer="0" w:header="0"/>
        </w:sectPr>
      </w:pPr>
    </w:p>
    <w:bookmarkStart w:id="5" w:name="page6"/>
    <w:bookmarkEnd w:id="5"/>
    <w:p>
      <w:pPr>
        <w:spacing w:after="0" w:line="246" w:lineRule="auto"/>
        <w:rPr>
          <w:sz w:val="20"/>
          <w:szCs w:val="20"/>
          <w:color w:val="auto"/>
        </w:rPr>
      </w:pPr>
      <w:r>
        <w:rPr>
          <w:rFonts w:ascii="Arial" w:cs="Arial" w:eastAsia="Arial" w:hAnsi="Arial"/>
          <w:sz w:val="20"/>
          <w:szCs w:val="20"/>
          <w:color w:val="auto"/>
        </w:rPr>
        <w:t>“Our heightened focus and execution on cost management initiatives resulted in a 425 basis point improvement in operating leverage in 2018 compared to the prior year,” said Ira M. Birns, executive vice president and chief financial officer. “Record adjusted EBITDA contributed to a reduction in net debt-to-EBITDA to 1.4x, the lowest level since 2015, providing us with additional liquidity to fund organic growth and strategic investment opportunities.”</w:t>
      </w:r>
    </w:p>
    <w:p>
      <w:pPr>
        <w:sectPr>
          <w:pgSz w:w="11900" w:h="16838" w:orient="portrait"/>
          <w:cols w:equalWidth="0" w:num="1">
            <w:col w:w="11260"/>
          </w:cols>
          <w:pgMar w:left="240" w:top="582" w:right="39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auto"/>
        </w:rPr>
        <w:t>Non-GAAP Financial Measures</w:t>
      </w:r>
    </w:p>
    <w:p>
      <w:pPr>
        <w:spacing w:after="0" w:line="21"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This press release contains non-GAAP financial measures, including adjusted net income, adjusted diluted earnings per share, adjusted earnings before interest, taxes, depreciation and amortization (“EBITDA”), and net debt (collectively, the “Non-GAAP Measures”). The Non-GAAP measures exclude acquisition-related charges and severance and restructuring charges primarily because we do not believe they are reflective of the Company’s core operating results. We believe that the Non-GAAP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w:t>
      </w:r>
    </w:p>
    <w:p>
      <w:pPr>
        <w:spacing w:after="0" w:line="85" w:lineRule="exact"/>
        <w:rPr>
          <w:sz w:val="20"/>
          <w:szCs w:val="20"/>
          <w:color w:val="auto"/>
        </w:rPr>
      </w:pPr>
    </w:p>
    <w:p>
      <w:pPr>
        <w:ind w:right="100"/>
        <w:spacing w:after="0" w:line="295" w:lineRule="auto"/>
        <w:rPr>
          <w:sz w:val="20"/>
          <w:szCs w:val="20"/>
          <w:color w:val="auto"/>
        </w:rPr>
      </w:pPr>
      <w:r>
        <w:rPr>
          <w:rFonts w:ascii="Arial" w:cs="Arial" w:eastAsia="Arial" w:hAnsi="Arial"/>
          <w:sz w:val="14"/>
          <w:szCs w:val="14"/>
          <w:color w:val="auto"/>
        </w:rPr>
        <w:t>Non-GAAP financial measures should not be considered in isolation from, or as a substitute for, financial information prepared in accordance with GAAP. In addition, our presentation of the Non-GAAP Measures may not be comparable to the presentation of such metrics by other companies. Non-GAAP diluted earnings per common share is computed by dividing non-GAAP net income attributable to World Fuel Services and available to common shareholders by the sum of the weighted average number of shares of common stock, stock units, restricted stock entitled to dividends not subject to forfeiture and vested restricted stock units outstanding during the period and the number of additional shares of common stock that would have been outstanding if our outstanding potentially dilutive securities had been issued. Investors are encouraged to review the reconciliation of these Non-GAAP Measures to their most directly comparable GAAP financial measures in this press release and on our website.</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Information Relating to Forward-Looking Statements</w:t>
      </w:r>
    </w:p>
    <w:p>
      <w:pPr>
        <w:spacing w:after="0" w:line="132"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This release includes forward-looking statements within the meaning of the Private Securities Litigation Reform Act of 1995, including statements regarding our value creation strategy, our beliefs and expectations with respect to repositioning our land portfolio and driving operating efficiencies and profitable growth in our global land business in 2019, as well as our expectations about our liquidity, organic growth and strategic investment opportunities. These forward-looking statements are qualified in their entirety by cautionary statements and risk factor disclosures contained in the Company’s Securities and Exchange Commission (“SEC”) filings, including the Company’s most recent Annual Report on Form 10-K filed with the SEC. Actual results may differ materially from any forward-looking statements due to risks and uncertainties, including, but not limited to: our ability to effectively leverage technology and operating systems and realize the anticipated benefits, our ability to successfully execute and achieve efficiencies and other benefits related to our transformation initiatives, our ability to achieve the expected level of benefit from our restructuring activities and cost reduction initiatives, unanticipated tax liabilities or adverse results of tax audits, assessments, or disputes, the loss of, or reduced sales, to a significant government customer such as the North Atlantic Treaty Organization, our ability to successfully implement our growth strategy, our ability to effectively integrate acquired businesses and recognize the anticipated benefits, risks related to the complexity of U.S. Tax Reform and our ability to accurately predict its impact on our returns and future earnings, our ability to capitalize on new market opportunities and changes in supply and other market dynamics in the regions where we operate, potential liabilities and the extent of any insurance coverage, the outcome of pending litigation and other proceedings, the impact of quarterly fluctuations in results, particularly as a result of seasonality,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supply disruptions, border closures and other logistical difficulties that can arise when sourcing and delivering fuel in areas that are actively engaged in war or other military conflicts, our failure to effectively hedge certain financial risks associated with the use of derivatives, non-performance by counterparties or customers on derivatives contracts, uninsured losses, the impact of natural disasters, adverse results in legal disputes, our ability to retain and attract senior management and other key employees and other risks detailed from time to time in our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 except as required by law.</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About World Fuel Services Corporation</w:t>
      </w:r>
    </w:p>
    <w:p>
      <w:pPr>
        <w:spacing w:after="0" w:line="132" w:lineRule="exact"/>
        <w:rPr>
          <w:sz w:val="20"/>
          <w:szCs w:val="20"/>
          <w:color w:val="auto"/>
        </w:rPr>
      </w:pPr>
    </w:p>
    <w:p>
      <w:pPr>
        <w:ind w:right="180"/>
        <w:spacing w:after="0" w:line="286" w:lineRule="auto"/>
        <w:rPr>
          <w:sz w:val="20"/>
          <w:szCs w:val="20"/>
          <w:color w:val="auto"/>
        </w:rPr>
      </w:pPr>
      <w:r>
        <w:rPr>
          <w:rFonts w:ascii="Arial" w:cs="Arial" w:eastAsia="Arial" w:hAnsi="Arial"/>
          <w:sz w:val="15"/>
          <w:szCs w:val="15"/>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more information, call 305-428-8000 or visit </w:t>
      </w:r>
      <w:r>
        <w:rPr>
          <w:rFonts w:ascii="Arial" w:cs="Arial" w:eastAsia="Arial" w:hAnsi="Arial"/>
          <w:sz w:val="16"/>
          <w:szCs w:val="16"/>
          <w:u w:val="single" w:color="auto"/>
          <w:color w:val="auto"/>
        </w:rPr>
        <w:t>www.wfscorp.com</w:t>
      </w:r>
      <w:r>
        <w:rPr>
          <w:rFonts w:ascii="Arial" w:cs="Arial" w:eastAsia="Arial" w:hAnsi="Arial"/>
          <w:sz w:val="16"/>
          <w:szCs w:val="16"/>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Some amounts in this press release may not add due to rounding. All percentages have been calculated using unrounded amounts --</w:t>
      </w:r>
    </w:p>
    <w:p>
      <w:pPr>
        <w:sectPr>
          <w:pgSz w:w="11900" w:h="16838" w:orient="portrait"/>
          <w:cols w:equalWidth="0" w:num="1">
            <w:col w:w="11400"/>
          </w:cols>
          <w:pgMar w:left="240" w:top="580" w:right="259" w:bottom="1440" w:gutter="0" w:footer="0" w:header="0"/>
        </w:sectPr>
      </w:pPr>
    </w:p>
    <w:bookmarkStart w:id="7" w:name="page8"/>
    <w:bookmarkEnd w:id="7"/>
    <w:p>
      <w:pPr>
        <w:ind w:left="3940"/>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(Unaudited - In millions,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w w:val="85"/>
              </w:rPr>
              <w:t>As of</w:t>
            </w:r>
          </w:p>
        </w:tc>
        <w:tc>
          <w:tcPr>
            <w:tcW w:w="1520" w:type="dxa"/>
            <w:vAlign w:val="bottom"/>
            <w:tcBorders>
              <w:bottom w:val="single" w:sz="8" w:color="auto"/>
            </w:tcBorders>
          </w:tcPr>
          <w:p>
            <w:pPr>
              <w:spacing w:after="0"/>
              <w:rPr>
                <w:sz w:val="16"/>
                <w:szCs w:val="16"/>
                <w:color w:val="auto"/>
              </w:rPr>
            </w:pPr>
          </w:p>
        </w:tc>
      </w:tr>
      <w:tr>
        <w:trPr>
          <w:trHeight w:val="258"/>
        </w:trPr>
        <w:tc>
          <w:tcPr>
            <w:tcW w:w="7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40" w:type="dxa"/>
            <w:vAlign w:val="bottom"/>
          </w:tcPr>
          <w:p>
            <w:pPr>
              <w:jc w:val="right"/>
              <w:ind w:right="328"/>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7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2017</w:t>
            </w:r>
          </w:p>
        </w:tc>
      </w:tr>
      <w:tr>
        <w:trPr>
          <w:trHeight w:val="277"/>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Assets:</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90"/>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Cash and cash equivalents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211.7</w:t>
            </w:r>
          </w:p>
        </w:tc>
        <w:tc>
          <w:tcPr>
            <w:tcW w:w="500" w:type="dxa"/>
            <w:vAlign w:val="bottom"/>
            <w:gridSpan w:val="3"/>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372.3</w:t>
            </w: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Accounts receivable, net</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2,751.3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2,705.6</w:t>
            </w:r>
          </w:p>
        </w:tc>
      </w:tr>
      <w:tr>
        <w:trPr>
          <w:trHeight w:val="264"/>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Inventories</w:t>
            </w:r>
          </w:p>
        </w:tc>
        <w:tc>
          <w:tcPr>
            <w:tcW w:w="3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523.1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505.0</w:t>
            </w: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Prepaid expenses</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64.4</w:t>
            </w:r>
          </w:p>
        </w:tc>
      </w:tr>
      <w:tr>
        <w:trPr>
          <w:trHeight w:val="264"/>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Short-term derivative assets, net</w:t>
            </w:r>
          </w:p>
        </w:tc>
        <w:tc>
          <w:tcPr>
            <w:tcW w:w="3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155.2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51.1</w:t>
            </w:r>
          </w:p>
        </w:tc>
      </w:tr>
      <w:tr>
        <w:trPr>
          <w:trHeight w:val="270"/>
        </w:trPr>
        <w:tc>
          <w:tcPr>
            <w:tcW w:w="7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current assets</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279.6</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241.9</w:t>
            </w:r>
          </w:p>
        </w:tc>
      </w:tr>
      <w:tr>
        <w:trPr>
          <w:trHeight w:val="250"/>
        </w:trPr>
        <w:tc>
          <w:tcPr>
            <w:tcW w:w="7660" w:type="dxa"/>
            <w:vAlign w:val="bottom"/>
            <w:gridSpan w:val="2"/>
          </w:tcPr>
          <w:p>
            <w:pPr>
              <w:ind w:left="280"/>
              <w:spacing w:after="0"/>
              <w:rPr>
                <w:sz w:val="20"/>
                <w:szCs w:val="20"/>
                <w:color w:val="auto"/>
              </w:rPr>
            </w:pPr>
            <w:r>
              <w:rPr>
                <w:rFonts w:ascii="Arial" w:cs="Arial" w:eastAsia="Arial" w:hAnsi="Arial"/>
                <w:sz w:val="14"/>
                <w:szCs w:val="14"/>
                <w:color w:val="auto"/>
              </w:rPr>
              <w:t>Total current assets</w:t>
            </w: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3,986.7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3,940.4</w:t>
            </w:r>
          </w:p>
        </w:tc>
      </w:tr>
      <w:tr>
        <w:trPr>
          <w:trHeight w:val="276"/>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329.8</w:t>
            </w:r>
          </w:p>
        </w:tc>
      </w:tr>
      <w:tr>
        <w:trPr>
          <w:trHeight w:val="264"/>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852.7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845.5</w:t>
            </w:r>
          </w:p>
        </w:tc>
      </w:tr>
      <w:tr>
        <w:trPr>
          <w:trHeight w:val="270"/>
        </w:trPr>
        <w:tc>
          <w:tcPr>
            <w:tcW w:w="7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Identifiable intangible and other non-current assets</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499.0</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472.1</w:t>
            </w:r>
          </w:p>
        </w:tc>
      </w:tr>
      <w:tr>
        <w:trPr>
          <w:trHeight w:val="277"/>
        </w:trPr>
        <w:tc>
          <w:tcPr>
            <w:tcW w:w="75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5,687.5</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5,587.8</w:t>
            </w:r>
          </w:p>
        </w:tc>
      </w:tr>
      <w:tr>
        <w:trPr>
          <w:trHeight w:val="270"/>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78"/>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 and capital leases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500" w:type="dxa"/>
            <w:vAlign w:val="bottom"/>
            <w:gridSpan w:val="3"/>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w:t>
            </w:r>
          </w:p>
        </w:tc>
      </w:tr>
      <w:tr>
        <w:trPr>
          <w:trHeight w:val="264"/>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Accounts payable</w:t>
            </w:r>
          </w:p>
        </w:tc>
        <w:tc>
          <w:tcPr>
            <w:tcW w:w="3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2,404.5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2,239.7</w:t>
            </w: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Customer deposits</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108.3</w:t>
            </w:r>
          </w:p>
        </w:tc>
      </w:tr>
      <w:tr>
        <w:trPr>
          <w:trHeight w:val="264"/>
        </w:trPr>
        <w:tc>
          <w:tcPr>
            <w:tcW w:w="75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344.9</w:t>
            </w:r>
          </w:p>
        </w:tc>
      </w:tr>
      <w:tr>
        <w:trPr>
          <w:trHeight w:val="256"/>
        </w:trPr>
        <w:tc>
          <w:tcPr>
            <w:tcW w:w="7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current liabilities</w:t>
            </w:r>
          </w:p>
        </w:tc>
        <w:tc>
          <w:tcPr>
            <w:tcW w:w="3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2,947.3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2,718.6</w:t>
            </w:r>
          </w:p>
        </w:tc>
      </w:tr>
      <w:tr>
        <w:trPr>
          <w:trHeight w:val="264"/>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Long-term debt</w:t>
            </w:r>
          </w:p>
        </w:tc>
        <w:tc>
          <w:tcPr>
            <w:tcW w:w="3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659.1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884.6</w:t>
            </w:r>
          </w:p>
        </w:tc>
      </w:tr>
      <w:tr>
        <w:trPr>
          <w:trHeight w:val="276"/>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Non-current income tax liabilities, net</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202.4</w:t>
            </w: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 long-term liabilities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44.2</w:t>
            </w:r>
          </w:p>
        </w:tc>
      </w:tr>
      <w:tr>
        <w:trPr>
          <w:trHeight w:val="250"/>
        </w:trPr>
        <w:tc>
          <w:tcPr>
            <w:tcW w:w="7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3,855.9</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3,849.8</w:t>
            </w:r>
          </w:p>
        </w:tc>
      </w:tr>
      <w:tr>
        <w:trPr>
          <w:trHeight w:val="277"/>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Commitments and contingencies</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90"/>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Equity:</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78"/>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World Fuel shareholders' equity:</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Preferred stock, $1.00 par value; 0.1 shares authorized, none issued</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57"/>
        </w:trPr>
        <w:tc>
          <w:tcPr>
            <w:tcW w:w="7660" w:type="dxa"/>
            <w:vAlign w:val="bottom"/>
            <w:gridSpan w:val="2"/>
          </w:tcPr>
          <w:p>
            <w:pPr>
              <w:ind w:left="180"/>
              <w:spacing w:after="0" w:line="157" w:lineRule="exact"/>
              <w:rPr>
                <w:sz w:val="20"/>
                <w:szCs w:val="20"/>
                <w:color w:val="auto"/>
              </w:rPr>
            </w:pPr>
            <w:r>
              <w:rPr>
                <w:rFonts w:ascii="Arial" w:cs="Arial" w:eastAsia="Arial" w:hAnsi="Arial"/>
                <w:sz w:val="14"/>
                <w:szCs w:val="14"/>
                <w:color w:val="auto"/>
                <w:w w:val="95"/>
              </w:rPr>
              <w:t>Common stock, $0.01 par value; 100.0 shares authorized, 67.0 and 67.7 issued and outstanding as of December 31, 2018 and</w:t>
            </w: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88"/>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December 31, 2017, respectively</w:t>
            </w:r>
          </w:p>
        </w:tc>
        <w:tc>
          <w:tcPr>
            <w:tcW w:w="3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0.7</w:t>
            </w: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Capital in excess of par value</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354.9</w:t>
            </w:r>
          </w:p>
        </w:tc>
      </w:tr>
      <w:tr>
        <w:trPr>
          <w:trHeight w:val="264"/>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Retained earnings</w:t>
            </w:r>
          </w:p>
        </w:tc>
        <w:tc>
          <w:tcPr>
            <w:tcW w:w="3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1,606.1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1,492.8</w:t>
            </w:r>
          </w:p>
        </w:tc>
      </w:tr>
      <w:tr>
        <w:trPr>
          <w:trHeight w:val="270"/>
        </w:trPr>
        <w:tc>
          <w:tcPr>
            <w:tcW w:w="7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(131.7)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(126.5)</w:t>
            </w:r>
          </w:p>
        </w:tc>
      </w:tr>
      <w:tr>
        <w:trPr>
          <w:trHeight w:val="250"/>
        </w:trPr>
        <w:tc>
          <w:tcPr>
            <w:tcW w:w="7660" w:type="dxa"/>
            <w:vAlign w:val="bottom"/>
            <w:gridSpan w:val="2"/>
          </w:tcPr>
          <w:p>
            <w:pPr>
              <w:ind w:left="280"/>
              <w:spacing w:after="0"/>
              <w:rPr>
                <w:sz w:val="20"/>
                <w:szCs w:val="20"/>
                <w:color w:val="auto"/>
              </w:rPr>
            </w:pPr>
            <w:r>
              <w:rPr>
                <w:rFonts w:ascii="Arial" w:cs="Arial" w:eastAsia="Arial" w:hAnsi="Arial"/>
                <w:sz w:val="14"/>
                <w:szCs w:val="14"/>
                <w:color w:val="auto"/>
              </w:rPr>
              <w:t>Total World Fuel shareholders' equity</w:t>
            </w: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1,815.4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1,721.9</w:t>
            </w:r>
          </w:p>
        </w:tc>
      </w:tr>
      <w:tr>
        <w:trPr>
          <w:trHeight w:val="270"/>
        </w:trPr>
        <w:tc>
          <w:tcPr>
            <w:tcW w:w="7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Noncontrolling interest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w:t>
            </w:r>
          </w:p>
        </w:tc>
      </w:tr>
      <w:tr>
        <w:trPr>
          <w:trHeight w:val="250"/>
        </w:trPr>
        <w:tc>
          <w:tcPr>
            <w:tcW w:w="75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equity</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1,831.6</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1,738.0</w:t>
            </w:r>
          </w:p>
        </w:tc>
      </w:tr>
      <w:tr>
        <w:trPr>
          <w:trHeight w:val="237"/>
        </w:trPr>
        <w:tc>
          <w:tcPr>
            <w:tcW w:w="7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liabilities and equity</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5,687.5</w:t>
            </w:r>
          </w:p>
        </w:tc>
        <w:tc>
          <w:tcPr>
            <w:tcW w:w="500" w:type="dxa"/>
            <w:vAlign w:val="bottom"/>
            <w:gridSpan w:val="3"/>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5,587.8</w:t>
            </w:r>
          </w:p>
        </w:tc>
      </w:tr>
      <w:tr>
        <w:trPr>
          <w:trHeight w:val="20"/>
        </w:trPr>
        <w:tc>
          <w:tcPr>
            <w:tcW w:w="7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96" w:right="239" w:bottom="1440" w:gutter="0" w:footer="0" w:header="0"/>
        </w:sectPr>
      </w:pPr>
    </w:p>
    <w:bookmarkStart w:id="8" w:name="page9"/>
    <w:bookmarkEnd w:id="8"/>
    <w:p>
      <w:pPr>
        <w:jc w:val="center"/>
        <w:spacing w:after="0" w:line="266" w:lineRule="auto"/>
        <w:rPr>
          <w:sz w:val="20"/>
          <w:szCs w:val="20"/>
          <w:color w:val="auto"/>
        </w:rPr>
      </w:pPr>
      <w:r>
        <w:rPr>
          <w:rFonts w:ascii="Arial" w:cs="Arial" w:eastAsia="Arial" w:hAnsi="Arial"/>
          <w:sz w:val="18"/>
          <w:szCs w:val="18"/>
          <w:b w:val="1"/>
          <w:bCs w:val="1"/>
          <w:color w:val="auto"/>
        </w:rPr>
        <w:t xml:space="preserve">WORLD FUEL SERVICES CORPORATION CONSOLIDATED STATEMENTS OF INCOME AND COMPREHENSIVE INCOME </w:t>
      </w:r>
      <w:r>
        <w:rPr>
          <w:rFonts w:ascii="Arial" w:cs="Arial" w:eastAsia="Arial" w:hAnsi="Arial"/>
          <w:sz w:val="18"/>
          <w:szCs w:val="18"/>
          <w:color w:val="auto"/>
        </w:rPr>
        <w:t>(Unaudited – In millions,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6"/>
                <w:szCs w:val="16"/>
                <w:color w:val="auto"/>
              </w:rPr>
            </w:pPr>
          </w:p>
        </w:tc>
        <w:tc>
          <w:tcPr>
            <w:tcW w:w="236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w w:val="99"/>
              </w:rPr>
              <w:t>For the Twelve Months Ended</w:t>
            </w:r>
          </w:p>
        </w:tc>
      </w:tr>
      <w:tr>
        <w:trPr>
          <w:trHeight w:val="276"/>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24"/>
                <w:szCs w:val="24"/>
                <w:color w:val="auto"/>
              </w:rPr>
            </w:pPr>
          </w:p>
        </w:tc>
      </w:tr>
      <w:tr>
        <w:trPr>
          <w:trHeight w:val="264"/>
        </w:trPr>
        <w:tc>
          <w:tcPr>
            <w:tcW w:w="59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9,988.6</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8,872.0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39,750.3</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33,695.5</w:t>
            </w: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revenue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9,726.3</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8,642.1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38,731.8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32,763.3</w:t>
            </w:r>
          </w:p>
        </w:tc>
      </w:tr>
      <w:tr>
        <w:trPr>
          <w:trHeight w:val="250"/>
        </w:trPr>
        <w:tc>
          <w:tcPr>
            <w:tcW w:w="59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262.2</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229.9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1,018.5</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932.2</w:t>
            </w:r>
          </w:p>
        </w:tc>
      </w:tr>
      <w:tr>
        <w:trPr>
          <w:trHeight w:val="277"/>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Compensation and employee benefits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428.2</w:t>
            </w: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General and administrative</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84.2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299.6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306.9</w:t>
            </w: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Goodwill and other impairments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91.9</w:t>
            </w: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Restructuring charges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59.6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59.6</w:t>
            </w:r>
          </w:p>
        </w:tc>
      </w:tr>
      <w:tr>
        <w:trPr>
          <w:trHeight w:val="250"/>
        </w:trPr>
        <w:tc>
          <w:tcPr>
            <w:tcW w:w="59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199.0</w:t>
            </w:r>
          </w:p>
        </w:tc>
        <w:tc>
          <w:tcPr>
            <w:tcW w:w="1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347.2</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758.8</w:t>
            </w:r>
          </w:p>
        </w:tc>
        <w:tc>
          <w:tcPr>
            <w:tcW w:w="1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886.6</w:t>
            </w:r>
          </w:p>
        </w:tc>
      </w:tr>
      <w:tr>
        <w:trPr>
          <w:trHeight w:val="250"/>
        </w:trPr>
        <w:tc>
          <w:tcPr>
            <w:tcW w:w="59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Income from operations</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63.2</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259.7</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45.6</w:t>
            </w:r>
          </w:p>
        </w:tc>
      </w:tr>
      <w:tr>
        <w:trPr>
          <w:trHeight w:val="28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Non-operating expenses, net: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Interest expense and other financing costs, net</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(60.3)</w:t>
            </w:r>
          </w:p>
        </w:tc>
      </w:tr>
      <w:tr>
        <w:trPr>
          <w:trHeight w:val="270"/>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income (expense), net</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250"/>
        </w:trPr>
        <w:tc>
          <w:tcPr>
            <w:tcW w:w="596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(20.3)</w:t>
            </w:r>
          </w:p>
        </w:tc>
        <w:tc>
          <w:tcPr>
            <w:tcW w:w="12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(74.8)</w:t>
            </w:r>
          </w:p>
        </w:tc>
        <w:tc>
          <w:tcPr>
            <w:tcW w:w="12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(66.7)</w:t>
            </w: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42.9</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184.9</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149.2</w:t>
            </w: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(loss) including noncontrolling interest</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29.8</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129.0</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(170.3)</w:t>
            </w: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 (loss) attributable to noncontrolling interest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r>
      <w:tr>
        <w:trPr>
          <w:trHeight w:val="237"/>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(loss) attributable to World Fuel</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127.7</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(170.2)</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51"/>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Basic earnings per common share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0.44</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51"/>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Basic weighted average common shares</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67.4</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68.1</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51"/>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Diluted earnings per common share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0.44</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51"/>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Diluted weighted average common shares</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67.4</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68.1</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84"/>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Net income (loss) including noncontrolling interest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(193.7)</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129.0</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(170.3)</w:t>
            </w:r>
          </w:p>
        </w:tc>
      </w:tr>
      <w:tr>
        <w:trPr>
          <w:trHeight w:val="29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30.1</w:t>
            </w:r>
          </w:p>
        </w:tc>
      </w:tr>
      <w:tr>
        <w:trPr>
          <w:trHeight w:val="163"/>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w w:val="97"/>
              </w:rPr>
              <w:t>Cash flow hedges, net of income tax expense of $9.9 and income tax benefit of $1.3 for the three</w:t>
            </w: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49"/>
        </w:trPr>
        <w:tc>
          <w:tcPr>
            <w:tcW w:w="60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97"/>
              </w:rPr>
              <w:t>months ended December 31, 2018 and 2017, respectively, and net of income tax expense of $7.0</w:t>
            </w: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9"/>
        </w:trPr>
        <w:tc>
          <w:tcPr>
            <w:tcW w:w="60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and income tax benefit of $0.3 for the twelve months ended December 31, 2018 and 2017,</w:t>
            </w: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88"/>
        </w:trPr>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respectively</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29.4</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250"/>
        </w:trPr>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comprehensive income (loss):</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25.1</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29.8</w:t>
            </w: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 (loss) including noncontrolling interest</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54.8</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122.6</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(140.5)</w:t>
            </w: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Comprehensive income (loss) attributable to noncontrolling interest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r>
      <w:tr>
        <w:trPr>
          <w:trHeight w:val="237"/>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 (loss) attributable to World Fuel</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54.8</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123.8</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(142.0)</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9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6"/>
                <w:szCs w:val="16"/>
                <w:color w:val="auto"/>
              </w:rPr>
            </w:pPr>
          </w:p>
        </w:tc>
        <w:tc>
          <w:tcPr>
            <w:tcW w:w="236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w w:val="99"/>
              </w:rPr>
              <w:t>For the Twelve Months Ended</w:t>
            </w:r>
          </w:p>
        </w:tc>
      </w:tr>
      <w:tr>
        <w:trPr>
          <w:trHeight w:val="276"/>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24"/>
                <w:szCs w:val="24"/>
                <w:color w:val="auto"/>
              </w:rPr>
            </w:pPr>
          </w:p>
        </w:tc>
      </w:tr>
      <w:tr>
        <w:trPr>
          <w:trHeight w:val="264"/>
        </w:trPr>
        <w:tc>
          <w:tcPr>
            <w:tcW w:w="59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8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64"/>
        </w:trPr>
        <w:tc>
          <w:tcPr>
            <w:tcW w:w="6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Net income (loss) including noncontrolling interest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(170.3)</w:t>
            </w:r>
          </w:p>
        </w:tc>
      </w:tr>
      <w:tr>
        <w:trPr>
          <w:trHeight w:val="143"/>
        </w:trPr>
        <w:tc>
          <w:tcPr>
            <w:tcW w:w="6080" w:type="dxa"/>
            <w:vAlign w:val="bottom"/>
            <w:gridSpan w:val="2"/>
            <w:shd w:val="clear" w:color="auto" w:fill="CCEEFF"/>
          </w:tcPr>
          <w:p>
            <w:pPr>
              <w:ind w:left="180"/>
              <w:spacing w:after="0" w:line="143" w:lineRule="exact"/>
              <w:rPr>
                <w:sz w:val="20"/>
                <w:szCs w:val="20"/>
                <w:color w:val="auto"/>
              </w:rPr>
            </w:pPr>
            <w:r>
              <w:rPr>
                <w:rFonts w:ascii="Arial" w:cs="Arial" w:eastAsia="Arial" w:hAnsi="Arial"/>
                <w:sz w:val="14"/>
                <w:szCs w:val="14"/>
                <w:color w:val="auto"/>
              </w:rPr>
              <w:t>Adjustments to reconcile net income including noncontrolling interest to net cash provided by</w:t>
            </w: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94"/>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operating activities: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81.5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86.0</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Provision for bad debt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Goodwill and other impairments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91.9</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Restructuring Charges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Share-based payment award compensation costs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21.2</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Deferred income tax provision (benefit)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Foreign currency losses, net</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78"/>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Changes in assets and liabilities, net of acquisitions: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3"/>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Accounts receivable, net (reduced by beneficial interests received in exchange for accounts</w:t>
            </w: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49"/>
        </w:trPr>
        <w:tc>
          <w:tcPr>
            <w:tcW w:w="60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w w:val="96"/>
              </w:rPr>
              <w:t>receivables sold of $0.9 and $104.0 for the three months ended December 31, 2018 and 2017,</w:t>
            </w: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9"/>
        </w:trPr>
        <w:tc>
          <w:tcPr>
            <w:tcW w:w="60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w w:val="94"/>
              </w:rPr>
              <w:t>respectively, and $353.9 and $343.3 for the twelve months ended December 31, 2018 and 2017,</w:t>
            </w: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94"/>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respectively)</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318.6</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(456.9)</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(705.4)</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165.3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(43.9)</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Prepaid expenses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Short-term derivative assets, net</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(115.6)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(151.3)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Other current assets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Cash collateral with financial counterparties</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(26.7)</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Other non-current assets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(376.3)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197.5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177.7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451.2</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Customer deposits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79.2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77.7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72.7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77.7</w:t>
            </w:r>
          </w:p>
        </w:tc>
      </w:tr>
      <w:tr>
        <w:trPr>
          <w:trHeight w:val="270"/>
        </w:trPr>
        <w:tc>
          <w:tcPr>
            <w:tcW w:w="59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Non-current income tax, net and other long-term liabilities</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88.4</w:t>
            </w:r>
          </w:p>
        </w:tc>
      </w:tr>
      <w:tr>
        <w:trPr>
          <w:trHeight w:val="250"/>
        </w:trPr>
        <w:tc>
          <w:tcPr>
            <w:tcW w:w="59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adjustments</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104.6</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251.3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(310.4)</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36.8</w:t>
            </w:r>
          </w:p>
        </w:tc>
      </w:tr>
      <w:tr>
        <w:trPr>
          <w:trHeight w:val="250"/>
        </w:trPr>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134.3</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(181.4)</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(133.5)</w:t>
            </w:r>
          </w:p>
        </w:tc>
      </w:tr>
      <w:tr>
        <w:trPr>
          <w:trHeight w:val="277"/>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Cash receipts of retained beneficial interests in receivable sales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369.8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338.8</w:t>
            </w: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Acquisition of businesses, net of cash acquired</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(120.7)</w:t>
            </w: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w:t>
            </w:r>
          </w:p>
        </w:tc>
      </w:tr>
      <w:tr>
        <w:trPr>
          <w:trHeight w:val="264"/>
        </w:trPr>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investing activities, net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r>
      <w:tr>
        <w:trPr>
          <w:trHeight w:val="250"/>
        </w:trPr>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287.6</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158.7</w:t>
            </w:r>
          </w:p>
        </w:tc>
      </w:tr>
      <w:tr>
        <w:trPr>
          <w:trHeight w:val="277"/>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Borrowings of debt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1,523.8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972.6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6,187.2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4,472.7</w:t>
            </w: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Repayments of debt</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(1,567.6)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(1,257.1)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(6,408.8)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(4,749.7)</w:t>
            </w: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Dividends paid on common stock</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Purchases of common stock</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(61.9)</w:t>
            </w:r>
          </w:p>
        </w:tc>
      </w:tr>
      <w:tr>
        <w:trPr>
          <w:trHeight w:val="270"/>
        </w:trPr>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financing activities, net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250"/>
        </w:trPr>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(47.7)</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(259.8)</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(361.6)</w:t>
            </w:r>
          </w:p>
        </w:tc>
      </w:tr>
      <w:tr>
        <w:trPr>
          <w:trHeight w:val="250"/>
        </w:trPr>
        <w:tc>
          <w:tcPr>
            <w:tcW w:w="5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r>
      <w:tr>
        <w:trPr>
          <w:trHeight w:val="250"/>
        </w:trPr>
        <w:tc>
          <w:tcPr>
            <w:tcW w:w="6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26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69.7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(160.6)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(326.2)</w:t>
            </w:r>
          </w:p>
        </w:tc>
      </w:tr>
      <w:tr>
        <w:trPr>
          <w:trHeight w:val="270"/>
        </w:trPr>
        <w:tc>
          <w:tcPr>
            <w:tcW w:w="5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as of beginning of period</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142.1</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546.0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372.3</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698.6</w:t>
            </w: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and cash equivalents, as of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211.7</w:t>
            </w:r>
          </w:p>
        </w:tc>
        <w:tc>
          <w:tcPr>
            <w:tcW w:w="120" w:type="dxa"/>
            <w:vAlign w:val="bottom"/>
          </w:tcPr>
          <w:p>
            <w:pPr>
              <w:spacing w:after="0"/>
              <w:rPr>
                <w:sz w:val="20"/>
                <w:szCs w:val="20"/>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372.3</w:t>
            </w:r>
          </w:p>
        </w:tc>
        <w:tc>
          <w:tcPr>
            <w:tcW w:w="10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211.7</w:t>
            </w:r>
          </w:p>
        </w:tc>
        <w:tc>
          <w:tcPr>
            <w:tcW w:w="120" w:type="dxa"/>
            <w:vAlign w:val="bottom"/>
          </w:tcPr>
          <w:p>
            <w:pPr>
              <w:spacing w:after="0"/>
              <w:rPr>
                <w:sz w:val="20"/>
                <w:szCs w:val="20"/>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372.3</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100" w:firstLine="8"/>
        <w:spacing w:after="0" w:line="273" w:lineRule="auto"/>
        <w:tabs>
          <w:tab w:leader="none" w:pos="108"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adoption of ASU 2016-15 resulted in operating cash flow decreases and investing cash flow increases of $12.3 million and $102.5 million for the three months ended December 31, 2018 and 2017, respectively, and $369.8 million and $338.8 million for the twelve months ended December 31, 2018 and 2017, respectively.</w:t>
      </w:r>
    </w:p>
    <w:p>
      <w:pPr>
        <w:sectPr>
          <w:pgSz w:w="11900" w:h="16838" w:orient="portrait"/>
          <w:cols w:equalWidth="0" w:num="1">
            <w:col w:w="11420"/>
          </w:cols>
          <w:pgMar w:left="240" w:top="918" w:right="239" w:bottom="1440" w:gutter="0" w:footer="0" w:header="0"/>
        </w:sectPr>
      </w:pPr>
    </w:p>
    <w:bookmarkStart w:id="10" w:name="page11"/>
    <w:bookmarkEnd w:id="10"/>
    <w:p>
      <w:pPr>
        <w:jc w:val="center"/>
        <w:spacing w:after="0" w:line="266" w:lineRule="auto"/>
        <w:rPr>
          <w:sz w:val="20"/>
          <w:szCs w:val="20"/>
          <w:color w:val="auto"/>
        </w:rPr>
      </w:pPr>
      <w:r>
        <w:rPr>
          <w:rFonts w:ascii="Arial" w:cs="Arial" w:eastAsia="Arial" w:hAnsi="Arial"/>
          <w:sz w:val="18"/>
          <w:szCs w:val="18"/>
          <w:b w:val="1"/>
          <w:bCs w:val="1"/>
          <w:color w:val="auto"/>
        </w:rPr>
        <w:t xml:space="preserve">WORLD FUEL SERVICES CORPORATION RECONCILIATION OF GAAP TO NON-GAAP FINANCIAL MEASURES </w:t>
      </w:r>
      <w:r>
        <w:rPr>
          <w:rFonts w:ascii="Arial" w:cs="Arial" w:eastAsia="Arial" w:hAnsi="Arial"/>
          <w:sz w:val="18"/>
          <w:szCs w:val="18"/>
          <w:color w:val="auto"/>
        </w:rPr>
        <w:t>(Unaudited - In millions,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8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9"/>
                <w:szCs w:val="19"/>
                <w:color w:val="auto"/>
              </w:rPr>
            </w:pPr>
          </w:p>
        </w:tc>
        <w:tc>
          <w:tcPr>
            <w:tcW w:w="236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w w:val="99"/>
              </w:rPr>
              <w:t>For the Twelve Months Ended</w:t>
            </w:r>
          </w:p>
        </w:tc>
      </w:tr>
      <w:tr>
        <w:trPr>
          <w:trHeight w:val="276"/>
        </w:trPr>
        <w:tc>
          <w:tcPr>
            <w:tcW w:w="5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24"/>
                <w:szCs w:val="24"/>
                <w:color w:val="auto"/>
              </w:rPr>
            </w:pPr>
          </w:p>
        </w:tc>
      </w:tr>
      <w:tr>
        <w:trPr>
          <w:trHeight w:val="264"/>
        </w:trPr>
        <w:tc>
          <w:tcPr>
            <w:tcW w:w="60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Non-GAAP financial measures and reconciliation:</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attributable to World Fuel</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127.7</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(170.2)</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Goodwill and other impairments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91.9</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Acquisition related charges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Severance and other restructuring-related costs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59.6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66.6</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Valuation allowance against the net U.S. deferred tax assets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Income tax impacts</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(31.1)</w:t>
            </w:r>
          </w:p>
        </w:tc>
      </w:tr>
      <w:tr>
        <w:trPr>
          <w:trHeight w:val="270"/>
        </w:trPr>
        <w:tc>
          <w:tcPr>
            <w:tcW w:w="59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Tax impact of the Tax Cuts and Jobs Act of 2017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157.4</w:t>
            </w:r>
          </w:p>
        </w:tc>
      </w:tr>
      <w:tr>
        <w:trPr>
          <w:trHeight w:val="250"/>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Adjusted net income attributable to World Fuel</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33.7</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142.9</w:t>
            </w:r>
          </w:p>
        </w:tc>
        <w:tc>
          <w:tcPr>
            <w:tcW w:w="120" w:type="dxa"/>
            <w:vAlign w:val="bottom"/>
          </w:tcPr>
          <w:p>
            <w:pPr>
              <w:spacing w:after="0"/>
              <w:rPr>
                <w:sz w:val="21"/>
                <w:szCs w:val="21"/>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126.6</w:t>
            </w:r>
          </w:p>
        </w:tc>
      </w:tr>
      <w:tr>
        <w:trPr>
          <w:trHeight w:val="276"/>
        </w:trPr>
        <w:tc>
          <w:tcPr>
            <w:tcW w:w="5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Diluted earnings per common share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0.44</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22"/>
                <w:szCs w:val="22"/>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Goodwill and other impairments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Acquisition related charges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0.18</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Severance and other restructuring-related costs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0.25</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0.98</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Valuation allowance against the net U.S. deferred tax assets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Income tax impacts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(0.46)</w:t>
            </w:r>
          </w:p>
        </w:tc>
      </w:tr>
      <w:tr>
        <w:trPr>
          <w:trHeight w:val="264"/>
        </w:trPr>
        <w:tc>
          <w:tcPr>
            <w:tcW w:w="59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Tax impact of the Tax Cuts and Jobs Act of 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w:t>
            </w:r>
          </w:p>
        </w:tc>
      </w:tr>
      <w:tr>
        <w:trPr>
          <w:trHeight w:val="237"/>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Adjusted diluted earnings per common share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Non-GAAP financial measures and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377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from operations</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Goodwill and other impairments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Acquisition-related charges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Severance and other restructuring-related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3773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EBITDA(1)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73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731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3773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60" w:type="dxa"/>
            <w:vAlign w:val="bottom"/>
          </w:tcPr>
          <w:p>
            <w:pPr>
              <w:spacing w:after="0"/>
              <w:rPr>
                <w:sz w:val="19"/>
                <w:szCs w:val="19"/>
                <w:color w:val="auto"/>
              </w:rPr>
            </w:pPr>
          </w:p>
        </w:tc>
        <w:tc>
          <w:tcPr>
            <w:tcW w:w="248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9"/>
                <w:szCs w:val="19"/>
                <w:color w:val="auto"/>
              </w:rPr>
            </w:pPr>
          </w:p>
        </w:tc>
        <w:tc>
          <w:tcPr>
            <w:tcW w:w="236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w w:val="99"/>
              </w:rPr>
              <w:t>For the Twelve Months Ended</w:t>
            </w:r>
          </w:p>
        </w:tc>
      </w:tr>
      <w:tr>
        <w:trPr>
          <w:trHeight w:val="276"/>
        </w:trPr>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24"/>
                <w:szCs w:val="24"/>
                <w:color w:val="auto"/>
              </w:rPr>
            </w:pPr>
          </w:p>
        </w:tc>
      </w:tr>
      <w:tr>
        <w:trPr>
          <w:trHeight w:val="264"/>
        </w:trPr>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44"/>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63.2</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(117.2)</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259.7</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45.6</w:t>
            </w:r>
          </w:p>
        </w:tc>
      </w:tr>
      <w:tr>
        <w:trPr>
          <w:trHeight w:val="270"/>
        </w:trPr>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91.9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91.9</w:t>
            </w: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81.5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86.1</w:t>
            </w: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11.2</w:t>
            </w:r>
          </w:p>
        </w:tc>
      </w:tr>
      <w:tr>
        <w:trPr>
          <w:trHeight w:val="276"/>
        </w:trPr>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66.0</w:t>
            </w:r>
          </w:p>
        </w:tc>
      </w:tr>
      <w:tr>
        <w:trPr>
          <w:trHeight w:val="237"/>
        </w:trPr>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90.7</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360.3</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300.8</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-1045845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-702310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-359410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5360" w:space="720"/>
            <w:col w:w="5340"/>
          </w:cols>
          <w:pgMar w:left="240" w:top="796" w:right="239" w:bottom="1440" w:gutter="0" w:footer="0" w:header="0"/>
          <w:type w:val="continuous"/>
        </w:sectPr>
      </w:pPr>
    </w:p>
    <w:p>
      <w:pPr>
        <w:ind w:left="660" w:right="180" w:hanging="328"/>
        <w:spacing w:after="0" w:line="273"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 defines adjusted EBITDA as income from operations, excluding the impact of depreciation and amortization, and items that are considered to be non-operational and are not representative of our core business, including those associated with severance, restructuring and acquisition-related costs.</w:t>
      </w:r>
    </w:p>
    <w:p>
      <w:pPr>
        <w:sectPr>
          <w:pgSz w:w="11900" w:h="16838" w:orient="portrait"/>
          <w:cols w:equalWidth="0" w:num="1">
            <w:col w:w="11420"/>
          </w:cols>
          <w:pgMar w:left="240" w:top="796"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SEGMENTS INFORMATION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6"/>
                <w:szCs w:val="16"/>
                <w:color w:val="auto"/>
              </w:rPr>
            </w:pPr>
          </w:p>
        </w:tc>
        <w:tc>
          <w:tcPr>
            <w:tcW w:w="218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w w:val="96"/>
              </w:rPr>
              <w:t>For the Twelve Months Ended</w:t>
            </w:r>
          </w:p>
        </w:tc>
      </w:tr>
      <w:tr>
        <w:trPr>
          <w:trHeight w:val="276"/>
        </w:trPr>
        <w:tc>
          <w:tcPr>
            <w:tcW w:w="640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24"/>
                <w:szCs w:val="24"/>
                <w:color w:val="auto"/>
              </w:rPr>
            </w:pPr>
          </w:p>
        </w:tc>
      </w:tr>
      <w:tr>
        <w:trPr>
          <w:trHeight w:val="264"/>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Aviation segment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4,900.8</w:t>
            </w:r>
          </w:p>
        </w:tc>
        <w:tc>
          <w:tcPr>
            <w:tcW w:w="12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4,006.7</w:t>
            </w:r>
          </w:p>
        </w:tc>
        <w:tc>
          <w:tcPr>
            <w:tcW w:w="1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19,119.7</w:t>
            </w:r>
          </w:p>
        </w:tc>
        <w:tc>
          <w:tcPr>
            <w:tcW w:w="10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14,538.2</w:t>
            </w:r>
          </w:p>
        </w:tc>
      </w:tr>
      <w:tr>
        <w:trPr>
          <w:trHeight w:val="276"/>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Land segment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2,705.7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11,381.1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10,958.0</w:t>
            </w: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Marine segment</w:t>
            </w: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2,382.0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2,025.3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9,249.5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8,199.3</w:t>
            </w:r>
          </w:p>
        </w:tc>
      </w:tr>
      <w:tr>
        <w:trPr>
          <w:trHeight w:val="237"/>
        </w:trPr>
        <w:tc>
          <w:tcPr>
            <w:tcW w:w="640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9,988.6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8,872.0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39,750.3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33,695.5</w:t>
            </w: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64"/>
        </w:trPr>
        <w:tc>
          <w:tcPr>
            <w:tcW w:w="6540" w:type="dxa"/>
            <w:vAlign w:val="bottom"/>
            <w:gridSpan w:val="2"/>
          </w:tcPr>
          <w:p>
            <w:pPr>
              <w:ind w:left="40"/>
              <w:spacing w:after="0"/>
              <w:rPr>
                <w:sz w:val="20"/>
                <w:szCs w:val="20"/>
                <w:color w:val="auto"/>
              </w:rPr>
            </w:pPr>
            <w:r>
              <w:rPr>
                <w:rFonts w:ascii="Arial" w:cs="Arial" w:eastAsia="Arial" w:hAnsi="Arial"/>
                <w:sz w:val="14"/>
                <w:szCs w:val="14"/>
                <w:color w:val="auto"/>
              </w:rPr>
              <w:t>Gross profit:</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507.8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440.5</w:t>
            </w: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Land segment</w:t>
            </w: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91.1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364.9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365.8</w:t>
            </w:r>
          </w:p>
        </w:tc>
      </w:tr>
      <w:tr>
        <w:trPr>
          <w:trHeight w:val="270"/>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41.3</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126.0</w:t>
            </w:r>
          </w:p>
        </w:tc>
      </w:tr>
      <w:tr>
        <w:trPr>
          <w:trHeight w:val="277"/>
        </w:trPr>
        <w:tc>
          <w:tcPr>
            <w:tcW w:w="640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262.2</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229.9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1,018.5</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932.2</w:t>
            </w:r>
          </w:p>
        </w:tc>
      </w:tr>
      <w:tr>
        <w:trPr>
          <w:trHeight w:val="270"/>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Aviation segment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62.3</w:t>
            </w:r>
          </w:p>
        </w:tc>
        <w:tc>
          <w:tcPr>
            <w:tcW w:w="12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41.2</w:t>
            </w:r>
          </w:p>
        </w:tc>
        <w:tc>
          <w:tcPr>
            <w:tcW w:w="120" w:type="dxa"/>
            <w:vAlign w:val="bottom"/>
          </w:tcPr>
          <w:p>
            <w:pPr>
              <w:spacing w:after="0"/>
              <w:rPr>
                <w:sz w:val="22"/>
                <w:szCs w:val="22"/>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250.6</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192.9</w:t>
            </w:r>
          </w:p>
        </w:tc>
      </w:tr>
      <w:tr>
        <w:trPr>
          <w:trHeight w:val="276"/>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Land segment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Marine segment</w:t>
            </w:r>
          </w:p>
        </w:tc>
        <w:tc>
          <w:tcPr>
            <w:tcW w:w="2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(57.8)</w:t>
            </w:r>
          </w:p>
        </w:tc>
      </w:tr>
      <w:tr>
        <w:trPr>
          <w:trHeight w:val="256"/>
        </w:trPr>
        <w:tc>
          <w:tcPr>
            <w:tcW w:w="64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79.4</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336.3</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127.2</w:t>
            </w: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Corporate overhead - unallocated</w:t>
            </w:r>
          </w:p>
        </w:tc>
        <w:tc>
          <w:tcPr>
            <w:tcW w:w="20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(76.6)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(81.6)</w:t>
            </w:r>
          </w:p>
        </w:tc>
      </w:tr>
      <w:tr>
        <w:trPr>
          <w:trHeight w:val="237"/>
        </w:trPr>
        <w:tc>
          <w:tcPr>
            <w:tcW w:w="640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45.6</w:t>
            </w: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SALES VOLUME SUPPLEMENTAL INFORMATION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For the Three Months Ended</w:t>
            </w:r>
          </w:p>
        </w:tc>
        <w:tc>
          <w:tcPr>
            <w:tcW w:w="2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For the Twelve Months Ended</w:t>
            </w:r>
          </w:p>
        </w:tc>
      </w:tr>
      <w:tr>
        <w:trPr>
          <w:trHeight w:val="276"/>
        </w:trPr>
        <w:tc>
          <w:tcPr>
            <w:tcW w:w="64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Borders>
              <w:bottom w:val="single" w:sz="8" w:color="auto"/>
            </w:tcBorders>
            <w:gridSpan w:val="3"/>
          </w:tcPr>
          <w:p>
            <w:pPr>
              <w:jc w:val="center"/>
              <w:ind w:left="668"/>
              <w:spacing w:after="0"/>
              <w:rPr>
                <w:sz w:val="20"/>
                <w:szCs w:val="20"/>
                <w:color w:val="auto"/>
              </w:rPr>
            </w:pPr>
            <w:r>
              <w:rPr>
                <w:rFonts w:ascii="Arial" w:cs="Arial" w:eastAsia="Arial" w:hAnsi="Arial"/>
                <w:sz w:val="14"/>
                <w:szCs w:val="14"/>
                <w:b w:val="1"/>
                <w:bCs w:val="1"/>
                <w:color w:val="auto"/>
                <w:w w:val="92"/>
              </w:rPr>
              <w:t>December 31,</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Borders>
              <w:bottom w:val="single" w:sz="8" w:color="auto"/>
            </w:tcBorders>
            <w:gridSpan w:val="3"/>
          </w:tcPr>
          <w:p>
            <w:pPr>
              <w:jc w:val="center"/>
              <w:ind w:left="688"/>
              <w:spacing w:after="0"/>
              <w:rPr>
                <w:sz w:val="20"/>
                <w:szCs w:val="20"/>
                <w:color w:val="auto"/>
              </w:rPr>
            </w:pPr>
            <w:r>
              <w:rPr>
                <w:rFonts w:ascii="Arial" w:cs="Arial" w:eastAsia="Arial" w:hAnsi="Arial"/>
                <w:sz w:val="14"/>
                <w:szCs w:val="14"/>
                <w:b w:val="1"/>
                <w:bCs w:val="1"/>
                <w:color w:val="auto"/>
                <w:w w:val="92"/>
              </w:rPr>
              <w:t>December 31,</w:t>
            </w:r>
          </w:p>
        </w:tc>
        <w:tc>
          <w:tcPr>
            <w:tcW w:w="740" w:type="dxa"/>
            <w:vAlign w:val="bottom"/>
            <w:tcBorders>
              <w:bottom w:val="single" w:sz="8" w:color="auto"/>
            </w:tcBorders>
          </w:tcPr>
          <w:p>
            <w:pPr>
              <w:spacing w:after="0"/>
              <w:rPr>
                <w:sz w:val="24"/>
                <w:szCs w:val="24"/>
                <w:color w:val="auto"/>
              </w:rPr>
            </w:pPr>
          </w:p>
        </w:tc>
      </w:tr>
      <w:tr>
        <w:trPr>
          <w:trHeight w:val="264"/>
        </w:trPr>
        <w:tc>
          <w:tcPr>
            <w:tcW w:w="65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Volume (Gallons):</w:t>
            </w: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96"/>
              </w:rPr>
              <w:t>2017</w:t>
            </w:r>
          </w:p>
        </w:tc>
      </w:tr>
      <w:tr>
        <w:trPr>
          <w:trHeight w:val="256"/>
        </w:trPr>
        <w:tc>
          <w:tcPr>
            <w:tcW w:w="6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Aviation Segment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2,047.2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2,016.6</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8,194.0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7,938.3</w:t>
            </w:r>
          </w:p>
        </w:tc>
      </w:tr>
      <w:tr>
        <w:trPr>
          <w:trHeight w:val="264"/>
        </w:trPr>
        <w:tc>
          <w:tcPr>
            <w:tcW w:w="6540" w:type="dxa"/>
            <w:vAlign w:val="bottom"/>
            <w:gridSpan w:val="2"/>
          </w:tcPr>
          <w:p>
            <w:pPr>
              <w:ind w:left="280"/>
              <w:spacing w:after="0"/>
              <w:rPr>
                <w:sz w:val="20"/>
                <w:szCs w:val="20"/>
                <w:color w:val="auto"/>
              </w:rPr>
            </w:pPr>
            <w:r>
              <w:rPr>
                <w:rFonts w:ascii="Arial" w:cs="Arial" w:eastAsia="Arial" w:hAnsi="Arial"/>
                <w:sz w:val="14"/>
                <w:szCs w:val="14"/>
                <w:color w:val="auto"/>
              </w:rPr>
              <w:t xml:space="preserve">Land Segment </w:t>
            </w:r>
            <w:r>
              <w:rPr>
                <w:rFonts w:ascii="Arial" w:cs="Arial" w:eastAsia="Arial" w:hAnsi="Arial"/>
                <w:sz w:val="8"/>
                <w:szCs w:val="8"/>
                <w:color w:val="auto"/>
              </w:rPr>
              <w:t>(1)</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1,356.4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1,473.5</w:t>
            </w: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5,591.8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5,940.4</w:t>
            </w:r>
          </w:p>
        </w:tc>
      </w:tr>
      <w:tr>
        <w:trPr>
          <w:trHeight w:val="270"/>
        </w:trPr>
        <w:tc>
          <w:tcPr>
            <w:tcW w:w="64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xml:space="preserve">Marine Segment </w:t>
            </w:r>
            <w:r>
              <w:rPr>
                <w:rFonts w:ascii="Arial" w:cs="Arial" w:eastAsia="Arial" w:hAnsi="Arial"/>
                <w:sz w:val="8"/>
                <w:szCs w:val="8"/>
                <w:color w:val="auto"/>
              </w:rPr>
              <w:t>(2)</w:t>
            </w:r>
          </w:p>
        </w:tc>
        <w:tc>
          <w:tcPr>
            <w:tcW w:w="14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1,607.4</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1,619.3</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6,261.3</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7,007.9</w:t>
            </w:r>
          </w:p>
        </w:tc>
      </w:tr>
      <w:tr>
        <w:trPr>
          <w:trHeight w:val="237"/>
        </w:trPr>
        <w:tc>
          <w:tcPr>
            <w:tcW w:w="6540" w:type="dxa"/>
            <w:vAlign w:val="bottom"/>
            <w:gridSpan w:val="2"/>
          </w:tcPr>
          <w:p>
            <w:pPr>
              <w:ind w:left="280"/>
              <w:spacing w:after="0"/>
              <w:rPr>
                <w:sz w:val="20"/>
                <w:szCs w:val="20"/>
                <w:color w:val="auto"/>
              </w:rPr>
            </w:pPr>
            <w:r>
              <w:rPr>
                <w:rFonts w:ascii="Arial" w:cs="Arial" w:eastAsia="Arial" w:hAnsi="Arial"/>
                <w:sz w:val="14"/>
                <w:szCs w:val="14"/>
                <w:color w:val="auto"/>
              </w:rPr>
              <w:t>Consolidated Total</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5,011.0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5,109.4</w:t>
            </w:r>
          </w:p>
        </w:tc>
        <w:tc>
          <w:tcPr>
            <w:tcW w:w="100" w:type="dxa"/>
            <w:vAlign w:val="bottom"/>
          </w:tcPr>
          <w:p>
            <w:pPr>
              <w:spacing w:after="0"/>
              <w:rPr>
                <w:sz w:val="20"/>
                <w:szCs w:val="20"/>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20,047.1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20,886.6</w:t>
            </w:r>
          </w:p>
        </w:tc>
      </w:tr>
      <w:tr>
        <w:trPr>
          <w:trHeight w:val="20"/>
        </w:trPr>
        <w:tc>
          <w:tcPr>
            <w:tcW w:w="6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gallons and gallon equivalents of British Thermal Units (BTU) for our natural gas sales and Kilowatt Hours (KwH) for our Kinect power business.</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Converted from metric tons to gallons at a rate of 264 gallons per metric ton. Marine segment metric tons were 6.1 and 23.7 for the three and twelve months ended December 31, 2018.</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World Fuel Services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Ira M Birns, 305-428-8000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&amp;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Glenn Klevitz, 305-428-8000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Treasury &amp; Investor Relations</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2019-12-28T16:19:35Z</dcterms:created>
  <dcterms:modified xsi:type="dcterms:W3CDTF">2019-12-28T16:19:35Z</dcterms:modified>
</cp:coreProperties>
</file>