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Use these links to rapidly review the document</w:t>
      </w:r>
    </w:p>
    <w:p>
      <w:pPr>
        <w:spacing w:after="0" w:line="8" w:lineRule="exact"/>
        <w:rPr>
          <w:sz w:val="24"/>
          <w:szCs w:val="24"/>
          <w:color w:val="auto"/>
        </w:rPr>
      </w:pPr>
    </w:p>
    <w:p>
      <w:pPr>
        <w:spacing w:after="0"/>
        <w:rPr>
          <w:rFonts w:ascii="Arial" w:cs="Arial" w:eastAsia="Arial" w:hAnsi="Arial"/>
          <w:sz w:val="20"/>
          <w:szCs w:val="20"/>
          <w:u w:val="single" w:color="auto"/>
          <w:color w:val="0000EE"/>
        </w:rPr>
      </w:pPr>
      <w:hyperlink w:anchor="page5">
        <w:r>
          <w:rPr>
            <w:rFonts w:ascii="Arial" w:cs="Arial" w:eastAsia="Arial" w:hAnsi="Arial"/>
            <w:sz w:val="20"/>
            <w:szCs w:val="20"/>
            <w:u w:val="single" w:color="auto"/>
            <w:color w:val="0000EE"/>
          </w:rPr>
          <w:t>Table of Contents</w:t>
        </w:r>
      </w:hyperlink>
    </w:p>
    <w:p>
      <w:pPr>
        <w:spacing w:after="0" w:line="184" w:lineRule="exact"/>
        <w:rPr>
          <w:sz w:val="24"/>
          <w:szCs w:val="24"/>
          <w:color w:val="auto"/>
        </w:rPr>
      </w:pPr>
    </w:p>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7" w:lineRule="exact"/>
        <w:rPr>
          <w:sz w:val="24"/>
          <w:szCs w:val="24"/>
          <w:color w:val="auto"/>
        </w:rPr>
      </w:pPr>
    </w:p>
    <w:p>
      <w:pPr>
        <w:jc w:val="center"/>
        <w:ind w:right="-1159"/>
        <w:spacing w:after="0"/>
        <w:rPr>
          <w:sz w:val="20"/>
          <w:szCs w:val="20"/>
          <w:color w:val="auto"/>
        </w:rPr>
      </w:pPr>
      <w:r>
        <w:rPr>
          <w:rFonts w:ascii="Arial" w:cs="Arial" w:eastAsia="Arial" w:hAnsi="Arial"/>
          <w:sz w:val="16"/>
          <w:szCs w:val="16"/>
          <w:b w:val="1"/>
          <w:bCs w:val="1"/>
          <w:color w:val="auto"/>
        </w:rPr>
        <w:t>UNITED STATES</w:t>
      </w:r>
    </w:p>
    <w:p>
      <w:pPr>
        <w:spacing w:after="0" w:line="25" w:lineRule="exact"/>
        <w:rPr>
          <w:sz w:val="24"/>
          <w:szCs w:val="24"/>
          <w:color w:val="auto"/>
        </w:rPr>
      </w:pPr>
    </w:p>
    <w:p>
      <w:pPr>
        <w:jc w:val="center"/>
        <w:ind w:right="-1159"/>
        <w:spacing w:after="0"/>
        <w:rPr>
          <w:sz w:val="20"/>
          <w:szCs w:val="20"/>
          <w:color w:val="auto"/>
        </w:rPr>
      </w:pPr>
      <w:r>
        <w:rPr>
          <w:rFonts w:ascii="Arial" w:cs="Arial" w:eastAsia="Arial" w:hAnsi="Arial"/>
          <w:sz w:val="16"/>
          <w:szCs w:val="16"/>
          <w:b w:val="1"/>
          <w:bCs w:val="1"/>
          <w:color w:val="auto"/>
        </w:rPr>
        <w:t>SECURITIES AND EXCHANGE COMMISSION</w:t>
      </w:r>
    </w:p>
    <w:p>
      <w:pPr>
        <w:spacing w:after="0" w:line="13" w:lineRule="exact"/>
        <w:rPr>
          <w:sz w:val="24"/>
          <w:szCs w:val="24"/>
          <w:color w:val="auto"/>
        </w:rPr>
      </w:pPr>
    </w:p>
    <w:p>
      <w:pPr>
        <w:jc w:val="center"/>
        <w:ind w:right="-1159"/>
        <w:spacing w:after="0"/>
        <w:rPr>
          <w:sz w:val="20"/>
          <w:szCs w:val="20"/>
          <w:color w:val="auto"/>
        </w:rPr>
      </w:pPr>
      <w:r>
        <w:rPr>
          <w:rFonts w:ascii="Arial" w:cs="Arial" w:eastAsia="Arial" w:hAnsi="Arial"/>
          <w:sz w:val="16"/>
          <w:szCs w:val="16"/>
          <w:b w:val="1"/>
          <w:bCs w:val="1"/>
          <w:color w:val="auto"/>
        </w:rPr>
        <w:t>Washington, D.C. 20549</w:t>
      </w:r>
    </w:p>
    <w:p>
      <w:pPr>
        <w:spacing w:after="0" w:line="187" w:lineRule="exact"/>
        <w:rPr>
          <w:sz w:val="24"/>
          <w:szCs w:val="24"/>
          <w:color w:val="auto"/>
        </w:rPr>
      </w:pPr>
    </w:p>
    <w:p>
      <w:pPr>
        <w:ind w:left="4880"/>
        <w:spacing w:after="0"/>
        <w:rPr>
          <w:sz w:val="20"/>
          <w:szCs w:val="20"/>
          <w:color w:val="auto"/>
        </w:rPr>
      </w:pPr>
      <w:r>
        <w:rPr>
          <w:rFonts w:ascii="Arial" w:cs="Arial" w:eastAsia="Arial" w:hAnsi="Arial"/>
          <w:sz w:val="22"/>
          <w:szCs w:val="22"/>
          <w:b w:val="1"/>
          <w:bCs w:val="1"/>
          <w:color w:val="auto"/>
        </w:rPr>
        <w:t>SCHEDULE 14A</w:t>
      </w:r>
    </w:p>
    <w:p>
      <w:pPr>
        <w:sectPr>
          <w:pgSz w:w="11900" w:h="16838" w:orient="portrait"/>
          <w:cols w:equalWidth="0" w:num="1">
            <w:col w:w="10260"/>
          </w:cols>
          <w:pgMar w:left="240" w:top="638" w:right="1399" w:bottom="1440" w:gutter="0" w:footer="0" w:header="0"/>
        </w:sectPr>
      </w:pPr>
    </w:p>
    <w:p>
      <w:pPr>
        <w:spacing w:after="0" w:line="219" w:lineRule="exact"/>
        <w:rPr>
          <w:sz w:val="24"/>
          <w:szCs w:val="24"/>
          <w:color w:val="auto"/>
        </w:rPr>
      </w:pPr>
    </w:p>
    <w:p>
      <w:pPr>
        <w:ind w:left="4260"/>
        <w:spacing w:after="0"/>
        <w:rPr>
          <w:sz w:val="20"/>
          <w:szCs w:val="20"/>
          <w:color w:val="auto"/>
        </w:rPr>
      </w:pPr>
      <w:r>
        <w:rPr>
          <w:rFonts w:ascii="Arial" w:cs="Arial" w:eastAsia="Arial" w:hAnsi="Arial"/>
          <w:sz w:val="14"/>
          <w:szCs w:val="14"/>
          <w:color w:val="auto"/>
        </w:rPr>
        <w:t>Proxy Statement Pursuant to Section 14(a) of</w:t>
      </w:r>
    </w:p>
    <w:p>
      <w:pPr>
        <w:spacing w:after="0" w:line="44" w:lineRule="exact"/>
        <w:rPr>
          <w:sz w:val="24"/>
          <w:szCs w:val="24"/>
          <w:color w:val="auto"/>
        </w:rPr>
      </w:pPr>
    </w:p>
    <w:p>
      <w:pPr>
        <w:ind w:left="3740"/>
        <w:spacing w:after="0"/>
        <w:rPr>
          <w:sz w:val="20"/>
          <w:szCs w:val="20"/>
          <w:color w:val="auto"/>
        </w:rPr>
      </w:pPr>
      <w:r>
        <w:rPr>
          <w:rFonts w:ascii="Arial" w:cs="Arial" w:eastAsia="Arial" w:hAnsi="Arial"/>
          <w:sz w:val="14"/>
          <w:szCs w:val="14"/>
          <w:color w:val="auto"/>
        </w:rPr>
        <w:t>the Securities Exchange Act of 1934 (Amendment No.</w:t>
      </w:r>
    </w:p>
    <w:p>
      <w:pPr>
        <w:spacing w:after="0" w:line="20" w:lineRule="exact"/>
        <w:rPr>
          <w:sz w:val="24"/>
          <w:szCs w:val="24"/>
          <w:color w:val="auto"/>
        </w:rPr>
      </w:pPr>
      <w:r>
        <w:rPr>
          <w:sz w:val="24"/>
          <w:szCs w:val="24"/>
          <w:color w:val="auto"/>
        </w:rPr>
        <w:br w:type="column"/>
      </w:r>
    </w:p>
    <w:p>
      <w:pPr>
        <w:spacing w:after="0" w:line="396" w:lineRule="exact"/>
        <w:rPr>
          <w:sz w:val="24"/>
          <w:szCs w:val="24"/>
          <w:color w:val="auto"/>
        </w:rPr>
      </w:pPr>
    </w:p>
    <w:p>
      <w:pPr>
        <w:spacing w:after="0"/>
        <w:rPr>
          <w:sz w:val="20"/>
          <w:szCs w:val="20"/>
          <w:color w:val="auto"/>
        </w:rPr>
      </w:pPr>
      <w:r>
        <w:rPr>
          <w:rFonts w:ascii="Arial" w:cs="Arial" w:eastAsia="Arial" w:hAnsi="Arial"/>
          <w:sz w:val="16"/>
          <w:szCs w:val="16"/>
          <w:color w:val="auto"/>
        </w:rPr>
        <w:t>)</w:t>
      </w:r>
    </w:p>
    <w:p>
      <w:pPr>
        <w:spacing w:after="0" w:line="181" w:lineRule="exact"/>
        <w:rPr>
          <w:sz w:val="24"/>
          <w:szCs w:val="24"/>
          <w:color w:val="auto"/>
        </w:rPr>
      </w:pPr>
    </w:p>
    <w:p>
      <w:pPr>
        <w:sectPr>
          <w:pgSz w:w="11900" w:h="16838" w:orient="portrait"/>
          <w:cols w:equalWidth="0" w:num="2">
            <w:col w:w="7240" w:space="400"/>
            <w:col w:w="2620"/>
          </w:cols>
          <w:pgMar w:left="240" w:top="638" w:right="1399" w:bottom="1440" w:gutter="0" w:footer="0" w:header="0"/>
          <w:type w:val="continuous"/>
        </w:sectPr>
      </w:pPr>
    </w:p>
    <w:p>
      <w:pPr>
        <w:ind w:left="1140"/>
        <w:spacing w:after="0" w:line="184" w:lineRule="exact"/>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p>
    <w:p>
      <w:pPr>
        <w:spacing w:after="0" w:line="265" w:lineRule="exact"/>
        <w:rPr>
          <w:sz w:val="24"/>
          <w:szCs w:val="24"/>
          <w:color w:val="auto"/>
        </w:rPr>
      </w:pPr>
    </w:p>
    <w:p>
      <w:pPr>
        <w:ind w:left="1140"/>
        <w:spacing w:after="0"/>
        <w:rPr>
          <w:sz w:val="20"/>
          <w:szCs w:val="20"/>
          <w:color w:val="auto"/>
        </w:rPr>
      </w:pPr>
      <w:r>
        <w:rPr>
          <w:rFonts w:ascii="Arial" w:cs="Arial" w:eastAsia="Arial" w:hAnsi="Arial"/>
          <w:sz w:val="14"/>
          <w:szCs w:val="14"/>
          <w:color w:val="auto"/>
        </w:rPr>
        <w:t>Filed by a Party other than the Registrant o</w:t>
      </w:r>
    </w:p>
    <w:p>
      <w:pPr>
        <w:spacing w:after="0" w:line="234" w:lineRule="exact"/>
        <w:rPr>
          <w:sz w:val="24"/>
          <w:szCs w:val="24"/>
          <w:color w:val="auto"/>
        </w:rPr>
      </w:pPr>
    </w:p>
    <w:p>
      <w:pPr>
        <w:ind w:left="1140"/>
        <w:spacing w:after="0"/>
        <w:rPr>
          <w:sz w:val="20"/>
          <w:szCs w:val="20"/>
          <w:color w:val="auto"/>
        </w:rPr>
      </w:pPr>
      <w:r>
        <w:rPr>
          <w:rFonts w:ascii="Arial" w:cs="Arial" w:eastAsia="Arial" w:hAnsi="Arial"/>
          <w:sz w:val="16"/>
          <w:szCs w:val="16"/>
          <w:color w:val="auto"/>
        </w:rPr>
        <w:t>Check the appropriate box:</w:t>
      </w:r>
    </w:p>
    <w:p>
      <w:pPr>
        <w:sectPr>
          <w:pgSz w:w="11900" w:h="16838" w:orient="portrait"/>
          <w:cols w:equalWidth="0" w:num="1">
            <w:col w:w="10260"/>
          </w:cols>
          <w:pgMar w:left="240" w:top="638" w:right="1399" w:bottom="1440" w:gutter="0" w:footer="0" w:header="0"/>
          <w:type w:val="continuous"/>
        </w:sectPr>
      </w:pPr>
    </w:p>
    <w:p>
      <w:pPr>
        <w:spacing w:after="0" w:line="235" w:lineRule="exact"/>
        <w:rPr>
          <w:sz w:val="24"/>
          <w:szCs w:val="24"/>
          <w:color w:val="auto"/>
        </w:rPr>
      </w:pPr>
    </w:p>
    <w:p>
      <w:pPr>
        <w:ind w:left="1140"/>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215" w:lineRule="exact"/>
        <w:rPr>
          <w:sz w:val="24"/>
          <w:szCs w:val="24"/>
          <w:color w:val="auto"/>
        </w:rPr>
      </w:pPr>
    </w:p>
    <w:p>
      <w:pPr>
        <w:spacing w:after="0"/>
        <w:rPr>
          <w:sz w:val="20"/>
          <w:szCs w:val="20"/>
          <w:color w:val="auto"/>
        </w:rPr>
      </w:pPr>
      <w:r>
        <w:rPr>
          <w:rFonts w:ascii="Arial" w:cs="Arial" w:eastAsia="Arial" w:hAnsi="Arial"/>
          <w:sz w:val="14"/>
          <w:szCs w:val="14"/>
          <w:color w:val="auto"/>
        </w:rPr>
        <w:t>Preliminary Proxy Statement</w:t>
      </w:r>
    </w:p>
    <w:p>
      <w:pPr>
        <w:spacing w:after="0" w:line="200" w:lineRule="exact"/>
        <w:rPr>
          <w:sz w:val="24"/>
          <w:szCs w:val="24"/>
          <w:color w:val="auto"/>
        </w:rPr>
      </w:pPr>
    </w:p>
    <w:p>
      <w:pPr>
        <w:sectPr>
          <w:pgSz w:w="11900" w:h="16838" w:orient="portrait"/>
          <w:cols w:equalWidth="0" w:num="2">
            <w:col w:w="1220" w:space="280"/>
            <w:col w:w="8760"/>
          </w:cols>
          <w:pgMar w:left="240" w:top="638" w:right="1399" w:bottom="1440" w:gutter="0" w:footer="0" w:header="0"/>
          <w:type w:val="continuous"/>
        </w:sectPr>
      </w:pPr>
    </w:p>
    <w:p>
      <w:pPr>
        <w:spacing w:after="0" w:line="58" w:lineRule="exact"/>
        <w:rPr>
          <w:sz w:val="24"/>
          <w:szCs w:val="24"/>
          <w:color w:val="auto"/>
        </w:rPr>
      </w:pPr>
    </w:p>
    <w:p>
      <w:pPr>
        <w:ind w:left="1140"/>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3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Confidential, for Use of the Commission Only (as permitted by Rule 14a-6(e)(2))</w:t>
      </w:r>
    </w:p>
    <w:p>
      <w:pPr>
        <w:spacing w:after="0" w:line="204" w:lineRule="exact"/>
        <w:rPr>
          <w:sz w:val="24"/>
          <w:szCs w:val="24"/>
          <w:color w:val="auto"/>
        </w:rPr>
      </w:pPr>
    </w:p>
    <w:p>
      <w:pPr>
        <w:sectPr>
          <w:pgSz w:w="11900" w:h="16838" w:orient="portrait"/>
          <w:cols w:equalWidth="0" w:num="2">
            <w:col w:w="1220" w:space="280"/>
            <w:col w:w="8760"/>
          </w:cols>
          <w:pgMar w:left="240" w:top="638" w:right="1399" w:bottom="1440" w:gutter="0" w:footer="0" w:header="0"/>
          <w:type w:val="continuous"/>
        </w:sectPr>
      </w:pPr>
    </w:p>
    <w:p>
      <w:pPr>
        <w:spacing w:after="0" w:line="28" w:lineRule="exact"/>
        <w:rPr>
          <w:sz w:val="24"/>
          <w:szCs w:val="24"/>
          <w:color w:val="auto"/>
        </w:rPr>
      </w:pPr>
    </w:p>
    <w:p>
      <w:pPr>
        <w:ind w:left="1140"/>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38" w:lineRule="exact"/>
        <w:rPr>
          <w:sz w:val="24"/>
          <w:szCs w:val="24"/>
          <w:color w:val="auto"/>
        </w:rPr>
      </w:pPr>
    </w:p>
    <w:p>
      <w:pPr>
        <w:spacing w:after="0"/>
        <w:rPr>
          <w:sz w:val="20"/>
          <w:szCs w:val="20"/>
          <w:color w:val="auto"/>
        </w:rPr>
      </w:pPr>
      <w:r>
        <w:rPr>
          <w:rFonts w:ascii="Arial" w:cs="Arial" w:eastAsia="Arial" w:hAnsi="Arial"/>
          <w:sz w:val="14"/>
          <w:szCs w:val="14"/>
          <w:color w:val="auto"/>
        </w:rPr>
        <w:t>Definitive Proxy Statement</w:t>
      </w:r>
    </w:p>
    <w:p>
      <w:pPr>
        <w:spacing w:after="0" w:line="200" w:lineRule="exact"/>
        <w:rPr>
          <w:sz w:val="24"/>
          <w:szCs w:val="24"/>
          <w:color w:val="auto"/>
        </w:rPr>
      </w:pPr>
    </w:p>
    <w:p>
      <w:pPr>
        <w:sectPr>
          <w:pgSz w:w="11900" w:h="16838" w:orient="portrait"/>
          <w:cols w:equalWidth="0" w:num="2">
            <w:col w:w="1280" w:space="220"/>
            <w:col w:w="8760"/>
          </w:cols>
          <w:pgMar w:left="240" w:top="638" w:right="1399" w:bottom="1440" w:gutter="0" w:footer="0" w:header="0"/>
          <w:type w:val="continuous"/>
        </w:sectPr>
      </w:pPr>
    </w:p>
    <w:p>
      <w:pPr>
        <w:spacing w:after="0" w:line="58" w:lineRule="exact"/>
        <w:rPr>
          <w:sz w:val="24"/>
          <w:szCs w:val="24"/>
          <w:color w:val="auto"/>
        </w:rPr>
      </w:pPr>
    </w:p>
    <w:p>
      <w:pPr>
        <w:ind w:left="1140"/>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38" w:lineRule="exact"/>
        <w:rPr>
          <w:sz w:val="24"/>
          <w:szCs w:val="24"/>
          <w:color w:val="auto"/>
        </w:rPr>
      </w:pPr>
    </w:p>
    <w:p>
      <w:pPr>
        <w:spacing w:after="0"/>
        <w:rPr>
          <w:sz w:val="20"/>
          <w:szCs w:val="20"/>
          <w:color w:val="auto"/>
        </w:rPr>
      </w:pPr>
      <w:r>
        <w:rPr>
          <w:rFonts w:ascii="Arial" w:cs="Arial" w:eastAsia="Arial" w:hAnsi="Arial"/>
          <w:sz w:val="15"/>
          <w:szCs w:val="15"/>
          <w:color w:val="auto"/>
        </w:rPr>
        <w:t>Definitive Additional Materials</w:t>
      </w:r>
    </w:p>
    <w:p>
      <w:pPr>
        <w:spacing w:after="0" w:line="200" w:lineRule="exact"/>
        <w:rPr>
          <w:sz w:val="24"/>
          <w:szCs w:val="24"/>
          <w:color w:val="auto"/>
        </w:rPr>
      </w:pPr>
    </w:p>
    <w:p>
      <w:pPr>
        <w:sectPr>
          <w:pgSz w:w="11900" w:h="16838" w:orient="portrait"/>
          <w:cols w:equalWidth="0" w:num="2">
            <w:col w:w="1220" w:space="280"/>
            <w:col w:w="8760"/>
          </w:cols>
          <w:pgMar w:left="240" w:top="638" w:right="1399" w:bottom="1440" w:gutter="0" w:footer="0" w:header="0"/>
          <w:type w:val="continuous"/>
        </w:sectPr>
      </w:pPr>
    </w:p>
    <w:p>
      <w:pPr>
        <w:spacing w:after="0" w:line="47" w:lineRule="exact"/>
        <w:rPr>
          <w:sz w:val="24"/>
          <w:szCs w:val="24"/>
          <w:color w:val="auto"/>
        </w:rPr>
      </w:pPr>
    </w:p>
    <w:p>
      <w:pPr>
        <w:ind w:left="1140"/>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27" w:lineRule="exact"/>
        <w:rPr>
          <w:sz w:val="24"/>
          <w:szCs w:val="24"/>
          <w:color w:val="auto"/>
        </w:rPr>
      </w:pPr>
    </w:p>
    <w:p>
      <w:pPr>
        <w:spacing w:after="0"/>
        <w:rPr>
          <w:sz w:val="20"/>
          <w:szCs w:val="20"/>
          <w:color w:val="auto"/>
        </w:rPr>
      </w:pPr>
      <w:r>
        <w:rPr>
          <w:rFonts w:ascii="Arial" w:cs="Arial" w:eastAsia="Arial" w:hAnsi="Arial"/>
          <w:sz w:val="14"/>
          <w:szCs w:val="14"/>
          <w:color w:val="auto"/>
        </w:rPr>
        <w:t>Soliciting Material under §240.14a-12</w:t>
      </w:r>
    </w:p>
    <w:p>
      <w:pPr>
        <w:spacing w:after="0" w:line="200" w:lineRule="exact"/>
        <w:rPr>
          <w:sz w:val="24"/>
          <w:szCs w:val="24"/>
          <w:color w:val="auto"/>
        </w:rPr>
      </w:pPr>
    </w:p>
    <w:p>
      <w:pPr>
        <w:sectPr>
          <w:pgSz w:w="11900" w:h="16838" w:orient="portrait"/>
          <w:cols w:equalWidth="0" w:num="2">
            <w:col w:w="1220" w:space="280"/>
            <w:col w:w="8760"/>
          </w:cols>
          <w:pgMar w:left="240" w:top="638" w:right="1399" w:bottom="1440" w:gutter="0" w:footer="0" w:header="0"/>
          <w:type w:val="continuous"/>
        </w:sectPr>
      </w:pPr>
    </w:p>
    <w:p>
      <w:pPr>
        <w:spacing w:after="0" w:line="200" w:lineRule="exact"/>
        <w:rPr>
          <w:sz w:val="24"/>
          <w:szCs w:val="24"/>
          <w:color w:val="auto"/>
        </w:rPr>
      </w:pPr>
    </w:p>
    <w:p>
      <w:pPr>
        <w:spacing w:after="0" w:line="224" w:lineRule="exact"/>
        <w:rPr>
          <w:sz w:val="24"/>
          <w:szCs w:val="24"/>
          <w:color w:val="auto"/>
        </w:rPr>
      </w:pPr>
    </w:p>
    <w:p>
      <w:pPr>
        <w:ind w:left="4120"/>
        <w:spacing w:after="0"/>
        <w:rPr>
          <w:sz w:val="20"/>
          <w:szCs w:val="20"/>
          <w:color w:val="auto"/>
        </w:rPr>
      </w:pPr>
      <w:r>
        <w:rPr>
          <w:rFonts w:ascii="Arial" w:cs="Arial" w:eastAsia="Arial" w:hAnsi="Arial"/>
          <w:sz w:val="16"/>
          <w:szCs w:val="16"/>
          <w:b w:val="1"/>
          <w:bCs w:val="1"/>
          <w:color w:val="auto"/>
        </w:rPr>
        <w:t>WORLD FUEL SERVICES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727075</wp:posOffset>
            </wp:positionH>
            <wp:positionV relativeFrom="paragraph">
              <wp:posOffset>71120</wp:posOffset>
            </wp:positionV>
            <wp:extent cx="581787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7870" cy="7620"/>
                    </a:xfrm>
                    <a:prstGeom prst="rect">
                      <a:avLst/>
                    </a:prstGeom>
                    <a:noFill/>
                  </pic:spPr>
                </pic:pic>
              </a:graphicData>
            </a:graphic>
          </wp:anchor>
        </w:drawing>
      </w:r>
    </w:p>
    <w:p>
      <w:pPr>
        <w:spacing w:after="0" w:line="170" w:lineRule="exact"/>
        <w:rPr>
          <w:sz w:val="24"/>
          <w:szCs w:val="24"/>
          <w:color w:val="auto"/>
        </w:rPr>
      </w:pPr>
    </w:p>
    <w:p>
      <w:pPr>
        <w:ind w:left="4180"/>
        <w:spacing w:after="0"/>
        <w:rPr>
          <w:sz w:val="20"/>
          <w:szCs w:val="20"/>
          <w:color w:val="auto"/>
        </w:rPr>
      </w:pPr>
      <w:r>
        <w:rPr>
          <w:rFonts w:ascii="Arial" w:cs="Arial" w:eastAsia="Arial" w:hAnsi="Arial"/>
          <w:sz w:val="16"/>
          <w:szCs w:val="16"/>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727075</wp:posOffset>
            </wp:positionH>
            <wp:positionV relativeFrom="paragraph">
              <wp:posOffset>335280</wp:posOffset>
            </wp:positionV>
            <wp:extent cx="581787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7870" cy="7620"/>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ind w:left="1140"/>
        <w:spacing w:after="0"/>
        <w:rPr>
          <w:sz w:val="20"/>
          <w:szCs w:val="20"/>
          <w:color w:val="auto"/>
        </w:rPr>
      </w:pPr>
      <w:r>
        <w:rPr>
          <w:rFonts w:ascii="Arial" w:cs="Arial" w:eastAsia="Arial" w:hAnsi="Arial"/>
          <w:sz w:val="16"/>
          <w:szCs w:val="16"/>
          <w:color w:val="auto"/>
        </w:rPr>
        <w:t>(Name of Person(s) Filing Proxy Statement, if other than the Registrant)</w:t>
      </w:r>
    </w:p>
    <w:p>
      <w:pPr>
        <w:spacing w:after="0" w:line="211" w:lineRule="exact"/>
        <w:rPr>
          <w:sz w:val="24"/>
          <w:szCs w:val="24"/>
          <w:color w:val="auto"/>
        </w:rPr>
      </w:pPr>
    </w:p>
    <w:p>
      <w:pPr>
        <w:ind w:left="1140"/>
        <w:spacing w:after="0"/>
        <w:rPr>
          <w:sz w:val="20"/>
          <w:szCs w:val="20"/>
          <w:color w:val="auto"/>
        </w:rPr>
      </w:pPr>
      <w:r>
        <w:rPr>
          <w:rFonts w:ascii="Arial" w:cs="Arial" w:eastAsia="Arial" w:hAnsi="Arial"/>
          <w:sz w:val="16"/>
          <w:szCs w:val="16"/>
          <w:color w:val="auto"/>
        </w:rPr>
        <w:t>Payment of Filing Fee (Check the appropriate box):</w:t>
      </w:r>
    </w:p>
    <w:p>
      <w:pPr>
        <w:spacing w:after="0" w:line="235" w:lineRule="exact"/>
        <w:rPr>
          <w:sz w:val="24"/>
          <w:szCs w:val="24"/>
          <w:color w:val="auto"/>
        </w:rPr>
      </w:pPr>
    </w:p>
    <w:p>
      <w:pPr>
        <w:ind w:left="1500" w:hanging="355"/>
        <w:spacing w:after="0"/>
        <w:tabs>
          <w:tab w:leader="none" w:pos="15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No fee required.</w:t>
      </w:r>
    </w:p>
    <w:p>
      <w:pPr>
        <w:spacing w:after="0" w:line="235" w:lineRule="exact"/>
        <w:rPr>
          <w:sz w:val="24"/>
          <w:szCs w:val="24"/>
          <w:color w:val="auto"/>
        </w:rPr>
      </w:pPr>
    </w:p>
    <w:p>
      <w:pPr>
        <w:ind w:left="1500" w:hanging="355"/>
        <w:spacing w:after="0"/>
        <w:tabs>
          <w:tab w:leader="none" w:pos="1500" w:val="left"/>
        </w:tabs>
        <w:numPr>
          <w:ilvl w:val="0"/>
          <w:numId w:val="2"/>
        </w:numPr>
        <w:rPr>
          <w:rFonts w:ascii="Arial" w:cs="Arial" w:eastAsia="Arial" w:hAnsi="Arial"/>
          <w:sz w:val="16"/>
          <w:szCs w:val="16"/>
          <w:color w:val="auto"/>
        </w:rPr>
      </w:pPr>
      <w:r>
        <w:rPr>
          <w:rFonts w:ascii="Arial" w:cs="Arial" w:eastAsia="Arial" w:hAnsi="Arial"/>
          <w:sz w:val="16"/>
          <w:szCs w:val="16"/>
          <w:color w:val="auto"/>
        </w:rPr>
        <w:t>Fee computed on table below per Exchange Act Rules 14a-6(i)(1) and 0-11.</w:t>
      </w:r>
    </w:p>
    <w:p>
      <w:pPr>
        <w:spacing w:after="0" w:line="20" w:lineRule="exact"/>
        <w:rPr>
          <w:rFonts w:ascii="Arial" w:cs="Arial" w:eastAsia="Arial" w:hAnsi="Arial"/>
          <w:sz w:val="16"/>
          <w:szCs w:val="16"/>
          <w:color w:val="auto"/>
        </w:rPr>
      </w:pPr>
    </w:p>
    <w:p>
      <w:pPr>
        <w:ind w:left="1900" w:hanging="397"/>
        <w:spacing w:after="0"/>
        <w:tabs>
          <w:tab w:leader="none" w:pos="1900" w:val="left"/>
        </w:tabs>
        <w:numPr>
          <w:ilvl w:val="1"/>
          <w:numId w:val="2"/>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w:t>
      </w:r>
    </w:p>
    <w:p>
      <w:pPr>
        <w:spacing w:after="0" w:line="240" w:lineRule="exact"/>
        <w:rPr>
          <w:rFonts w:ascii="Arial" w:cs="Arial" w:eastAsia="Arial" w:hAnsi="Arial"/>
          <w:sz w:val="16"/>
          <w:szCs w:val="16"/>
          <w:color w:val="auto"/>
        </w:rPr>
      </w:pPr>
    </w:p>
    <w:p>
      <w:pPr>
        <w:ind w:left="1900" w:hanging="397"/>
        <w:spacing w:after="0"/>
        <w:tabs>
          <w:tab w:leader="none" w:pos="1900" w:val="left"/>
        </w:tabs>
        <w:numPr>
          <w:ilvl w:val="1"/>
          <w:numId w:val="2"/>
        </w:numPr>
        <w:rPr>
          <w:rFonts w:ascii="Arial" w:cs="Arial" w:eastAsia="Arial" w:hAnsi="Arial"/>
          <w:sz w:val="16"/>
          <w:szCs w:val="16"/>
          <w:color w:val="auto"/>
        </w:rPr>
      </w:pPr>
      <w:r>
        <w:rPr>
          <w:rFonts w:ascii="Arial" w:cs="Arial" w:eastAsia="Arial" w:hAnsi="Arial"/>
          <w:sz w:val="16"/>
          <w:szCs w:val="16"/>
          <w:color w:val="auto"/>
        </w:rPr>
        <w:t>Aggregate number of securities to which transaction applies:</w:t>
      </w:r>
    </w:p>
    <w:p>
      <w:pPr>
        <w:spacing w:after="0" w:line="247" w:lineRule="exact"/>
        <w:rPr>
          <w:rFonts w:ascii="Arial" w:cs="Arial" w:eastAsia="Arial" w:hAnsi="Arial"/>
          <w:sz w:val="16"/>
          <w:szCs w:val="16"/>
          <w:color w:val="auto"/>
        </w:rPr>
      </w:pPr>
    </w:p>
    <w:p>
      <w:pPr>
        <w:ind w:left="1900" w:right="300" w:hanging="397"/>
        <w:spacing w:after="0" w:line="284" w:lineRule="auto"/>
        <w:tabs>
          <w:tab w:leader="none" w:pos="1900" w:val="left"/>
        </w:tabs>
        <w:numPr>
          <w:ilvl w:val="1"/>
          <w:numId w:val="2"/>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spacing w:after="0" w:line="193" w:lineRule="exact"/>
        <w:rPr>
          <w:rFonts w:ascii="Arial" w:cs="Arial" w:eastAsia="Arial" w:hAnsi="Arial"/>
          <w:sz w:val="16"/>
          <w:szCs w:val="16"/>
          <w:color w:val="auto"/>
        </w:rPr>
      </w:pPr>
    </w:p>
    <w:p>
      <w:pPr>
        <w:ind w:left="1900" w:hanging="397"/>
        <w:spacing w:after="0"/>
        <w:tabs>
          <w:tab w:leader="none" w:pos="1900" w:val="left"/>
        </w:tabs>
        <w:numPr>
          <w:ilvl w:val="1"/>
          <w:numId w:val="2"/>
        </w:numPr>
        <w:rPr>
          <w:rFonts w:ascii="Arial" w:cs="Arial" w:eastAsia="Arial" w:hAnsi="Arial"/>
          <w:sz w:val="16"/>
          <w:szCs w:val="16"/>
          <w:color w:val="auto"/>
        </w:rPr>
      </w:pPr>
      <w:r>
        <w:rPr>
          <w:rFonts w:ascii="Arial" w:cs="Arial" w:eastAsia="Arial" w:hAnsi="Arial"/>
          <w:sz w:val="16"/>
          <w:szCs w:val="16"/>
          <w:color w:val="auto"/>
        </w:rPr>
        <w:t>Proposed maximum aggregate value of transaction:</w:t>
      </w:r>
    </w:p>
    <w:p>
      <w:pPr>
        <w:spacing w:after="0" w:line="247" w:lineRule="exact"/>
        <w:rPr>
          <w:rFonts w:ascii="Arial" w:cs="Arial" w:eastAsia="Arial" w:hAnsi="Arial"/>
          <w:sz w:val="16"/>
          <w:szCs w:val="16"/>
          <w:color w:val="auto"/>
        </w:rPr>
      </w:pPr>
    </w:p>
    <w:p>
      <w:pPr>
        <w:ind w:left="1900" w:hanging="397"/>
        <w:spacing w:after="0"/>
        <w:tabs>
          <w:tab w:leader="none" w:pos="1900" w:val="left"/>
        </w:tabs>
        <w:numPr>
          <w:ilvl w:val="1"/>
          <w:numId w:val="2"/>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200" w:lineRule="exact"/>
        <w:rPr>
          <w:rFonts w:ascii="Arial" w:cs="Arial" w:eastAsia="Arial" w:hAnsi="Arial"/>
          <w:sz w:val="16"/>
          <w:szCs w:val="16"/>
          <w:color w:val="auto"/>
        </w:rPr>
      </w:pPr>
    </w:p>
    <w:p>
      <w:pPr>
        <w:spacing w:after="0" w:line="269" w:lineRule="exact"/>
        <w:rPr>
          <w:rFonts w:ascii="Arial" w:cs="Arial" w:eastAsia="Arial" w:hAnsi="Arial"/>
          <w:sz w:val="16"/>
          <w:szCs w:val="16"/>
          <w:color w:val="auto"/>
        </w:rPr>
      </w:pPr>
    </w:p>
    <w:p>
      <w:pPr>
        <w:ind w:left="1500" w:hanging="355"/>
        <w:spacing w:after="0"/>
        <w:tabs>
          <w:tab w:leader="none" w:pos="1500" w:val="left"/>
        </w:tabs>
        <w:numPr>
          <w:ilvl w:val="0"/>
          <w:numId w:val="2"/>
        </w:numPr>
        <w:rPr>
          <w:rFonts w:ascii="Arial" w:cs="Arial" w:eastAsia="Arial" w:hAnsi="Arial"/>
          <w:sz w:val="16"/>
          <w:szCs w:val="16"/>
          <w:color w:val="auto"/>
        </w:rPr>
      </w:pPr>
      <w:r>
        <w:rPr>
          <w:rFonts w:ascii="Arial" w:cs="Arial" w:eastAsia="Arial" w:hAnsi="Arial"/>
          <w:sz w:val="16"/>
          <w:szCs w:val="16"/>
          <w:color w:val="auto"/>
        </w:rPr>
        <w:t>Fee paid previously with preliminary materials.</w:t>
      </w:r>
    </w:p>
    <w:p>
      <w:pPr>
        <w:spacing w:after="0" w:line="235" w:lineRule="exact"/>
        <w:rPr>
          <w:rFonts w:ascii="Arial" w:cs="Arial" w:eastAsia="Arial" w:hAnsi="Arial"/>
          <w:sz w:val="16"/>
          <w:szCs w:val="16"/>
          <w:color w:val="auto"/>
        </w:rPr>
      </w:pPr>
    </w:p>
    <w:p>
      <w:pPr>
        <w:ind w:left="1500" w:hanging="355"/>
        <w:spacing w:after="0" w:line="359" w:lineRule="auto"/>
        <w:tabs>
          <w:tab w:leader="none" w:pos="1500" w:val="left"/>
        </w:tabs>
        <w:numPr>
          <w:ilvl w:val="0"/>
          <w:numId w:val="2"/>
        </w:numPr>
        <w:rPr>
          <w:rFonts w:ascii="Arial" w:cs="Arial" w:eastAsia="Arial" w:hAnsi="Arial"/>
          <w:sz w:val="14"/>
          <w:szCs w:val="14"/>
          <w:color w:val="auto"/>
        </w:rPr>
      </w:pPr>
      <w:r>
        <w:rPr>
          <w:rFonts w:ascii="Arial" w:cs="Arial" w:eastAsia="Arial" w:hAnsi="Arial"/>
          <w:sz w:val="14"/>
          <w:szCs w:val="14"/>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34" w:lineRule="exact"/>
        <w:rPr>
          <w:rFonts w:ascii="Arial" w:cs="Arial" w:eastAsia="Arial" w:hAnsi="Arial"/>
          <w:sz w:val="14"/>
          <w:szCs w:val="14"/>
          <w:color w:val="auto"/>
        </w:rPr>
      </w:pPr>
    </w:p>
    <w:p>
      <w:pPr>
        <w:ind w:left="1900" w:hanging="397"/>
        <w:spacing w:after="0"/>
        <w:tabs>
          <w:tab w:leader="none" w:pos="1900" w:val="left"/>
        </w:tabs>
        <w:numPr>
          <w:ilvl w:val="1"/>
          <w:numId w:val="2"/>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247" w:lineRule="exact"/>
        <w:rPr>
          <w:rFonts w:ascii="Arial" w:cs="Arial" w:eastAsia="Arial" w:hAnsi="Arial"/>
          <w:sz w:val="16"/>
          <w:szCs w:val="16"/>
          <w:color w:val="auto"/>
        </w:rPr>
      </w:pPr>
    </w:p>
    <w:p>
      <w:pPr>
        <w:ind w:left="1900" w:hanging="397"/>
        <w:spacing w:after="0"/>
        <w:tabs>
          <w:tab w:leader="none" w:pos="1900" w:val="left"/>
        </w:tabs>
        <w:numPr>
          <w:ilvl w:val="1"/>
          <w:numId w:val="2"/>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247" w:lineRule="exact"/>
        <w:rPr>
          <w:rFonts w:ascii="Arial" w:cs="Arial" w:eastAsia="Arial" w:hAnsi="Arial"/>
          <w:sz w:val="16"/>
          <w:szCs w:val="16"/>
          <w:color w:val="auto"/>
        </w:rPr>
      </w:pPr>
    </w:p>
    <w:p>
      <w:pPr>
        <w:ind w:left="1900" w:hanging="397"/>
        <w:spacing w:after="0"/>
        <w:tabs>
          <w:tab w:leader="none" w:pos="1900" w:val="left"/>
        </w:tabs>
        <w:numPr>
          <w:ilvl w:val="1"/>
          <w:numId w:val="2"/>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247" w:lineRule="exact"/>
        <w:rPr>
          <w:rFonts w:ascii="Arial" w:cs="Arial" w:eastAsia="Arial" w:hAnsi="Arial"/>
          <w:sz w:val="16"/>
          <w:szCs w:val="16"/>
          <w:color w:val="auto"/>
        </w:rPr>
      </w:pPr>
    </w:p>
    <w:p>
      <w:pPr>
        <w:ind w:left="1900" w:hanging="397"/>
        <w:spacing w:after="0"/>
        <w:tabs>
          <w:tab w:leader="none" w:pos="1900" w:val="left"/>
        </w:tabs>
        <w:numPr>
          <w:ilvl w:val="1"/>
          <w:numId w:val="2"/>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222885</wp:posOffset>
            </wp:positionV>
            <wp:extent cx="7263130" cy="20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130" cy="20320"/>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-2961005</wp:posOffset>
            </wp:positionV>
            <wp:extent cx="532447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324475" cy="7620"/>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-2686685</wp:posOffset>
            </wp:positionV>
            <wp:extent cx="532447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324475" cy="7620"/>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-2287270</wp:posOffset>
            </wp:positionV>
            <wp:extent cx="532447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324475" cy="7620"/>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-2013585</wp:posOffset>
            </wp:positionV>
            <wp:extent cx="532447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324475" cy="7620"/>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-1739265</wp:posOffset>
            </wp:positionV>
            <wp:extent cx="532447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324475" cy="7620"/>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-666750</wp:posOffset>
            </wp:positionV>
            <wp:extent cx="532447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324475" cy="7620"/>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-392430</wp:posOffset>
            </wp:positionV>
            <wp:extent cx="532447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324475" cy="7620"/>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-118110</wp:posOffset>
            </wp:positionV>
            <wp:extent cx="532447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324475" cy="7620"/>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154940</wp:posOffset>
            </wp:positionV>
            <wp:extent cx="532447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324475" cy="7620"/>
                    </a:xfrm>
                    <a:prstGeom prst="rect">
                      <a:avLst/>
                    </a:prstGeom>
                    <a:noFill/>
                  </pic:spPr>
                </pic:pic>
              </a:graphicData>
            </a:graphic>
          </wp:anchor>
        </w:drawing>
      </w:r>
    </w:p>
    <w:p>
      <w:pPr>
        <w:sectPr>
          <w:pgSz w:w="11900" w:h="16838" w:orient="portrait"/>
          <w:cols w:equalWidth="0" w:num="1">
            <w:col w:w="10260"/>
          </w:cols>
          <w:pgMar w:left="240" w:top="638" w:right="1399" w:bottom="1440" w:gutter="0" w:footer="0" w:header="0"/>
          <w:type w:val="continuous"/>
        </w:sectPr>
      </w:pPr>
    </w:p>
    <w:bookmarkStart w:id="1" w:name="page2"/>
    <w:bookmarkEnd w:id="1"/>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2833370</wp:posOffset>
            </wp:positionH>
            <wp:positionV relativeFrom="paragraph">
              <wp:posOffset>139065</wp:posOffset>
            </wp:positionV>
            <wp:extent cx="1597025" cy="7753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97025" cy="775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WORLD FUEL SERVICES CORPORATION</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9800 Northwest 41st Street</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Miami, Florida 33178</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NOTICE OF ANNUAL MEETING OF SHAREHOLDERS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TO BE HELD MAY 24, 2018</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April 13, 2018</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4"/>
          <w:szCs w:val="14"/>
          <w:color w:val="auto"/>
        </w:rPr>
        <w:t>Notice is hereby given that the Annual Meeting of Shareholders of WORLD FUEL SERVICES CORPORATION will be held on Thursday, May 24, 2018, at 8:00 a.m.,</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Eastern Time, at the offices of Chadbourne &amp; Parke LLP located at 1301 Avenue of the Americas, New York, NY 10019 for the following purposes:</w:t>
      </w:r>
    </w:p>
    <w:p>
      <w:pPr>
        <w:spacing w:after="0" w:line="215" w:lineRule="exact"/>
        <w:rPr>
          <w:sz w:val="20"/>
          <w:szCs w:val="20"/>
          <w:color w:val="auto"/>
        </w:rPr>
      </w:pPr>
    </w:p>
    <w:p>
      <w:pPr>
        <w:ind w:left="980" w:hanging="488"/>
        <w:spacing w:after="0"/>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To elect as directors the nine nominees named in the attached proxy statement;</w:t>
      </w:r>
    </w:p>
    <w:p>
      <w:pPr>
        <w:spacing w:after="0" w:line="235" w:lineRule="exact"/>
        <w:rPr>
          <w:rFonts w:ascii="Arial" w:cs="Arial" w:eastAsia="Arial" w:hAnsi="Arial"/>
          <w:sz w:val="16"/>
          <w:szCs w:val="16"/>
          <w:color w:val="auto"/>
        </w:rPr>
      </w:pPr>
    </w:p>
    <w:p>
      <w:pPr>
        <w:ind w:left="980" w:hanging="488"/>
        <w:spacing w:after="0"/>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To conduct a non-binding, advisory vote on executive compensation;</w:t>
      </w:r>
    </w:p>
    <w:p>
      <w:pPr>
        <w:spacing w:after="0" w:line="222" w:lineRule="exact"/>
        <w:rPr>
          <w:rFonts w:ascii="Arial" w:cs="Arial" w:eastAsia="Arial" w:hAnsi="Arial"/>
          <w:sz w:val="16"/>
          <w:szCs w:val="16"/>
          <w:color w:val="auto"/>
        </w:rPr>
      </w:pPr>
    </w:p>
    <w:p>
      <w:pPr>
        <w:ind w:left="980" w:hanging="488"/>
        <w:spacing w:after="0"/>
        <w:tabs>
          <w:tab w:leader="none" w:pos="980" w:val="left"/>
        </w:tabs>
        <w:numPr>
          <w:ilvl w:val="0"/>
          <w:numId w:val="3"/>
        </w:numPr>
        <w:rPr>
          <w:rFonts w:ascii="Arial" w:cs="Arial" w:eastAsia="Arial" w:hAnsi="Arial"/>
          <w:sz w:val="15"/>
          <w:szCs w:val="15"/>
          <w:color w:val="auto"/>
        </w:rPr>
      </w:pPr>
      <w:r>
        <w:rPr>
          <w:rFonts w:ascii="Arial" w:cs="Arial" w:eastAsia="Arial" w:hAnsi="Arial"/>
          <w:sz w:val="15"/>
          <w:szCs w:val="15"/>
          <w:color w:val="auto"/>
        </w:rPr>
        <w:t>To ratify the appointment of PricewaterhouseCoopers LLP as our independent registered certified public accounting firm for the 2018 fiscal year; and</w:t>
      </w:r>
    </w:p>
    <w:p>
      <w:pPr>
        <w:spacing w:after="0" w:line="234" w:lineRule="exact"/>
        <w:rPr>
          <w:rFonts w:ascii="Arial" w:cs="Arial" w:eastAsia="Arial" w:hAnsi="Arial"/>
          <w:sz w:val="15"/>
          <w:szCs w:val="15"/>
          <w:color w:val="auto"/>
        </w:rPr>
      </w:pPr>
    </w:p>
    <w:p>
      <w:pPr>
        <w:ind w:left="980" w:hanging="488"/>
        <w:spacing w:after="0"/>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To transact such other business as may properly come before the annual meeting or any adjournment or postponement thereof.</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These matters are more fully discussed in the accompanying proxy statement.</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Shareholders of record at the close of business on March 19, 2018 are entitled to notice of and to vote at the meeting and any adjournment thereof.</w:t>
      </w:r>
    </w:p>
    <w:p>
      <w:pPr>
        <w:spacing w:after="0" w:line="207" w:lineRule="exact"/>
        <w:rPr>
          <w:sz w:val="20"/>
          <w:szCs w:val="20"/>
          <w:color w:val="auto"/>
        </w:rPr>
      </w:pPr>
    </w:p>
    <w:p>
      <w:pPr>
        <w:ind w:firstLine="561"/>
        <w:spacing w:after="0" w:line="365" w:lineRule="auto"/>
        <w:rPr>
          <w:sz w:val="20"/>
          <w:szCs w:val="20"/>
          <w:color w:val="auto"/>
        </w:rPr>
      </w:pPr>
      <w:r>
        <w:rPr>
          <w:rFonts w:ascii="Arial" w:cs="Arial" w:eastAsia="Arial" w:hAnsi="Arial"/>
          <w:sz w:val="14"/>
          <w:szCs w:val="14"/>
          <w:b w:val="1"/>
          <w:bCs w:val="1"/>
          <w:color w:val="auto"/>
        </w:rPr>
        <w:t>Whether or not you expect to be present at the meeting, please vote using the Internet, by telephone or by mail, in each case by following the instructions in our proxy statement. Shareholders who execute a proxy may nevertheless attend the meeting, revoke their proxy and vote their shares in person.</w:t>
      </w:r>
    </w:p>
    <w:p>
      <w:pPr>
        <w:spacing w:after="0" w:line="106" w:lineRule="exact"/>
        <w:rPr>
          <w:sz w:val="20"/>
          <w:szCs w:val="20"/>
          <w:color w:val="auto"/>
        </w:rPr>
      </w:pPr>
    </w:p>
    <w:p>
      <w:pPr>
        <w:jc w:val="center"/>
        <w:ind w:left="4580"/>
        <w:spacing w:after="0"/>
        <w:rPr>
          <w:sz w:val="20"/>
          <w:szCs w:val="20"/>
          <w:color w:val="auto"/>
        </w:rPr>
      </w:pPr>
      <w:r>
        <w:rPr>
          <w:rFonts w:ascii="Arial" w:cs="Arial" w:eastAsia="Arial" w:hAnsi="Arial"/>
          <w:sz w:val="16"/>
          <w:szCs w:val="16"/>
          <w:color w:val="auto"/>
        </w:rPr>
        <w:t>By Order of the Board of Directors</w:t>
      </w:r>
    </w:p>
    <w:p>
      <w:pPr>
        <w:spacing w:after="0" w:line="21" w:lineRule="exact"/>
        <w:rPr>
          <w:sz w:val="20"/>
          <w:szCs w:val="20"/>
          <w:color w:val="auto"/>
        </w:rPr>
      </w:pPr>
    </w:p>
    <w:p>
      <w:pPr>
        <w:jc w:val="center"/>
        <w:ind w:left="4580"/>
        <w:spacing w:after="0"/>
        <w:rPr>
          <w:sz w:val="20"/>
          <w:szCs w:val="20"/>
          <w:color w:val="auto"/>
        </w:rPr>
      </w:pPr>
      <w:r>
        <w:rPr>
          <w:rFonts w:ascii="Arial" w:cs="Arial" w:eastAsia="Arial" w:hAnsi="Arial"/>
          <w:sz w:val="16"/>
          <w:szCs w:val="16"/>
          <w:color w:val="auto"/>
        </w:rPr>
        <w:t>WORLD FUEL SERVICES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4180205</wp:posOffset>
            </wp:positionH>
            <wp:positionV relativeFrom="paragraph">
              <wp:posOffset>9525</wp:posOffset>
            </wp:positionV>
            <wp:extent cx="1793240" cy="3365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93240" cy="33655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jc w:val="center"/>
        <w:ind w:left="4580"/>
        <w:spacing w:after="0"/>
        <w:rPr>
          <w:sz w:val="20"/>
          <w:szCs w:val="20"/>
          <w:color w:val="auto"/>
        </w:rPr>
      </w:pPr>
      <w:r>
        <w:rPr>
          <w:rFonts w:ascii="Arial" w:cs="Arial" w:eastAsia="Arial" w:hAnsi="Arial"/>
          <w:sz w:val="16"/>
          <w:szCs w:val="16"/>
          <w:color w:val="auto"/>
        </w:rPr>
        <w:t>R. Alexander Lake, Jr.</w:t>
      </w:r>
    </w:p>
    <w:p>
      <w:pPr>
        <w:spacing w:after="0" w:line="21" w:lineRule="exact"/>
        <w:rPr>
          <w:sz w:val="20"/>
          <w:szCs w:val="20"/>
          <w:color w:val="auto"/>
        </w:rPr>
      </w:pPr>
    </w:p>
    <w:p>
      <w:pPr>
        <w:jc w:val="center"/>
        <w:ind w:left="4580"/>
        <w:spacing w:after="0"/>
        <w:rPr>
          <w:sz w:val="20"/>
          <w:szCs w:val="20"/>
          <w:color w:val="auto"/>
        </w:rPr>
      </w:pPr>
      <w:r>
        <w:rPr>
          <w:rFonts w:ascii="Arial" w:cs="Arial" w:eastAsia="Arial" w:hAnsi="Arial"/>
          <w:sz w:val="16"/>
          <w:szCs w:val="16"/>
          <w:color w:val="auto"/>
        </w:rPr>
        <w:t>Executive Vice President, Chief Legal Officer and</w:t>
      </w:r>
    </w:p>
    <w:p>
      <w:pPr>
        <w:spacing w:after="0" w:line="13" w:lineRule="exact"/>
        <w:rPr>
          <w:sz w:val="20"/>
          <w:szCs w:val="20"/>
          <w:color w:val="auto"/>
        </w:rPr>
      </w:pPr>
    </w:p>
    <w:p>
      <w:pPr>
        <w:jc w:val="center"/>
        <w:ind w:left="4580"/>
        <w:spacing w:after="0"/>
        <w:rPr>
          <w:sz w:val="20"/>
          <w:szCs w:val="20"/>
          <w:color w:val="auto"/>
        </w:rPr>
      </w:pPr>
      <w:r>
        <w:rPr>
          <w:rFonts w:ascii="Arial" w:cs="Arial" w:eastAsia="Arial" w:hAnsi="Arial"/>
          <w:sz w:val="16"/>
          <w:szCs w:val="16"/>
          <w:color w:val="auto"/>
        </w:rPr>
        <w:t>Corporate Secretary</w:t>
      </w:r>
    </w:p>
    <w:p>
      <w:pPr>
        <w:spacing w:after="0" w:line="203" w:lineRule="exact"/>
        <w:rPr>
          <w:sz w:val="20"/>
          <w:szCs w:val="20"/>
          <w:color w:val="auto"/>
        </w:rPr>
      </w:pPr>
    </w:p>
    <w:p>
      <w:pPr>
        <w:ind w:right="520" w:firstLine="558"/>
        <w:spacing w:after="0" w:line="284" w:lineRule="auto"/>
        <w:rPr>
          <w:sz w:val="20"/>
          <w:szCs w:val="20"/>
          <w:color w:val="auto"/>
        </w:rPr>
      </w:pPr>
      <w:r>
        <w:rPr>
          <w:rFonts w:ascii="Arial" w:cs="Arial" w:eastAsia="Arial" w:hAnsi="Arial"/>
          <w:sz w:val="16"/>
          <w:szCs w:val="16"/>
          <w:color w:val="auto"/>
        </w:rPr>
        <w:t>We mailed a Notice of Internet Availability of Proxy Materials containing instructions on how to access our proxy statement and annual report for the year ended December 31, 2017 on or about April 13, 2018.</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Our proxy statement and annual report are available online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139700</wp:posOffset>
            </wp:positionV>
            <wp:extent cx="7263130" cy="203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 w:name="page3"/>
    <w:bookmarkEnd w:id="2"/>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48E0"/>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258685" cy="158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8685" cy="15875"/>
                    </a:xfrm>
                    <a:prstGeom prst="rect">
                      <a:avLst/>
                    </a:prstGeom>
                    <a:noFill/>
                  </pic:spPr>
                </pic:pic>
              </a:graphicData>
            </a:graphic>
          </wp:anchor>
        </w:drawing>
      </w:r>
    </w:p>
    <w:p>
      <w:pPr>
        <w:spacing w:after="0" w:line="219" w:lineRule="exact"/>
        <w:rPr>
          <w:sz w:val="20"/>
          <w:szCs w:val="20"/>
          <w:color w:val="auto"/>
        </w:rPr>
      </w:pPr>
    </w:p>
    <w:p>
      <w:pPr>
        <w:spacing w:after="0" w:line="284" w:lineRule="auto"/>
        <w:rPr>
          <w:sz w:val="20"/>
          <w:szCs w:val="20"/>
          <w:color w:val="auto"/>
        </w:rPr>
      </w:pPr>
      <w:r>
        <w:rPr>
          <w:rFonts w:ascii="Arial" w:cs="Arial" w:eastAsia="Arial" w:hAnsi="Arial"/>
          <w:sz w:val="16"/>
          <w:szCs w:val="16"/>
          <w:i w:val="1"/>
          <w:iCs w:val="1"/>
          <w:color w:val="auto"/>
        </w:rPr>
        <w:t>This proxy summary highlights information contained elsewhere in this proxy statement and does not contain all information that you should review and consider. Please read the entire proxy statement with care before voting.</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b w:val="1"/>
          <w:bCs w:val="1"/>
          <w:color w:val="0048E0"/>
        </w:rPr>
        <w:t>2018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258685" cy="158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8685" cy="15875"/>
                    </a:xfrm>
                    <a:prstGeom prst="rect">
                      <a:avLst/>
                    </a:prstGeom>
                    <a:noFill/>
                  </pic:spPr>
                </pic:pic>
              </a:graphicData>
            </a:graphic>
          </wp:anchor>
        </w:drawing>
      </w:r>
    </w:p>
    <w:p>
      <w:pPr>
        <w:spacing w:after="0" w:line="206" w:lineRule="exact"/>
        <w:rPr>
          <w:sz w:val="20"/>
          <w:szCs w:val="20"/>
          <w:color w:val="auto"/>
        </w:rPr>
      </w:pPr>
    </w:p>
    <w:p>
      <w:pPr>
        <w:spacing w:after="0"/>
        <w:tabs>
          <w:tab w:leader="none" w:pos="1260" w:val="left"/>
        </w:tabs>
        <w:rPr>
          <w:sz w:val="20"/>
          <w:szCs w:val="20"/>
          <w:color w:val="auto"/>
        </w:rPr>
      </w:pPr>
      <w:r>
        <w:rPr>
          <w:rFonts w:ascii="Arial" w:cs="Arial" w:eastAsia="Arial" w:hAnsi="Arial"/>
          <w:sz w:val="16"/>
          <w:szCs w:val="16"/>
          <w:b w:val="1"/>
          <w:bCs w:val="1"/>
          <w:color w:val="auto"/>
        </w:rPr>
        <w:t>Date and Time:</w:t>
      </w:r>
      <w:r>
        <w:rPr>
          <w:sz w:val="20"/>
          <w:szCs w:val="20"/>
          <w:color w:val="auto"/>
        </w:rPr>
        <w:tab/>
      </w:r>
      <w:r>
        <w:rPr>
          <w:rFonts w:ascii="Arial" w:cs="Arial" w:eastAsia="Arial" w:hAnsi="Arial"/>
          <w:sz w:val="14"/>
          <w:szCs w:val="14"/>
          <w:color w:val="auto"/>
        </w:rPr>
        <w:t>Thursday, May 24, 2018, at 8:00 a.m. Eastern Time</w:t>
      </w:r>
    </w:p>
    <w:p>
      <w:pPr>
        <w:spacing w:after="0" w:line="25" w:lineRule="exact"/>
        <w:rPr>
          <w:sz w:val="20"/>
          <w:szCs w:val="20"/>
          <w:color w:val="auto"/>
        </w:rPr>
      </w:pPr>
    </w:p>
    <w:p>
      <w:pPr>
        <w:spacing w:after="0"/>
        <w:tabs>
          <w:tab w:leader="none" w:pos="1260" w:val="left"/>
        </w:tabs>
        <w:rPr>
          <w:sz w:val="20"/>
          <w:szCs w:val="20"/>
          <w:color w:val="auto"/>
        </w:rPr>
      </w:pPr>
      <w:r>
        <w:rPr>
          <w:rFonts w:ascii="Arial" w:cs="Arial" w:eastAsia="Arial" w:hAnsi="Arial"/>
          <w:sz w:val="16"/>
          <w:szCs w:val="16"/>
          <w:b w:val="1"/>
          <w:bCs w:val="1"/>
          <w:color w:val="auto"/>
        </w:rPr>
        <w:t>Place:</w:t>
      </w:r>
      <w:r>
        <w:rPr>
          <w:sz w:val="20"/>
          <w:szCs w:val="20"/>
          <w:color w:val="auto"/>
        </w:rPr>
        <w:tab/>
      </w:r>
      <w:r>
        <w:rPr>
          <w:rFonts w:ascii="Arial" w:cs="Arial" w:eastAsia="Arial" w:hAnsi="Arial"/>
          <w:sz w:val="16"/>
          <w:szCs w:val="16"/>
          <w:color w:val="auto"/>
        </w:rPr>
        <w:t>Chadbourne &amp; Parke LLP located at 1301 Avenue of the Americas, New York, NY 10019</w:t>
      </w:r>
    </w:p>
    <w:p>
      <w:pPr>
        <w:spacing w:after="0" w:line="13" w:lineRule="exact"/>
        <w:rPr>
          <w:sz w:val="20"/>
          <w:szCs w:val="20"/>
          <w:color w:val="auto"/>
        </w:rPr>
      </w:pPr>
    </w:p>
    <w:p>
      <w:pPr>
        <w:spacing w:after="0"/>
        <w:tabs>
          <w:tab w:leader="none" w:pos="1260" w:val="left"/>
        </w:tabs>
        <w:rPr>
          <w:sz w:val="20"/>
          <w:szCs w:val="20"/>
          <w:color w:val="auto"/>
        </w:rPr>
      </w:pPr>
      <w:r>
        <w:rPr>
          <w:rFonts w:ascii="Arial" w:cs="Arial" w:eastAsia="Arial" w:hAnsi="Arial"/>
          <w:sz w:val="16"/>
          <w:szCs w:val="16"/>
          <w:b w:val="1"/>
          <w:bCs w:val="1"/>
          <w:color w:val="auto"/>
        </w:rPr>
        <w:t>Record Date:</w:t>
      </w:r>
      <w:r>
        <w:rPr>
          <w:sz w:val="20"/>
          <w:szCs w:val="20"/>
          <w:color w:val="auto"/>
        </w:rPr>
        <w:tab/>
      </w:r>
      <w:r>
        <w:rPr>
          <w:rFonts w:ascii="Arial" w:cs="Arial" w:eastAsia="Arial" w:hAnsi="Arial"/>
          <w:sz w:val="14"/>
          <w:szCs w:val="14"/>
          <w:color w:val="auto"/>
        </w:rPr>
        <w:t>March 19, 2018</w:t>
      </w:r>
    </w:p>
    <w:p>
      <w:pPr>
        <w:spacing w:after="0" w:line="13" w:lineRule="exact"/>
        <w:rPr>
          <w:sz w:val="20"/>
          <w:szCs w:val="20"/>
          <w:color w:val="auto"/>
        </w:rPr>
      </w:pPr>
    </w:p>
    <w:p>
      <w:pPr>
        <w:spacing w:after="0"/>
        <w:tabs>
          <w:tab w:leader="none" w:pos="1260" w:val="left"/>
        </w:tabs>
        <w:rPr>
          <w:sz w:val="20"/>
          <w:szCs w:val="20"/>
          <w:color w:val="auto"/>
        </w:rPr>
      </w:pPr>
      <w:r>
        <w:rPr>
          <w:rFonts w:ascii="Arial" w:cs="Arial" w:eastAsia="Arial" w:hAnsi="Arial"/>
          <w:sz w:val="14"/>
          <w:szCs w:val="14"/>
          <w:b w:val="1"/>
          <w:bCs w:val="1"/>
          <w:color w:val="auto"/>
        </w:rPr>
        <w:t>Voting:</w:t>
      </w:r>
      <w:r>
        <w:rPr>
          <w:sz w:val="20"/>
          <w:szCs w:val="20"/>
          <w:color w:val="auto"/>
        </w:rPr>
        <w:tab/>
      </w:r>
      <w:r>
        <w:rPr>
          <w:rFonts w:ascii="Arial" w:cs="Arial" w:eastAsia="Arial" w:hAnsi="Arial"/>
          <w:sz w:val="14"/>
          <w:szCs w:val="14"/>
          <w:color w:val="auto"/>
        </w:rPr>
        <w:t>Each share of common stock outstanding at the close of business on March 19, 2018 has one vote on each matter that is properly submitted for a vote at the</w:t>
      </w:r>
    </w:p>
    <w:p>
      <w:pPr>
        <w:spacing w:after="0" w:line="36"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annual meeting.</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color w:val="0048E0"/>
        </w:rPr>
        <w:t>PROPOSALS AND BOARD 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258685" cy="158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8685" cy="15875"/>
                    </a:xfrm>
                    <a:prstGeom prst="rect">
                      <a:avLst/>
                    </a:prstGeom>
                    <a:noFill/>
                  </pic:spPr>
                </pic:pic>
              </a:graphicData>
            </a:graphic>
          </wp:anchor>
        </w:drawing>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Page Reference</w:t>
            </w:r>
          </w:p>
        </w:tc>
      </w:tr>
      <w:tr>
        <w:trPr>
          <w:trHeight w:val="149"/>
        </w:trPr>
        <w:tc>
          <w:tcPr>
            <w:tcW w:w="6280" w:type="dxa"/>
            <w:vAlign w:val="bottom"/>
          </w:tcPr>
          <w:p>
            <w:pPr>
              <w:spacing w:after="0"/>
              <w:rPr>
                <w:sz w:val="20"/>
                <w:szCs w:val="20"/>
                <w:color w:val="auto"/>
              </w:rPr>
            </w:pPr>
            <w:r>
              <w:rPr>
                <w:rFonts w:ascii="Arial" w:cs="Arial" w:eastAsia="Arial" w:hAnsi="Arial"/>
                <w:sz w:val="12"/>
                <w:szCs w:val="12"/>
                <w:b w:val="1"/>
                <w:bCs w:val="1"/>
                <w:color w:val="auto"/>
              </w:rPr>
              <w:t>PROPOSAL</w:t>
            </w:r>
          </w:p>
        </w:tc>
        <w:tc>
          <w:tcPr>
            <w:tcW w:w="200" w:type="dxa"/>
            <w:vAlign w:val="bottom"/>
          </w:tcPr>
          <w:p>
            <w:pPr>
              <w:spacing w:after="0"/>
              <w:rPr>
                <w:sz w:val="12"/>
                <w:szCs w:val="12"/>
                <w:color w:val="auto"/>
              </w:rPr>
            </w:pPr>
          </w:p>
        </w:tc>
        <w:tc>
          <w:tcPr>
            <w:tcW w:w="3080" w:type="dxa"/>
            <w:vAlign w:val="bottom"/>
          </w:tcPr>
          <w:p>
            <w:pPr>
              <w:spacing w:after="0"/>
              <w:rPr>
                <w:sz w:val="20"/>
                <w:szCs w:val="20"/>
                <w:color w:val="auto"/>
              </w:rPr>
            </w:pPr>
            <w:r>
              <w:rPr>
                <w:rFonts w:ascii="Arial" w:cs="Arial" w:eastAsia="Arial" w:hAnsi="Arial"/>
                <w:sz w:val="12"/>
                <w:szCs w:val="12"/>
                <w:b w:val="1"/>
                <w:bCs w:val="1"/>
                <w:color w:val="auto"/>
              </w:rPr>
              <w:t>Board Recommendation</w:t>
            </w:r>
          </w:p>
        </w:tc>
        <w:tc>
          <w:tcPr>
            <w:tcW w:w="200" w:type="dxa"/>
            <w:vAlign w:val="bottom"/>
          </w:tcPr>
          <w:p>
            <w:pPr>
              <w:spacing w:after="0"/>
              <w:rPr>
                <w:sz w:val="12"/>
                <w:szCs w:val="12"/>
                <w:color w:val="auto"/>
              </w:rPr>
            </w:pP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(for more details)</w:t>
            </w:r>
          </w:p>
        </w:tc>
      </w:tr>
      <w:tr>
        <w:trPr>
          <w:trHeight w:val="197"/>
        </w:trPr>
        <w:tc>
          <w:tcPr>
            <w:tcW w:w="628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Election of Directors</w:t>
            </w:r>
          </w:p>
        </w:tc>
        <w:tc>
          <w:tcPr>
            <w:tcW w:w="200" w:type="dxa"/>
            <w:vAlign w:val="bottom"/>
          </w:tcPr>
          <w:p>
            <w:pPr>
              <w:spacing w:after="0"/>
              <w:rPr>
                <w:sz w:val="17"/>
                <w:szCs w:val="17"/>
                <w:color w:val="auto"/>
              </w:rPr>
            </w:pPr>
          </w:p>
        </w:tc>
        <w:tc>
          <w:tcPr>
            <w:tcW w:w="308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FOR each Director Nominee</w:t>
            </w:r>
          </w:p>
        </w:tc>
        <w:tc>
          <w:tcPr>
            <w:tcW w:w="200" w:type="dxa"/>
            <w:vAlign w:val="bottom"/>
          </w:tcPr>
          <w:p>
            <w:pPr>
              <w:spacing w:after="0"/>
              <w:rPr>
                <w:sz w:val="17"/>
                <w:szCs w:val="17"/>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20" w:type="dxa"/>
            <w:vAlign w:val="bottom"/>
          </w:tcPr>
          <w:p>
            <w:pPr>
              <w:spacing w:after="0"/>
              <w:rPr>
                <w:sz w:val="17"/>
                <w:szCs w:val="17"/>
                <w:color w:val="auto"/>
              </w:rPr>
            </w:pPr>
          </w:p>
        </w:tc>
      </w:tr>
      <w:tr>
        <w:trPr>
          <w:trHeight w:val="386"/>
        </w:trPr>
        <w:tc>
          <w:tcPr>
            <w:tcW w:w="6280" w:type="dxa"/>
            <w:vAlign w:val="bottom"/>
          </w:tcPr>
          <w:p>
            <w:pPr>
              <w:spacing w:after="0"/>
              <w:rPr>
                <w:sz w:val="20"/>
                <w:szCs w:val="20"/>
                <w:color w:val="auto"/>
              </w:rPr>
            </w:pPr>
            <w:r>
              <w:rPr>
                <w:rFonts w:ascii="Arial" w:cs="Arial" w:eastAsia="Arial" w:hAnsi="Arial"/>
                <w:sz w:val="16"/>
                <w:szCs w:val="16"/>
                <w:color w:val="auto"/>
              </w:rPr>
              <w:t>Non-Binding, Advisory Vote on Executive Compensation</w:t>
            </w:r>
          </w:p>
        </w:tc>
        <w:tc>
          <w:tcPr>
            <w:tcW w:w="200" w:type="dxa"/>
            <w:vAlign w:val="bottom"/>
          </w:tcPr>
          <w:p>
            <w:pPr>
              <w:spacing w:after="0"/>
              <w:rPr>
                <w:sz w:val="24"/>
                <w:szCs w:val="24"/>
                <w:color w:val="auto"/>
              </w:rPr>
            </w:pPr>
          </w:p>
        </w:tc>
        <w:tc>
          <w:tcPr>
            <w:tcW w:w="3080" w:type="dxa"/>
            <w:vAlign w:val="bottom"/>
          </w:tcPr>
          <w:p>
            <w:pPr>
              <w:spacing w:after="0"/>
              <w:rPr>
                <w:sz w:val="20"/>
                <w:szCs w:val="20"/>
                <w:color w:val="auto"/>
              </w:rPr>
            </w:pPr>
            <w:r>
              <w:rPr>
                <w:rFonts w:ascii="Arial" w:cs="Arial" w:eastAsia="Arial" w:hAnsi="Arial"/>
                <w:sz w:val="16"/>
                <w:szCs w:val="16"/>
                <w:color w:val="auto"/>
              </w:rPr>
              <w:t>FOR</w:t>
            </w:r>
          </w:p>
        </w:tc>
        <w:tc>
          <w:tcPr>
            <w:tcW w:w="1680" w:type="dxa"/>
            <w:vAlign w:val="bottom"/>
            <w:gridSpan w:val="3"/>
          </w:tcPr>
          <w:p>
            <w:pPr>
              <w:jc w:val="right"/>
              <w:ind w:right="20"/>
              <w:spacing w:after="0"/>
              <w:rPr>
                <w:sz w:val="20"/>
                <w:szCs w:val="20"/>
                <w:color w:val="auto"/>
              </w:rPr>
            </w:pPr>
            <w:r>
              <w:rPr>
                <w:rFonts w:ascii="Arial" w:cs="Arial" w:eastAsia="Arial" w:hAnsi="Arial"/>
                <w:sz w:val="16"/>
                <w:szCs w:val="16"/>
                <w:color w:val="auto"/>
              </w:rPr>
              <w:t>61</w:t>
            </w:r>
          </w:p>
        </w:tc>
      </w:tr>
      <w:tr>
        <w:trPr>
          <w:trHeight w:val="387"/>
        </w:trPr>
        <w:tc>
          <w:tcPr>
            <w:tcW w:w="6280" w:type="dxa"/>
            <w:vAlign w:val="bottom"/>
          </w:tcPr>
          <w:p>
            <w:pPr>
              <w:spacing w:after="0"/>
              <w:rPr>
                <w:sz w:val="20"/>
                <w:szCs w:val="20"/>
                <w:color w:val="auto"/>
              </w:rPr>
            </w:pPr>
            <w:r>
              <w:rPr>
                <w:rFonts w:ascii="Arial" w:cs="Arial" w:eastAsia="Arial" w:hAnsi="Arial"/>
                <w:sz w:val="16"/>
                <w:szCs w:val="16"/>
                <w:color w:val="auto"/>
              </w:rPr>
              <w:t>Ratification of PricewaterhouseCoopers as our Independent Registered Certified Public</w:t>
            </w:r>
          </w:p>
        </w:tc>
        <w:tc>
          <w:tcPr>
            <w:tcW w:w="200" w:type="dxa"/>
            <w:vAlign w:val="bottom"/>
          </w:tcPr>
          <w:p>
            <w:pPr>
              <w:spacing w:after="0"/>
              <w:rPr>
                <w:sz w:val="24"/>
                <w:szCs w:val="24"/>
                <w:color w:val="auto"/>
              </w:rPr>
            </w:pPr>
          </w:p>
        </w:tc>
        <w:tc>
          <w:tcPr>
            <w:tcW w:w="3080" w:type="dxa"/>
            <w:vAlign w:val="bottom"/>
          </w:tcPr>
          <w:p>
            <w:pPr>
              <w:spacing w:after="0"/>
              <w:rPr>
                <w:sz w:val="20"/>
                <w:szCs w:val="20"/>
                <w:color w:val="auto"/>
              </w:rPr>
            </w:pPr>
            <w:r>
              <w:rPr>
                <w:rFonts w:ascii="Arial" w:cs="Arial" w:eastAsia="Arial" w:hAnsi="Arial"/>
                <w:sz w:val="16"/>
                <w:szCs w:val="16"/>
                <w:color w:val="auto"/>
              </w:rPr>
              <w:t>FOR</w:t>
            </w:r>
          </w:p>
        </w:tc>
        <w:tc>
          <w:tcPr>
            <w:tcW w:w="1680" w:type="dxa"/>
            <w:vAlign w:val="bottom"/>
            <w:gridSpan w:val="3"/>
          </w:tcPr>
          <w:p>
            <w:pPr>
              <w:jc w:val="right"/>
              <w:ind w:right="20"/>
              <w:spacing w:after="0"/>
              <w:rPr>
                <w:sz w:val="20"/>
                <w:szCs w:val="20"/>
                <w:color w:val="auto"/>
              </w:rPr>
            </w:pPr>
            <w:r>
              <w:rPr>
                <w:rFonts w:ascii="Arial" w:cs="Arial" w:eastAsia="Arial" w:hAnsi="Arial"/>
                <w:sz w:val="16"/>
                <w:szCs w:val="16"/>
                <w:color w:val="auto"/>
              </w:rPr>
              <w:t>62</w:t>
            </w:r>
          </w:p>
        </w:tc>
      </w:tr>
      <w:tr>
        <w:trPr>
          <w:trHeight w:val="205"/>
        </w:trPr>
        <w:tc>
          <w:tcPr>
            <w:tcW w:w="6280" w:type="dxa"/>
            <w:vAlign w:val="bottom"/>
          </w:tcPr>
          <w:p>
            <w:pPr>
              <w:ind w:left="160"/>
              <w:spacing w:after="0"/>
              <w:rPr>
                <w:sz w:val="20"/>
                <w:szCs w:val="20"/>
                <w:color w:val="auto"/>
              </w:rPr>
            </w:pPr>
            <w:r>
              <w:rPr>
                <w:rFonts w:ascii="Arial" w:cs="Arial" w:eastAsia="Arial" w:hAnsi="Arial"/>
                <w:sz w:val="16"/>
                <w:szCs w:val="16"/>
                <w:color w:val="auto"/>
              </w:rPr>
              <w:t>Accounting Firm</w:t>
            </w:r>
          </w:p>
        </w:tc>
        <w:tc>
          <w:tcPr>
            <w:tcW w:w="20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r>
    </w:tbl>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0048E0"/>
        </w:rPr>
        <w:t>2017 EXECUTIVE COMPENSATION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258685" cy="158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8685" cy="15875"/>
                    </a:xfrm>
                    <a:prstGeom prst="rect">
                      <a:avLst/>
                    </a:prstGeom>
                    <a:noFill/>
                  </pic:spPr>
                </pic:pic>
              </a:graphicData>
            </a:graphic>
          </wp:anchor>
        </w:drawing>
      </w:r>
    </w:p>
    <w:p>
      <w:pPr>
        <w:spacing w:after="0" w:line="210" w:lineRule="exact"/>
        <w:rPr>
          <w:sz w:val="20"/>
          <w:szCs w:val="20"/>
          <w:color w:val="auto"/>
        </w:rPr>
      </w:pPr>
    </w:p>
    <w:p>
      <w:pPr>
        <w:ind w:right="260"/>
        <w:spacing w:after="0" w:line="359" w:lineRule="auto"/>
        <w:rPr>
          <w:sz w:val="20"/>
          <w:szCs w:val="20"/>
          <w:color w:val="auto"/>
        </w:rPr>
      </w:pPr>
      <w:r>
        <w:rPr>
          <w:rFonts w:ascii="Arial" w:cs="Arial" w:eastAsia="Arial" w:hAnsi="Arial"/>
          <w:sz w:val="14"/>
          <w:szCs w:val="14"/>
          <w:color w:val="auto"/>
        </w:rPr>
        <w:t>The following summary of our executive compensation program highlights our commitment to executive compensation practices that align the interests of our executives and shareholders. For a comprehensive discussion of our executive compensation, see "Compensation Discussion and Analysis", beginning on page 31 of this proxy statement.</w:t>
      </w:r>
    </w:p>
    <w:p>
      <w:pPr>
        <w:spacing w:after="0" w:line="106" w:lineRule="exact"/>
        <w:rPr>
          <w:sz w:val="20"/>
          <w:szCs w:val="20"/>
          <w:color w:val="auto"/>
        </w:rPr>
      </w:pPr>
    </w:p>
    <w:p>
      <w:pPr>
        <w:spacing w:after="0"/>
        <w:tabs>
          <w:tab w:leader="none" w:pos="5940" w:val="left"/>
        </w:tabs>
        <w:rPr>
          <w:sz w:val="20"/>
          <w:szCs w:val="20"/>
          <w:color w:val="auto"/>
        </w:rPr>
      </w:pPr>
      <w:r>
        <w:rPr>
          <w:rFonts w:ascii="Arial" w:cs="Arial" w:eastAsia="Arial" w:hAnsi="Arial"/>
          <w:sz w:val="12"/>
          <w:szCs w:val="12"/>
          <w:b w:val="1"/>
          <w:bCs w:val="1"/>
          <w:color w:val="auto"/>
        </w:rPr>
        <w:t>What We Do</w:t>
      </w:r>
      <w:r>
        <w:rPr>
          <w:sz w:val="20"/>
          <w:szCs w:val="20"/>
          <w:color w:val="auto"/>
        </w:rPr>
        <w:tab/>
      </w:r>
      <w:r>
        <w:rPr>
          <w:rFonts w:ascii="Arial" w:cs="Arial" w:eastAsia="Arial" w:hAnsi="Arial"/>
          <w:sz w:val="11"/>
          <w:szCs w:val="11"/>
          <w:b w:val="1"/>
          <w:bCs w:val="1"/>
          <w:color w:val="auto"/>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258685"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p>
      <w:pPr>
        <w:spacing w:after="0" w:line="22" w:lineRule="exact"/>
        <w:rPr>
          <w:sz w:val="20"/>
          <w:szCs w:val="20"/>
          <w:color w:val="auto"/>
        </w:rPr>
      </w:pPr>
    </w:p>
    <w:p>
      <w:pPr>
        <w:ind w:left="400" w:right="474" w:hanging="204"/>
        <w:spacing w:after="0" w:line="205" w:lineRule="auto"/>
        <w:tabs>
          <w:tab w:leader="none" w:pos="400" w:val="left"/>
        </w:tabs>
        <w:numPr>
          <w:ilvl w:val="0"/>
          <w:numId w:val="4"/>
        </w:numPr>
        <w:rPr>
          <w:rFonts w:ascii="MS PGothic" w:cs="MS PGothic" w:eastAsia="MS PGothic" w:hAnsi="MS PGothic"/>
          <w:sz w:val="30"/>
          <w:szCs w:val="30"/>
          <w:color w:val="auto"/>
          <w:vertAlign w:val="subscript"/>
        </w:rPr>
      </w:pPr>
      <w:r>
        <w:rPr>
          <w:rFonts w:ascii="Arial" w:cs="Arial" w:eastAsia="Arial" w:hAnsi="Arial"/>
          <w:sz w:val="14"/>
          <w:szCs w:val="14"/>
          <w:color w:val="auto"/>
        </w:rPr>
        <w:t>Executive compensation program tied to our financial and operating performance and the creation of shareholder value</w:t>
      </w:r>
    </w:p>
    <w:p>
      <w:pPr>
        <w:spacing w:after="0" w:line="132" w:lineRule="exact"/>
        <w:rPr>
          <w:rFonts w:ascii="MS PGothic" w:cs="MS PGothic" w:eastAsia="MS PGothic" w:hAnsi="MS PGothic"/>
          <w:sz w:val="30"/>
          <w:szCs w:val="30"/>
          <w:color w:val="auto"/>
          <w:vertAlign w:val="subscript"/>
        </w:rPr>
      </w:pPr>
    </w:p>
    <w:p>
      <w:pPr>
        <w:ind w:left="400" w:hanging="204"/>
        <w:spacing w:after="0"/>
        <w:tabs>
          <w:tab w:leader="none" w:pos="400" w:val="left"/>
        </w:tabs>
        <w:numPr>
          <w:ilvl w:val="0"/>
          <w:numId w:val="4"/>
        </w:numPr>
        <w:rPr>
          <w:rFonts w:ascii="MS PGothic" w:cs="MS PGothic" w:eastAsia="MS PGothic" w:hAnsi="MS PGothic"/>
          <w:sz w:val="30"/>
          <w:szCs w:val="30"/>
          <w:color w:val="auto"/>
          <w:vertAlign w:val="subscript"/>
        </w:rPr>
      </w:pPr>
      <w:r>
        <w:rPr>
          <w:rFonts w:ascii="Arial" w:cs="Arial" w:eastAsia="Arial" w:hAnsi="Arial"/>
          <w:sz w:val="14"/>
          <w:szCs w:val="14"/>
          <w:color w:val="auto"/>
        </w:rPr>
        <w:t>Robust stock ownership guidelines applicable to executive officers</w:t>
      </w:r>
    </w:p>
    <w:p>
      <w:pPr>
        <w:spacing w:after="0" w:line="131" w:lineRule="exact"/>
        <w:rPr>
          <w:rFonts w:ascii="MS PGothic" w:cs="MS PGothic" w:eastAsia="MS PGothic" w:hAnsi="MS PGothic"/>
          <w:sz w:val="30"/>
          <w:szCs w:val="30"/>
          <w:color w:val="auto"/>
          <w:vertAlign w:val="subscript"/>
        </w:rPr>
      </w:pPr>
    </w:p>
    <w:p>
      <w:pPr>
        <w:ind w:left="400" w:hanging="204"/>
        <w:spacing w:after="0"/>
        <w:tabs>
          <w:tab w:leader="none" w:pos="400" w:val="left"/>
        </w:tabs>
        <w:numPr>
          <w:ilvl w:val="0"/>
          <w:numId w:val="4"/>
        </w:numPr>
        <w:rPr>
          <w:rFonts w:ascii="MS PGothic" w:cs="MS PGothic" w:eastAsia="MS PGothic" w:hAnsi="MS PGothic"/>
          <w:sz w:val="30"/>
          <w:szCs w:val="30"/>
          <w:color w:val="auto"/>
          <w:vertAlign w:val="subscript"/>
        </w:rPr>
      </w:pPr>
      <w:r>
        <w:rPr>
          <w:rFonts w:ascii="Arial" w:cs="Arial" w:eastAsia="Arial" w:hAnsi="Arial"/>
          <w:sz w:val="14"/>
          <w:szCs w:val="14"/>
          <w:color w:val="auto"/>
        </w:rPr>
        <w:t>Rigorous stock retention requirements applicable to NEOs</w:t>
      </w:r>
    </w:p>
    <w:p>
      <w:pPr>
        <w:spacing w:after="0" w:line="131" w:lineRule="exact"/>
        <w:rPr>
          <w:rFonts w:ascii="MS PGothic" w:cs="MS PGothic" w:eastAsia="MS PGothic" w:hAnsi="MS PGothic"/>
          <w:sz w:val="30"/>
          <w:szCs w:val="30"/>
          <w:color w:val="auto"/>
          <w:vertAlign w:val="subscript"/>
        </w:rPr>
      </w:pPr>
    </w:p>
    <w:p>
      <w:pPr>
        <w:ind w:left="400" w:hanging="204"/>
        <w:spacing w:after="0"/>
        <w:tabs>
          <w:tab w:leader="none" w:pos="400" w:val="left"/>
        </w:tabs>
        <w:numPr>
          <w:ilvl w:val="0"/>
          <w:numId w:val="4"/>
        </w:numPr>
        <w:rPr>
          <w:rFonts w:ascii="MS PGothic" w:cs="MS PGothic" w:eastAsia="MS PGothic" w:hAnsi="MS PGothic"/>
          <w:sz w:val="30"/>
          <w:szCs w:val="30"/>
          <w:color w:val="auto"/>
          <w:vertAlign w:val="subscript"/>
        </w:rPr>
      </w:pPr>
      <w:r>
        <w:rPr>
          <w:rFonts w:ascii="Arial" w:cs="Arial" w:eastAsia="Arial" w:hAnsi="Arial"/>
          <w:sz w:val="14"/>
          <w:szCs w:val="14"/>
          <w:color w:val="auto"/>
        </w:rPr>
        <w:t>Policies prohibiting hedging of shares by NEOs, employees and directors</w:t>
      </w:r>
    </w:p>
    <w:p>
      <w:pPr>
        <w:spacing w:after="0" w:line="20" w:lineRule="exact"/>
        <w:rPr>
          <w:sz w:val="20"/>
          <w:szCs w:val="20"/>
          <w:color w:val="auto"/>
        </w:rPr>
      </w:pPr>
      <w:r>
        <w:rPr>
          <w:sz w:val="20"/>
          <w:szCs w:val="20"/>
          <w:color w:val="auto"/>
        </w:rPr>
        <w:br w:type="column"/>
      </w:r>
    </w:p>
    <w:p>
      <w:pPr>
        <w:ind w:left="206" w:hanging="206"/>
        <w:spacing w:after="0" w:line="181" w:lineRule="auto"/>
        <w:tabs>
          <w:tab w:leader="none" w:pos="206" w:val="left"/>
        </w:tabs>
        <w:numPr>
          <w:ilvl w:val="0"/>
          <w:numId w:val="5"/>
        </w:numPr>
        <w:rPr>
          <w:rFonts w:ascii="MS PGothic" w:cs="MS PGothic" w:eastAsia="MS PGothic" w:hAnsi="MS PGothic"/>
          <w:sz w:val="29"/>
          <w:szCs w:val="29"/>
          <w:color w:val="auto"/>
          <w:vertAlign w:val="subscript"/>
        </w:rPr>
      </w:pPr>
      <w:r>
        <w:rPr>
          <w:rFonts w:ascii="Arial" w:cs="Arial" w:eastAsia="Arial" w:hAnsi="Arial"/>
          <w:sz w:val="14"/>
          <w:szCs w:val="14"/>
          <w:color w:val="auto"/>
        </w:rPr>
        <w:t>NEOs not eligible for guaranteed bonuses</w:t>
      </w:r>
    </w:p>
    <w:p>
      <w:pPr>
        <w:spacing w:after="0" w:line="131" w:lineRule="exact"/>
        <w:rPr>
          <w:rFonts w:ascii="MS PGothic" w:cs="MS PGothic" w:eastAsia="MS PGothic" w:hAnsi="MS PGothic"/>
          <w:sz w:val="29"/>
          <w:szCs w:val="29"/>
          <w:color w:val="auto"/>
          <w:vertAlign w:val="subscript"/>
        </w:rPr>
      </w:pPr>
    </w:p>
    <w:p>
      <w:pPr>
        <w:ind w:left="206" w:hanging="206"/>
        <w:spacing w:after="0"/>
        <w:tabs>
          <w:tab w:leader="none" w:pos="206" w:val="left"/>
        </w:tabs>
        <w:numPr>
          <w:ilvl w:val="0"/>
          <w:numId w:val="5"/>
        </w:numPr>
        <w:rPr>
          <w:rFonts w:ascii="MS PGothic" w:cs="MS PGothic" w:eastAsia="MS PGothic" w:hAnsi="MS PGothic"/>
          <w:sz w:val="30"/>
          <w:szCs w:val="30"/>
          <w:color w:val="auto"/>
          <w:vertAlign w:val="subscript"/>
        </w:rPr>
      </w:pPr>
      <w:r>
        <w:rPr>
          <w:rFonts w:ascii="Arial" w:cs="Arial" w:eastAsia="Arial" w:hAnsi="Arial"/>
          <w:sz w:val="14"/>
          <w:szCs w:val="14"/>
          <w:color w:val="auto"/>
        </w:rPr>
        <w:t>No tax gross ups</w:t>
      </w:r>
    </w:p>
    <w:p>
      <w:pPr>
        <w:spacing w:after="0" w:line="299" w:lineRule="exact"/>
        <w:rPr>
          <w:rFonts w:ascii="MS PGothic" w:cs="MS PGothic" w:eastAsia="MS PGothic" w:hAnsi="MS PGothic"/>
          <w:sz w:val="30"/>
          <w:szCs w:val="30"/>
          <w:color w:val="auto"/>
          <w:vertAlign w:val="subscript"/>
        </w:rPr>
      </w:pPr>
    </w:p>
    <w:p>
      <w:pPr>
        <w:ind w:left="206" w:hanging="206"/>
        <w:spacing w:after="0"/>
        <w:tabs>
          <w:tab w:leader="none" w:pos="206" w:val="left"/>
        </w:tabs>
        <w:numPr>
          <w:ilvl w:val="0"/>
          <w:numId w:val="5"/>
        </w:numPr>
        <w:rPr>
          <w:rFonts w:ascii="MS PGothic" w:cs="MS PGothic" w:eastAsia="MS PGothic" w:hAnsi="MS PGothic"/>
          <w:sz w:val="20"/>
          <w:szCs w:val="20"/>
          <w:color w:val="auto"/>
        </w:rPr>
      </w:pPr>
      <w:r>
        <w:rPr>
          <w:rFonts w:ascii="Arial" w:cs="Arial" w:eastAsia="Arial" w:hAnsi="Arial"/>
          <w:sz w:val="16"/>
          <w:szCs w:val="16"/>
          <w:color w:val="auto"/>
        </w:rPr>
        <w:t>No excessive perquisites</w:t>
      </w:r>
    </w:p>
    <w:p>
      <w:pPr>
        <w:spacing w:after="0" w:line="193" w:lineRule="exact"/>
        <w:rPr>
          <w:rFonts w:ascii="MS PGothic" w:cs="MS PGothic" w:eastAsia="MS PGothic" w:hAnsi="MS PGothic"/>
          <w:sz w:val="20"/>
          <w:szCs w:val="20"/>
          <w:color w:val="auto"/>
        </w:rPr>
      </w:pPr>
    </w:p>
    <w:p>
      <w:pPr>
        <w:ind w:left="206" w:hanging="206"/>
        <w:spacing w:after="0"/>
        <w:tabs>
          <w:tab w:leader="none" w:pos="206" w:val="left"/>
        </w:tabs>
        <w:numPr>
          <w:ilvl w:val="0"/>
          <w:numId w:val="5"/>
        </w:numPr>
        <w:rPr>
          <w:rFonts w:ascii="MS PGothic" w:cs="MS PGothic" w:eastAsia="MS PGothic" w:hAnsi="MS PGothic"/>
          <w:sz w:val="30"/>
          <w:szCs w:val="30"/>
          <w:color w:val="auto"/>
          <w:vertAlign w:val="subscript"/>
        </w:rPr>
      </w:pPr>
      <w:r>
        <w:rPr>
          <w:rFonts w:ascii="Arial" w:cs="Arial" w:eastAsia="Arial" w:hAnsi="Arial"/>
          <w:sz w:val="14"/>
          <w:szCs w:val="14"/>
          <w:color w:val="auto"/>
        </w:rPr>
        <w:t>No single-trigger vesting of awards upon a change of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-3783965</wp:posOffset>
            </wp:positionH>
            <wp:positionV relativeFrom="paragraph">
              <wp:posOffset>100330</wp:posOffset>
            </wp:positionV>
            <wp:extent cx="7263130" cy="203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2">
            <w:col w:w="5234" w:space="720"/>
            <w:col w:w="5466"/>
          </w:cols>
          <w:pgMar w:left="240" w:top="131" w:right="239" w:bottom="1440" w:gutter="0" w:footer="0" w:header="0"/>
          <w:type w:val="continuous"/>
        </w:sectPr>
      </w:pPr>
    </w:p>
    <w:bookmarkStart w:id="3" w:name="page4"/>
    <w:bookmarkEnd w:id="3"/>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0048E0"/>
        </w:rPr>
        <w:t>BOARD AND GOVERNANCE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258685" cy="158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8685" cy="15875"/>
                    </a:xfrm>
                    <a:prstGeom prst="rect">
                      <a:avLst/>
                    </a:prstGeom>
                    <a:noFill/>
                  </pic:spPr>
                </pic:pic>
              </a:graphicData>
            </a:graphic>
          </wp:anchor>
        </w:drawing>
      </w:r>
    </w:p>
    <w:p>
      <w:pPr>
        <w:spacing w:after="0" w:line="210" w:lineRule="exact"/>
        <w:rPr>
          <w:sz w:val="20"/>
          <w:szCs w:val="20"/>
          <w:color w:val="auto"/>
        </w:rPr>
      </w:pPr>
    </w:p>
    <w:p>
      <w:pPr>
        <w:ind w:right="260"/>
        <w:spacing w:after="0" w:line="299" w:lineRule="auto"/>
        <w:rPr>
          <w:sz w:val="20"/>
          <w:szCs w:val="20"/>
          <w:color w:val="auto"/>
        </w:rPr>
      </w:pPr>
      <w:r>
        <w:rPr>
          <w:rFonts w:ascii="Arial" w:cs="Arial" w:eastAsia="Arial" w:hAnsi="Arial"/>
          <w:sz w:val="14"/>
          <w:szCs w:val="14"/>
          <w:color w:val="auto"/>
        </w:rPr>
        <w:t>We believe good governance is critical to achieving long-term shareholder value. The following table summarizes certain highlights of our corporate governance practices, policies and highlights. For a comprehensive discussion of our corporate governance policies, see "Corporate Governance", beginning on page 13 of this proxy statement.</w:t>
      </w:r>
    </w:p>
    <w:p>
      <w:pPr>
        <w:sectPr>
          <w:pgSz w:w="11900" w:h="16838" w:orient="portrait"/>
          <w:cols w:equalWidth="0" w:num="1">
            <w:col w:w="11220"/>
          </w:cols>
          <w:pgMar w:left="240" w:top="131" w:right="439" w:bottom="1440" w:gutter="0" w:footer="0" w:header="0"/>
        </w:sectPr>
      </w:pPr>
    </w:p>
    <w:p>
      <w:pPr>
        <w:spacing w:after="0" w:line="6" w:lineRule="exact"/>
        <w:rPr>
          <w:sz w:val="20"/>
          <w:szCs w:val="20"/>
          <w:color w:val="auto"/>
        </w:rPr>
      </w:pPr>
    </w:p>
    <w:p>
      <w:pPr>
        <w:ind w:left="500" w:hanging="304"/>
        <w:spacing w:after="0"/>
        <w:tabs>
          <w:tab w:leader="none" w:pos="500" w:val="left"/>
        </w:tabs>
        <w:numPr>
          <w:ilvl w:val="0"/>
          <w:numId w:val="6"/>
        </w:numPr>
        <w:rPr>
          <w:rFonts w:ascii="MS PGothic" w:cs="MS PGothic" w:eastAsia="MS PGothic" w:hAnsi="MS PGothic"/>
          <w:sz w:val="39"/>
          <w:szCs w:val="39"/>
          <w:color w:val="auto"/>
          <w:vertAlign w:val="subscript"/>
        </w:rPr>
      </w:pPr>
      <w:r>
        <w:rPr>
          <w:rFonts w:ascii="Arial" w:cs="Arial" w:eastAsia="Arial" w:hAnsi="Arial"/>
          <w:sz w:val="16"/>
          <w:szCs w:val="16"/>
          <w:color w:val="auto"/>
        </w:rPr>
        <w:t>Director resignation policy for all directors in uncontested elections</w:t>
      </w:r>
    </w:p>
    <w:p>
      <w:pPr>
        <w:spacing w:after="0" w:line="68" w:lineRule="exact"/>
        <w:rPr>
          <w:rFonts w:ascii="MS PGothic" w:cs="MS PGothic" w:eastAsia="MS PGothic" w:hAnsi="MS PGothic"/>
          <w:sz w:val="39"/>
          <w:szCs w:val="39"/>
          <w:color w:val="auto"/>
          <w:vertAlign w:val="subscript"/>
        </w:rPr>
      </w:pPr>
    </w:p>
    <w:p>
      <w:pPr>
        <w:ind w:left="500" w:hanging="304"/>
        <w:spacing w:after="0" w:line="223" w:lineRule="auto"/>
        <w:tabs>
          <w:tab w:leader="none" w:pos="500" w:val="left"/>
        </w:tabs>
        <w:numPr>
          <w:ilvl w:val="0"/>
          <w:numId w:val="6"/>
        </w:numPr>
        <w:rPr>
          <w:rFonts w:ascii="MS PGothic" w:cs="MS PGothic" w:eastAsia="MS PGothic" w:hAnsi="MS PGothic"/>
          <w:sz w:val="39"/>
          <w:szCs w:val="39"/>
          <w:color w:val="auto"/>
          <w:vertAlign w:val="subscript"/>
        </w:rPr>
      </w:pPr>
      <w:r>
        <w:rPr>
          <w:rFonts w:ascii="Arial" w:cs="Arial" w:eastAsia="Arial" w:hAnsi="Arial"/>
          <w:sz w:val="16"/>
          <w:szCs w:val="16"/>
          <w:color w:val="auto"/>
        </w:rPr>
        <w:t>Annual election of directors</w:t>
      </w:r>
    </w:p>
    <w:p>
      <w:pPr>
        <w:spacing w:after="0" w:line="69" w:lineRule="exact"/>
        <w:rPr>
          <w:rFonts w:ascii="MS PGothic" w:cs="MS PGothic" w:eastAsia="MS PGothic" w:hAnsi="MS PGothic"/>
          <w:sz w:val="39"/>
          <w:szCs w:val="39"/>
          <w:color w:val="auto"/>
          <w:vertAlign w:val="subscript"/>
        </w:rPr>
      </w:pPr>
    </w:p>
    <w:p>
      <w:pPr>
        <w:ind w:left="500" w:hanging="304"/>
        <w:spacing w:after="0" w:line="223" w:lineRule="auto"/>
        <w:tabs>
          <w:tab w:leader="none" w:pos="500" w:val="left"/>
        </w:tabs>
        <w:numPr>
          <w:ilvl w:val="0"/>
          <w:numId w:val="6"/>
        </w:numPr>
        <w:rPr>
          <w:rFonts w:ascii="MS PGothic" w:cs="MS PGothic" w:eastAsia="MS PGothic" w:hAnsi="MS PGothic"/>
          <w:sz w:val="39"/>
          <w:szCs w:val="39"/>
          <w:color w:val="auto"/>
          <w:vertAlign w:val="subscript"/>
        </w:rPr>
      </w:pPr>
      <w:r>
        <w:rPr>
          <w:rFonts w:ascii="Arial" w:cs="Arial" w:eastAsia="Arial" w:hAnsi="Arial"/>
          <w:sz w:val="16"/>
          <w:szCs w:val="16"/>
          <w:color w:val="auto"/>
        </w:rPr>
        <w:t>Majority independent board</w:t>
      </w:r>
    </w:p>
    <w:p>
      <w:pPr>
        <w:spacing w:after="0" w:line="226" w:lineRule="exact"/>
        <w:rPr>
          <w:rFonts w:ascii="MS PGothic" w:cs="MS PGothic" w:eastAsia="MS PGothic" w:hAnsi="MS PGothic"/>
          <w:sz w:val="39"/>
          <w:szCs w:val="39"/>
          <w:color w:val="auto"/>
          <w:vertAlign w:val="subscript"/>
        </w:rPr>
      </w:pPr>
    </w:p>
    <w:p>
      <w:pPr>
        <w:ind w:left="500" w:right="34" w:hanging="304"/>
        <w:spacing w:after="0" w:line="181" w:lineRule="auto"/>
        <w:tabs>
          <w:tab w:leader="none" w:pos="500" w:val="left"/>
        </w:tabs>
        <w:numPr>
          <w:ilvl w:val="0"/>
          <w:numId w:val="6"/>
        </w:numPr>
        <w:rPr>
          <w:rFonts w:ascii="MS PGothic" w:cs="MS PGothic" w:eastAsia="MS PGothic" w:hAnsi="MS PGothic"/>
          <w:sz w:val="36"/>
          <w:szCs w:val="36"/>
          <w:color w:val="auto"/>
          <w:vertAlign w:val="subscript"/>
        </w:rPr>
      </w:pPr>
      <w:r>
        <w:rPr>
          <w:rFonts w:ascii="Arial" w:cs="Arial" w:eastAsia="Arial" w:hAnsi="Arial"/>
          <w:sz w:val="15"/>
          <w:szCs w:val="15"/>
          <w:color w:val="auto"/>
        </w:rPr>
        <w:t>Regular shareholder engagement on governance, compensation and other issues of interest to our shareholders</w:t>
      </w:r>
    </w:p>
    <w:p>
      <w:pPr>
        <w:spacing w:after="0" w:line="42" w:lineRule="exact"/>
        <w:rPr>
          <w:rFonts w:ascii="MS PGothic" w:cs="MS PGothic" w:eastAsia="MS PGothic" w:hAnsi="MS PGothic"/>
          <w:sz w:val="36"/>
          <w:szCs w:val="36"/>
          <w:color w:val="auto"/>
          <w:vertAlign w:val="subscript"/>
        </w:rPr>
      </w:pPr>
    </w:p>
    <w:p>
      <w:pPr>
        <w:ind w:left="500" w:hanging="304"/>
        <w:spacing w:after="0"/>
        <w:tabs>
          <w:tab w:leader="none" w:pos="500" w:val="left"/>
        </w:tabs>
        <w:numPr>
          <w:ilvl w:val="0"/>
          <w:numId w:val="6"/>
        </w:numPr>
        <w:rPr>
          <w:rFonts w:ascii="MS PGothic" w:cs="MS PGothic" w:eastAsia="MS PGothic" w:hAnsi="MS PGothic"/>
          <w:sz w:val="39"/>
          <w:szCs w:val="39"/>
          <w:color w:val="auto"/>
          <w:vertAlign w:val="subscript"/>
        </w:rPr>
      </w:pPr>
      <w:r>
        <w:rPr>
          <w:rFonts w:ascii="Arial" w:cs="Arial" w:eastAsia="Arial" w:hAnsi="Arial"/>
          <w:sz w:val="16"/>
          <w:szCs w:val="16"/>
          <w:color w:val="auto"/>
        </w:rPr>
        <w:t>Robust stock ownership guidelines applicable to directors</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ind w:left="306" w:right="40" w:hanging="306"/>
        <w:spacing w:after="0" w:line="181" w:lineRule="auto"/>
        <w:tabs>
          <w:tab w:leader="none" w:pos="306" w:val="left"/>
        </w:tabs>
        <w:numPr>
          <w:ilvl w:val="0"/>
          <w:numId w:val="7"/>
        </w:numPr>
        <w:rPr>
          <w:rFonts w:ascii="MS PGothic" w:cs="MS PGothic" w:eastAsia="MS PGothic" w:hAnsi="MS PGothic"/>
          <w:sz w:val="36"/>
          <w:szCs w:val="36"/>
          <w:color w:val="auto"/>
          <w:vertAlign w:val="subscript"/>
        </w:rPr>
      </w:pPr>
      <w:r>
        <w:rPr>
          <w:rFonts w:ascii="Arial" w:cs="Arial" w:eastAsia="Arial" w:hAnsi="Arial"/>
          <w:sz w:val="15"/>
          <w:szCs w:val="15"/>
          <w:color w:val="auto"/>
        </w:rPr>
        <w:t>Independent lead director facilitates and strengthens the Board's independent oversight</w:t>
      </w:r>
    </w:p>
    <w:p>
      <w:pPr>
        <w:spacing w:after="0" w:line="112" w:lineRule="exact"/>
        <w:rPr>
          <w:rFonts w:ascii="MS PGothic" w:cs="MS PGothic" w:eastAsia="MS PGothic" w:hAnsi="MS PGothic"/>
          <w:sz w:val="36"/>
          <w:szCs w:val="36"/>
          <w:color w:val="auto"/>
          <w:vertAlign w:val="subscript"/>
        </w:rPr>
      </w:pPr>
    </w:p>
    <w:p>
      <w:pPr>
        <w:ind w:left="306" w:hanging="306"/>
        <w:spacing w:after="0"/>
        <w:tabs>
          <w:tab w:leader="none" w:pos="306" w:val="left"/>
        </w:tabs>
        <w:numPr>
          <w:ilvl w:val="0"/>
          <w:numId w:val="7"/>
        </w:numPr>
        <w:rPr>
          <w:rFonts w:ascii="MS PGothic" w:cs="MS PGothic" w:eastAsia="MS PGothic" w:hAnsi="MS PGothic"/>
          <w:sz w:val="32"/>
          <w:szCs w:val="32"/>
          <w:color w:val="auto"/>
          <w:vertAlign w:val="subscript"/>
        </w:rPr>
      </w:pPr>
      <w:r>
        <w:rPr>
          <w:rFonts w:ascii="Arial" w:cs="Arial" w:eastAsia="Arial" w:hAnsi="Arial"/>
          <w:sz w:val="14"/>
          <w:szCs w:val="14"/>
          <w:color w:val="auto"/>
        </w:rPr>
        <w:t>Independent directors meet in executive session without management present</w:t>
      </w:r>
    </w:p>
    <w:p>
      <w:pPr>
        <w:spacing w:after="0" w:line="68" w:lineRule="exact"/>
        <w:rPr>
          <w:rFonts w:ascii="MS PGothic" w:cs="MS PGothic" w:eastAsia="MS PGothic" w:hAnsi="MS PGothic"/>
          <w:sz w:val="32"/>
          <w:szCs w:val="32"/>
          <w:color w:val="auto"/>
          <w:vertAlign w:val="subscript"/>
        </w:rPr>
      </w:pPr>
    </w:p>
    <w:p>
      <w:pPr>
        <w:ind w:left="306" w:hanging="306"/>
        <w:spacing w:after="0" w:line="223" w:lineRule="auto"/>
        <w:tabs>
          <w:tab w:leader="none" w:pos="306" w:val="left"/>
        </w:tabs>
        <w:numPr>
          <w:ilvl w:val="0"/>
          <w:numId w:val="7"/>
        </w:numPr>
        <w:rPr>
          <w:rFonts w:ascii="MS PGothic" w:cs="MS PGothic" w:eastAsia="MS PGothic" w:hAnsi="MS PGothic"/>
          <w:sz w:val="39"/>
          <w:szCs w:val="39"/>
          <w:color w:val="auto"/>
          <w:vertAlign w:val="subscript"/>
        </w:rPr>
      </w:pPr>
      <w:r>
        <w:rPr>
          <w:rFonts w:ascii="Arial" w:cs="Arial" w:eastAsia="Arial" w:hAnsi="Arial"/>
          <w:sz w:val="16"/>
          <w:szCs w:val="16"/>
          <w:color w:val="auto"/>
        </w:rPr>
        <w:t>Strong board oversight of risk management process</w:t>
      </w:r>
    </w:p>
    <w:p>
      <w:pPr>
        <w:spacing w:after="0" w:line="69" w:lineRule="exact"/>
        <w:rPr>
          <w:rFonts w:ascii="MS PGothic" w:cs="MS PGothic" w:eastAsia="MS PGothic" w:hAnsi="MS PGothic"/>
          <w:sz w:val="39"/>
          <w:szCs w:val="39"/>
          <w:color w:val="auto"/>
          <w:vertAlign w:val="subscript"/>
        </w:rPr>
      </w:pPr>
    </w:p>
    <w:p>
      <w:pPr>
        <w:ind w:left="306" w:hanging="306"/>
        <w:spacing w:after="0" w:line="223" w:lineRule="auto"/>
        <w:tabs>
          <w:tab w:leader="none" w:pos="306" w:val="left"/>
        </w:tabs>
        <w:numPr>
          <w:ilvl w:val="0"/>
          <w:numId w:val="7"/>
        </w:numPr>
        <w:rPr>
          <w:rFonts w:ascii="MS PGothic" w:cs="MS PGothic" w:eastAsia="MS PGothic" w:hAnsi="MS PGothic"/>
          <w:sz w:val="39"/>
          <w:szCs w:val="39"/>
          <w:color w:val="auto"/>
          <w:vertAlign w:val="subscript"/>
        </w:rPr>
      </w:pPr>
      <w:r>
        <w:rPr>
          <w:rFonts w:ascii="Arial" w:cs="Arial" w:eastAsia="Arial" w:hAnsi="Arial"/>
          <w:sz w:val="16"/>
          <w:szCs w:val="16"/>
          <w:color w:val="auto"/>
        </w:rPr>
        <w:t>Annual board evaluations and self-assessments</w:t>
      </w:r>
    </w:p>
    <w:p>
      <w:pPr>
        <w:spacing w:after="0" w:line="69" w:lineRule="exact"/>
        <w:rPr>
          <w:rFonts w:ascii="MS PGothic" w:cs="MS PGothic" w:eastAsia="MS PGothic" w:hAnsi="MS PGothic"/>
          <w:sz w:val="39"/>
          <w:szCs w:val="39"/>
          <w:color w:val="auto"/>
          <w:vertAlign w:val="subscript"/>
        </w:rPr>
      </w:pPr>
    </w:p>
    <w:p>
      <w:pPr>
        <w:ind w:left="306" w:hanging="306"/>
        <w:spacing w:after="0" w:line="223" w:lineRule="auto"/>
        <w:tabs>
          <w:tab w:leader="none" w:pos="306" w:val="left"/>
        </w:tabs>
        <w:numPr>
          <w:ilvl w:val="0"/>
          <w:numId w:val="7"/>
        </w:numPr>
        <w:rPr>
          <w:rFonts w:ascii="MS PGothic" w:cs="MS PGothic" w:eastAsia="MS PGothic" w:hAnsi="MS PGothic"/>
          <w:sz w:val="39"/>
          <w:szCs w:val="39"/>
          <w:color w:val="auto"/>
          <w:vertAlign w:val="subscript"/>
        </w:rPr>
      </w:pPr>
      <w:r>
        <w:rPr>
          <w:rFonts w:ascii="Arial" w:cs="Arial" w:eastAsia="Arial" w:hAnsi="Arial"/>
          <w:sz w:val="16"/>
          <w:szCs w:val="16"/>
          <w:color w:val="auto"/>
        </w:rPr>
        <w:t>Policies prohibiting hedging of shares by directors</w:t>
      </w:r>
    </w:p>
    <w:p>
      <w:pPr>
        <w:spacing w:after="0" w:line="69" w:lineRule="exact"/>
        <w:rPr>
          <w:rFonts w:ascii="MS PGothic" w:cs="MS PGothic" w:eastAsia="MS PGothic" w:hAnsi="MS PGothic"/>
          <w:sz w:val="39"/>
          <w:szCs w:val="39"/>
          <w:color w:val="auto"/>
          <w:vertAlign w:val="subscript"/>
        </w:rPr>
      </w:pPr>
    </w:p>
    <w:p>
      <w:pPr>
        <w:ind w:left="306" w:hanging="306"/>
        <w:spacing w:after="0" w:line="223" w:lineRule="auto"/>
        <w:tabs>
          <w:tab w:leader="none" w:pos="306" w:val="left"/>
        </w:tabs>
        <w:numPr>
          <w:ilvl w:val="0"/>
          <w:numId w:val="7"/>
        </w:numPr>
        <w:rPr>
          <w:rFonts w:ascii="MS PGothic" w:cs="MS PGothic" w:eastAsia="MS PGothic" w:hAnsi="MS PGothic"/>
          <w:sz w:val="39"/>
          <w:szCs w:val="39"/>
          <w:color w:val="auto"/>
          <w:vertAlign w:val="subscript"/>
        </w:rPr>
      </w:pPr>
      <w:r>
        <w:rPr>
          <w:rFonts w:ascii="Arial" w:cs="Arial" w:eastAsia="Arial" w:hAnsi="Arial"/>
          <w:sz w:val="16"/>
          <w:szCs w:val="16"/>
          <w:color w:val="auto"/>
        </w:rPr>
        <w:t>No related person transactions in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-3783965</wp:posOffset>
            </wp:positionH>
            <wp:positionV relativeFrom="paragraph">
              <wp:posOffset>60960</wp:posOffset>
            </wp:positionV>
            <wp:extent cx="7263130" cy="203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2">
            <w:col w:w="5234" w:space="720"/>
            <w:col w:w="5266"/>
          </w:cols>
          <w:pgMar w:left="240" w:top="131" w:right="439" w:bottom="1440" w:gutter="0" w:footer="0" w:header="0"/>
          <w:type w:val="continuous"/>
        </w:sectPr>
      </w:pPr>
    </w:p>
    <w:bookmarkStart w:id="4" w:name="page5"/>
    <w:bookmarkEnd w:id="4"/>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40" w:type="dxa"/>
            <w:vAlign w:val="bottom"/>
            <w:gridSpan w:val="12"/>
          </w:tcPr>
          <w:p>
            <w:pPr>
              <w:ind w:left="20"/>
              <w:spacing w:after="0"/>
              <w:rPr>
                <w:sz w:val="20"/>
                <w:szCs w:val="20"/>
                <w:color w:val="auto"/>
              </w:rPr>
            </w:pPr>
            <w:r>
              <w:rPr>
                <w:rFonts w:ascii="Arial" w:cs="Arial" w:eastAsia="Arial" w:hAnsi="Arial"/>
                <w:sz w:val="16"/>
                <w:szCs w:val="16"/>
                <w:b w:val="1"/>
                <w:bCs w:val="1"/>
                <w:color w:val="auto"/>
              </w:rPr>
              <w:t>Table of Contents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395"/>
        </w:trPr>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gridSpan w:val="4"/>
          </w:tcPr>
          <w:p>
            <w:pPr>
              <w:ind w:left="20"/>
              <w:spacing w:after="0"/>
              <w:rPr>
                <w:sz w:val="20"/>
                <w:szCs w:val="20"/>
                <w:color w:val="auto"/>
              </w:rPr>
            </w:pPr>
            <w:r>
              <w:rPr>
                <w:rFonts w:ascii="Arial" w:cs="Arial" w:eastAsia="Arial" w:hAnsi="Arial"/>
                <w:sz w:val="16"/>
                <w:szCs w:val="16"/>
                <w:b w:val="1"/>
                <w:bCs w:val="1"/>
                <w:color w:val="auto"/>
              </w:rPr>
              <w:t>Page</w:t>
            </w:r>
          </w:p>
        </w:tc>
      </w:tr>
      <w:tr>
        <w:trPr>
          <w:trHeight w:val="154"/>
        </w:trPr>
        <w:tc>
          <w:tcPr>
            <w:tcW w:w="1140" w:type="dxa"/>
            <w:vAlign w:val="bottom"/>
          </w:tcPr>
          <w:p>
            <w:pPr>
              <w:spacing w:after="0"/>
              <w:rPr>
                <w:sz w:val="13"/>
                <w:szCs w:val="13"/>
                <w:color w:val="auto"/>
              </w:rPr>
            </w:pPr>
          </w:p>
        </w:tc>
        <w:tc>
          <w:tcPr>
            <w:tcW w:w="1520" w:type="dxa"/>
            <w:vAlign w:val="bottom"/>
            <w:tcBorders>
              <w:bottom w:val="single" w:sz="8" w:color="0000EE"/>
            </w:tcBorders>
            <w:gridSpan w:val="9"/>
          </w:tcPr>
          <w:p>
            <w:pPr>
              <w:spacing w:after="0" w:line="154" w:lineRule="exact"/>
              <w:rPr>
                <w:rFonts w:ascii="Arial" w:cs="Arial" w:eastAsia="Arial" w:hAnsi="Arial"/>
                <w:sz w:val="16"/>
                <w:szCs w:val="16"/>
                <w:color w:val="0000EE"/>
                <w:w w:val="95"/>
              </w:rPr>
            </w:pPr>
            <w:hyperlink w:anchor="page6">
              <w:r>
                <w:rPr>
                  <w:rFonts w:ascii="Arial" w:cs="Arial" w:eastAsia="Arial" w:hAnsi="Arial"/>
                  <w:sz w:val="16"/>
                  <w:szCs w:val="16"/>
                  <w:color w:val="0000EE"/>
                  <w:w w:val="95"/>
                </w:rPr>
                <w:t>PROXY STATEMENT</w:t>
              </w:r>
            </w:hyperlink>
          </w:p>
        </w:tc>
        <w:tc>
          <w:tcPr>
            <w:tcW w:w="7260" w:type="dxa"/>
            <w:vAlign w:val="bottom"/>
            <w:gridSpan w:val="25"/>
          </w:tcPr>
          <w:p>
            <w:pPr>
              <w:spacing w:after="0"/>
              <w:rPr>
                <w:sz w:val="13"/>
                <w:szCs w:val="13"/>
                <w:color w:val="auto"/>
              </w:rPr>
            </w:pPr>
          </w:p>
        </w:tc>
        <w:tc>
          <w:tcPr>
            <w:tcW w:w="280" w:type="dxa"/>
            <w:vAlign w:val="bottom"/>
            <w:tcBorders>
              <w:top w:val="single" w:sz="8" w:color="auto"/>
            </w:tcBorders>
            <w:gridSpan w:val="2"/>
          </w:tcPr>
          <w:p>
            <w:pPr>
              <w:spacing w:after="0"/>
              <w:rPr>
                <w:sz w:val="13"/>
                <w:szCs w:val="13"/>
                <w:color w:val="auto"/>
              </w:rPr>
            </w:pPr>
          </w:p>
        </w:tc>
        <w:tc>
          <w:tcPr>
            <w:tcW w:w="80" w:type="dxa"/>
            <w:vAlign w:val="bottom"/>
            <w:tcBorders>
              <w:top w:val="single" w:sz="8" w:color="auto"/>
              <w:bottom w:val="single" w:sz="8" w:color="0000EE"/>
            </w:tcBorders>
          </w:tcPr>
          <w:p>
            <w:pPr>
              <w:jc w:val="right"/>
              <w:spacing w:after="0" w:line="154" w:lineRule="exact"/>
              <w:rPr>
                <w:rFonts w:ascii="Arial" w:cs="Arial" w:eastAsia="Arial" w:hAnsi="Arial"/>
                <w:sz w:val="15"/>
                <w:szCs w:val="15"/>
                <w:color w:val="0000EE"/>
                <w:w w:val="71"/>
              </w:rPr>
            </w:pPr>
            <w:hyperlink w:anchor="page6">
              <w:r>
                <w:rPr>
                  <w:rFonts w:ascii="Arial" w:cs="Arial" w:eastAsia="Arial" w:hAnsi="Arial"/>
                  <w:sz w:val="15"/>
                  <w:szCs w:val="15"/>
                  <w:color w:val="0000EE"/>
                  <w:w w:val="71"/>
                </w:rPr>
                <w:t>1</w:t>
              </w:r>
            </w:hyperlink>
          </w:p>
        </w:tc>
        <w:tc>
          <w:tcPr>
            <w:tcW w:w="1140" w:type="dxa"/>
            <w:vAlign w:val="bottom"/>
          </w:tcPr>
          <w:p>
            <w:pPr>
              <w:spacing w:after="0"/>
              <w:rPr>
                <w:sz w:val="13"/>
                <w:szCs w:val="13"/>
                <w:color w:val="auto"/>
              </w:rPr>
            </w:pPr>
          </w:p>
        </w:tc>
      </w:tr>
      <w:tr>
        <w:trPr>
          <w:trHeight w:val="375"/>
        </w:trPr>
        <w:tc>
          <w:tcPr>
            <w:tcW w:w="1140" w:type="dxa"/>
            <w:vAlign w:val="bottom"/>
          </w:tcPr>
          <w:p>
            <w:pPr>
              <w:spacing w:after="0"/>
              <w:rPr>
                <w:sz w:val="24"/>
                <w:szCs w:val="24"/>
                <w:color w:val="auto"/>
              </w:rPr>
            </w:pPr>
          </w:p>
        </w:tc>
        <w:tc>
          <w:tcPr>
            <w:tcW w:w="4540" w:type="dxa"/>
            <w:vAlign w:val="bottom"/>
            <w:tcBorders>
              <w:bottom w:val="single" w:sz="8" w:color="0000EE"/>
            </w:tcBorders>
            <w:gridSpan w:val="29"/>
          </w:tcPr>
          <w:p>
            <w:pPr>
              <w:spacing w:after="0"/>
              <w:rPr>
                <w:rFonts w:ascii="Arial" w:cs="Arial" w:eastAsia="Arial" w:hAnsi="Arial"/>
                <w:sz w:val="16"/>
                <w:szCs w:val="16"/>
                <w:color w:val="0000EE"/>
                <w:w w:val="97"/>
              </w:rPr>
            </w:pPr>
            <w:hyperlink w:anchor="page7">
              <w:r>
                <w:rPr>
                  <w:rFonts w:ascii="Arial" w:cs="Arial" w:eastAsia="Arial" w:hAnsi="Arial"/>
                  <w:sz w:val="16"/>
                  <w:szCs w:val="16"/>
                  <w:color w:val="0000EE"/>
                  <w:w w:val="97"/>
                </w:rPr>
                <w:t>QUESTIONS AND ANSWERS ABOUT OUR ANNUAL MEETING</w:t>
              </w:r>
            </w:hyperlink>
          </w:p>
        </w:tc>
        <w:tc>
          <w:tcPr>
            <w:tcW w:w="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gridSpan w:val="3"/>
          </w:tcPr>
          <w:p>
            <w:pPr>
              <w:jc w:val="right"/>
              <w:spacing w:after="0"/>
              <w:rPr>
                <w:rFonts w:ascii="Arial" w:cs="Arial" w:eastAsia="Arial" w:hAnsi="Arial"/>
                <w:sz w:val="16"/>
                <w:szCs w:val="16"/>
                <w:color w:val="0000EE"/>
              </w:rPr>
            </w:pPr>
            <w:hyperlink w:anchor="page7">
              <w:r>
                <w:rPr>
                  <w:rFonts w:ascii="Arial" w:cs="Arial" w:eastAsia="Arial" w:hAnsi="Arial"/>
                  <w:sz w:val="16"/>
                  <w:szCs w:val="16"/>
                  <w:color w:val="0000EE"/>
                </w:rPr>
                <w:t>2</w:t>
              </w:r>
            </w:hyperlink>
          </w:p>
        </w:tc>
        <w:tc>
          <w:tcPr>
            <w:tcW w:w="114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0000EE"/>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84"/>
        </w:trPr>
        <w:tc>
          <w:tcPr>
            <w:tcW w:w="1140" w:type="dxa"/>
            <w:vAlign w:val="bottom"/>
          </w:tcPr>
          <w:p>
            <w:pPr>
              <w:spacing w:after="0"/>
              <w:rPr>
                <w:sz w:val="24"/>
                <w:szCs w:val="24"/>
                <w:color w:val="auto"/>
              </w:rPr>
            </w:pPr>
          </w:p>
        </w:tc>
        <w:tc>
          <w:tcPr>
            <w:tcW w:w="100" w:type="dxa"/>
            <w:vAlign w:val="bottom"/>
            <w:tcBorders>
              <w:bottom w:val="single" w:sz="8" w:color="0000EE"/>
            </w:tcBorders>
          </w:tcPr>
          <w:p>
            <w:pPr>
              <w:spacing w:after="0"/>
              <w:rPr>
                <w:rFonts w:ascii="Arial" w:cs="Arial" w:eastAsia="Arial" w:hAnsi="Arial"/>
                <w:sz w:val="16"/>
                <w:szCs w:val="16"/>
                <w:color w:val="0000EE"/>
                <w:w w:val="89"/>
              </w:rPr>
            </w:pPr>
            <w:hyperlink w:anchor="page12">
              <w:r>
                <w:rPr>
                  <w:rFonts w:ascii="Arial" w:cs="Arial" w:eastAsia="Arial" w:hAnsi="Arial"/>
                  <w:sz w:val="16"/>
                  <w:szCs w:val="16"/>
                  <w:color w:val="0000EE"/>
                  <w:w w:val="89"/>
                </w:rPr>
                <w:t>I.</w:t>
              </w:r>
            </w:hyperlink>
          </w:p>
        </w:tc>
        <w:tc>
          <w:tcPr>
            <w:tcW w:w="480" w:type="dxa"/>
            <w:vAlign w:val="bottom"/>
            <w:gridSpan w:val="5"/>
          </w:tcPr>
          <w:p>
            <w:pPr>
              <w:spacing w:after="0"/>
              <w:rPr>
                <w:sz w:val="24"/>
                <w:szCs w:val="24"/>
                <w:color w:val="auto"/>
              </w:rPr>
            </w:pPr>
          </w:p>
        </w:tc>
        <w:tc>
          <w:tcPr>
            <w:tcW w:w="3380" w:type="dxa"/>
            <w:vAlign w:val="bottom"/>
            <w:tcBorders>
              <w:bottom w:val="single" w:sz="8" w:color="0000EE"/>
            </w:tcBorders>
            <w:gridSpan w:val="17"/>
          </w:tcPr>
          <w:p>
            <w:pPr>
              <w:spacing w:after="0"/>
              <w:rPr>
                <w:rFonts w:ascii="Arial" w:cs="Arial" w:eastAsia="Arial" w:hAnsi="Arial"/>
                <w:sz w:val="16"/>
                <w:szCs w:val="16"/>
                <w:color w:val="0000EE"/>
                <w:w w:val="94"/>
              </w:rPr>
            </w:pPr>
            <w:hyperlink w:anchor="page12">
              <w:r>
                <w:rPr>
                  <w:rFonts w:ascii="Arial" w:cs="Arial" w:eastAsia="Arial" w:hAnsi="Arial"/>
                  <w:sz w:val="16"/>
                  <w:szCs w:val="16"/>
                  <w:color w:val="0000EE"/>
                  <w:w w:val="94"/>
                </w:rPr>
                <w:t>PROPOSAL NO. 1—ELECTION OF DIRECTORS</w:t>
              </w:r>
            </w:hyperlink>
          </w:p>
        </w:tc>
        <w:tc>
          <w:tcPr>
            <w:tcW w:w="4820" w:type="dxa"/>
            <w:vAlign w:val="bottom"/>
            <w:gridSpan w:val="11"/>
          </w:tcPr>
          <w:p>
            <w:pPr>
              <w:spacing w:after="0"/>
              <w:rPr>
                <w:sz w:val="24"/>
                <w:szCs w:val="24"/>
                <w:color w:val="auto"/>
              </w:rPr>
            </w:pPr>
          </w:p>
        </w:tc>
        <w:tc>
          <w:tcPr>
            <w:tcW w:w="280" w:type="dxa"/>
            <w:vAlign w:val="bottom"/>
            <w:gridSpan w:val="2"/>
          </w:tcPr>
          <w:p>
            <w:pPr>
              <w:spacing w:after="0"/>
              <w:rPr>
                <w:sz w:val="24"/>
                <w:szCs w:val="24"/>
                <w:color w:val="auto"/>
              </w:rPr>
            </w:pPr>
          </w:p>
        </w:tc>
        <w:tc>
          <w:tcPr>
            <w:tcW w:w="80" w:type="dxa"/>
            <w:vAlign w:val="bottom"/>
            <w:tcBorders>
              <w:bottom w:val="single" w:sz="8" w:color="0000EE"/>
            </w:tcBorders>
          </w:tcPr>
          <w:p>
            <w:pPr>
              <w:jc w:val="right"/>
              <w:spacing w:after="0"/>
              <w:rPr>
                <w:rFonts w:ascii="Arial" w:cs="Arial" w:eastAsia="Arial" w:hAnsi="Arial"/>
                <w:sz w:val="15"/>
                <w:szCs w:val="15"/>
                <w:color w:val="0000EE"/>
                <w:w w:val="71"/>
              </w:rPr>
            </w:pPr>
            <w:hyperlink w:anchor="page12">
              <w:r>
                <w:rPr>
                  <w:rFonts w:ascii="Arial" w:cs="Arial" w:eastAsia="Arial" w:hAnsi="Arial"/>
                  <w:sz w:val="15"/>
                  <w:szCs w:val="15"/>
                  <w:color w:val="0000EE"/>
                  <w:w w:val="71"/>
                </w:rPr>
                <w:t>7</w:t>
              </w:r>
            </w:hyperlink>
          </w:p>
        </w:tc>
        <w:tc>
          <w:tcPr>
            <w:tcW w:w="1140" w:type="dxa"/>
            <w:vAlign w:val="bottom"/>
          </w:tcPr>
          <w:p>
            <w:pPr>
              <w:spacing w:after="0"/>
              <w:rPr>
                <w:sz w:val="24"/>
                <w:szCs w:val="24"/>
                <w:color w:val="auto"/>
              </w:rPr>
            </w:pPr>
          </w:p>
        </w:tc>
      </w:tr>
      <w:tr>
        <w:trPr>
          <w:trHeight w:val="399"/>
        </w:trPr>
        <w:tc>
          <w:tcPr>
            <w:tcW w:w="1140" w:type="dxa"/>
            <w:vAlign w:val="bottom"/>
          </w:tcPr>
          <w:p>
            <w:pPr>
              <w:spacing w:after="0"/>
              <w:rPr>
                <w:sz w:val="24"/>
                <w:szCs w:val="24"/>
                <w:color w:val="auto"/>
              </w:rPr>
            </w:pPr>
          </w:p>
        </w:tc>
        <w:tc>
          <w:tcPr>
            <w:tcW w:w="160" w:type="dxa"/>
            <w:vAlign w:val="bottom"/>
            <w:gridSpan w:val="3"/>
          </w:tcPr>
          <w:p>
            <w:pPr>
              <w:spacing w:after="0"/>
              <w:rPr>
                <w:rFonts w:ascii="Arial" w:cs="Arial" w:eastAsia="Arial" w:hAnsi="Arial"/>
                <w:sz w:val="16"/>
                <w:szCs w:val="16"/>
                <w:color w:val="0000EE"/>
              </w:rPr>
            </w:pPr>
            <w:hyperlink w:anchor="page18">
              <w:r>
                <w:rPr>
                  <w:rFonts w:ascii="Arial" w:cs="Arial" w:eastAsia="Arial" w:hAnsi="Arial"/>
                  <w:sz w:val="16"/>
                  <w:szCs w:val="16"/>
                  <w:color w:val="0000EE"/>
                </w:rPr>
                <w:t>II.</w:t>
              </w:r>
            </w:hyperlink>
          </w:p>
        </w:tc>
        <w:tc>
          <w:tcPr>
            <w:tcW w:w="420" w:type="dxa"/>
            <w:vAlign w:val="bottom"/>
            <w:gridSpan w:val="3"/>
          </w:tcPr>
          <w:p>
            <w:pPr>
              <w:spacing w:after="0"/>
              <w:rPr>
                <w:sz w:val="24"/>
                <w:szCs w:val="24"/>
                <w:color w:val="auto"/>
              </w:rPr>
            </w:pPr>
          </w:p>
        </w:tc>
        <w:tc>
          <w:tcPr>
            <w:tcW w:w="8200" w:type="dxa"/>
            <w:vAlign w:val="bottom"/>
            <w:gridSpan w:val="28"/>
          </w:tcPr>
          <w:p>
            <w:pPr>
              <w:spacing w:after="0"/>
              <w:rPr>
                <w:rFonts w:ascii="Arial" w:cs="Arial" w:eastAsia="Arial" w:hAnsi="Arial"/>
                <w:sz w:val="16"/>
                <w:szCs w:val="16"/>
                <w:color w:val="0000EE"/>
              </w:rPr>
            </w:pPr>
            <w:hyperlink w:anchor="page18">
              <w:r>
                <w:rPr>
                  <w:rFonts w:ascii="Arial" w:cs="Arial" w:eastAsia="Arial" w:hAnsi="Arial"/>
                  <w:sz w:val="16"/>
                  <w:szCs w:val="16"/>
                  <w:color w:val="0000EE"/>
                </w:rPr>
                <w:t>CORPORATE GOVERNANCE</w:t>
              </w:r>
            </w:hyperlink>
          </w:p>
        </w:tc>
        <w:tc>
          <w:tcPr>
            <w:tcW w:w="360" w:type="dxa"/>
            <w:vAlign w:val="bottom"/>
            <w:gridSpan w:val="3"/>
          </w:tcPr>
          <w:p>
            <w:pPr>
              <w:jc w:val="right"/>
              <w:spacing w:after="0"/>
              <w:rPr>
                <w:rFonts w:ascii="Arial" w:cs="Arial" w:eastAsia="Arial" w:hAnsi="Arial"/>
                <w:sz w:val="16"/>
                <w:szCs w:val="16"/>
                <w:color w:val="0000EE"/>
              </w:rPr>
            </w:pPr>
            <w:hyperlink w:anchor="page18">
              <w:r>
                <w:rPr>
                  <w:rFonts w:ascii="Arial" w:cs="Arial" w:eastAsia="Arial" w:hAnsi="Arial"/>
                  <w:sz w:val="16"/>
                  <w:szCs w:val="16"/>
                  <w:color w:val="0000EE"/>
                </w:rPr>
                <w:t>13</w:t>
              </w:r>
            </w:hyperlink>
          </w:p>
        </w:tc>
        <w:tc>
          <w:tcPr>
            <w:tcW w:w="1140" w:type="dxa"/>
            <w:vAlign w:val="bottom"/>
          </w:tcPr>
          <w:p>
            <w:pPr>
              <w:spacing w:after="0"/>
              <w:rPr>
                <w:sz w:val="24"/>
                <w:szCs w:val="24"/>
                <w:color w:val="auto"/>
              </w:rPr>
            </w:pPr>
          </w:p>
        </w:tc>
      </w:tr>
      <w:tr>
        <w:trPr>
          <w:trHeight w:val="399"/>
        </w:trPr>
        <w:tc>
          <w:tcPr>
            <w:tcW w:w="114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tcBorders>
              <w:top w:val="single" w:sz="8" w:color="0000EE"/>
              <w:bottom w:val="single" w:sz="8" w:color="0000EE"/>
            </w:tcBorders>
            <w:gridSpan w:val="9"/>
          </w:tcPr>
          <w:p>
            <w:pPr>
              <w:spacing w:after="0"/>
              <w:rPr>
                <w:rFonts w:ascii="Arial" w:cs="Arial" w:eastAsia="Arial" w:hAnsi="Arial"/>
                <w:sz w:val="16"/>
                <w:szCs w:val="16"/>
                <w:color w:val="0000EE"/>
                <w:w w:val="89"/>
              </w:rPr>
            </w:pPr>
            <w:hyperlink w:anchor="page18">
              <w:r>
                <w:rPr>
                  <w:rFonts w:ascii="Arial" w:cs="Arial" w:eastAsia="Arial" w:hAnsi="Arial"/>
                  <w:sz w:val="16"/>
                  <w:szCs w:val="16"/>
                  <w:color w:val="0000EE"/>
                  <w:w w:val="89"/>
                </w:rPr>
                <w:t>Board Leadership Structure</w:t>
              </w:r>
            </w:hyperlink>
          </w:p>
        </w:tc>
        <w:tc>
          <w:tcPr>
            <w:tcW w:w="300" w:type="dxa"/>
            <w:vAlign w:val="bottom"/>
            <w:tcBorders>
              <w:top w:val="single" w:sz="8" w:color="0000EE"/>
            </w:tcBorders>
            <w:gridSpan w:val="2"/>
          </w:tcPr>
          <w:p>
            <w:pPr>
              <w:spacing w:after="0"/>
              <w:rPr>
                <w:sz w:val="24"/>
                <w:szCs w:val="24"/>
                <w:color w:val="auto"/>
              </w:rPr>
            </w:pPr>
          </w:p>
        </w:tc>
        <w:tc>
          <w:tcPr>
            <w:tcW w:w="6120" w:type="dxa"/>
            <w:vAlign w:val="bottom"/>
            <w:gridSpan w:val="17"/>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Borders>
              <w:top w:val="single" w:sz="8" w:color="0000EE"/>
              <w:bottom w:val="single" w:sz="8" w:color="0000EE"/>
            </w:tcBorders>
            <w:gridSpan w:val="2"/>
          </w:tcPr>
          <w:p>
            <w:pPr>
              <w:jc w:val="right"/>
              <w:spacing w:after="0"/>
              <w:rPr>
                <w:rFonts w:ascii="Arial" w:cs="Arial" w:eastAsia="Arial" w:hAnsi="Arial"/>
                <w:sz w:val="16"/>
                <w:szCs w:val="16"/>
                <w:color w:val="0000EE"/>
                <w:w w:val="78"/>
              </w:rPr>
            </w:pPr>
            <w:hyperlink w:anchor="page18">
              <w:r>
                <w:rPr>
                  <w:rFonts w:ascii="Arial" w:cs="Arial" w:eastAsia="Arial" w:hAnsi="Arial"/>
                  <w:sz w:val="16"/>
                  <w:szCs w:val="16"/>
                  <w:color w:val="0000EE"/>
                  <w:w w:val="78"/>
                </w:rPr>
                <w:t>13</w:t>
              </w:r>
            </w:hyperlink>
          </w:p>
        </w:tc>
        <w:tc>
          <w:tcPr>
            <w:tcW w:w="1140" w:type="dxa"/>
            <w:vAlign w:val="bottom"/>
          </w:tcPr>
          <w:p>
            <w:pPr>
              <w:spacing w:after="0"/>
              <w:rPr>
                <w:sz w:val="24"/>
                <w:szCs w:val="24"/>
                <w:color w:val="auto"/>
              </w:rPr>
            </w:pPr>
          </w:p>
        </w:tc>
      </w:tr>
      <w:tr>
        <w:trPr>
          <w:trHeight w:val="177"/>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40" w:type="dxa"/>
            <w:vAlign w:val="bottom"/>
            <w:tcBorders>
              <w:bottom w:val="single" w:sz="8" w:color="0000EE"/>
            </w:tcBorders>
            <w:gridSpan w:val="8"/>
          </w:tcPr>
          <w:p>
            <w:pPr>
              <w:spacing w:after="0" w:line="178" w:lineRule="exact"/>
              <w:rPr>
                <w:rFonts w:ascii="Arial" w:cs="Arial" w:eastAsia="Arial" w:hAnsi="Arial"/>
                <w:sz w:val="16"/>
                <w:szCs w:val="16"/>
                <w:color w:val="0000EE"/>
                <w:w w:val="90"/>
              </w:rPr>
            </w:pPr>
            <w:hyperlink w:anchor="page19">
              <w:r>
                <w:rPr>
                  <w:rFonts w:ascii="Arial" w:cs="Arial" w:eastAsia="Arial" w:hAnsi="Arial"/>
                  <w:sz w:val="16"/>
                  <w:szCs w:val="16"/>
                  <w:color w:val="0000EE"/>
                  <w:w w:val="90"/>
                </w:rPr>
                <w:t>Lead Independent Director</w:t>
              </w:r>
            </w:hyperlink>
          </w:p>
        </w:tc>
        <w:tc>
          <w:tcPr>
            <w:tcW w:w="6460" w:type="dxa"/>
            <w:vAlign w:val="bottom"/>
            <w:gridSpan w:val="20"/>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Borders>
              <w:bottom w:val="single" w:sz="8" w:color="0000EE"/>
            </w:tcBorders>
            <w:gridSpan w:val="2"/>
          </w:tcPr>
          <w:p>
            <w:pPr>
              <w:jc w:val="right"/>
              <w:spacing w:after="0" w:line="178" w:lineRule="exact"/>
              <w:rPr>
                <w:rFonts w:ascii="Arial" w:cs="Arial" w:eastAsia="Arial" w:hAnsi="Arial"/>
                <w:sz w:val="16"/>
                <w:szCs w:val="16"/>
                <w:color w:val="0000EE"/>
                <w:w w:val="78"/>
              </w:rPr>
            </w:pPr>
            <w:hyperlink w:anchor="page19">
              <w:r>
                <w:rPr>
                  <w:rFonts w:ascii="Arial" w:cs="Arial" w:eastAsia="Arial" w:hAnsi="Arial"/>
                  <w:sz w:val="16"/>
                  <w:szCs w:val="16"/>
                  <w:color w:val="0000EE"/>
                  <w:w w:val="78"/>
                </w:rPr>
                <w:t>14</w:t>
              </w:r>
            </w:hyperlink>
          </w:p>
        </w:tc>
        <w:tc>
          <w:tcPr>
            <w:tcW w:w="1140" w:type="dxa"/>
            <w:vAlign w:val="bottom"/>
          </w:tcPr>
          <w:p>
            <w:pPr>
              <w:spacing w:after="0"/>
              <w:rPr>
                <w:sz w:val="15"/>
                <w:szCs w:val="15"/>
                <w:color w:val="auto"/>
              </w:rPr>
            </w:pPr>
          </w:p>
        </w:tc>
      </w:tr>
      <w:tr>
        <w:trPr>
          <w:trHeight w:val="177"/>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0" w:type="dxa"/>
            <w:vAlign w:val="bottom"/>
            <w:gridSpan w:val="28"/>
          </w:tcPr>
          <w:p>
            <w:pPr>
              <w:spacing w:after="0" w:line="178" w:lineRule="exact"/>
              <w:rPr>
                <w:rFonts w:ascii="Arial" w:cs="Arial" w:eastAsia="Arial" w:hAnsi="Arial"/>
                <w:sz w:val="16"/>
                <w:szCs w:val="16"/>
                <w:color w:val="0000EE"/>
              </w:rPr>
            </w:pPr>
            <w:hyperlink w:anchor="page19">
              <w:r>
                <w:rPr>
                  <w:rFonts w:ascii="Arial" w:cs="Arial" w:eastAsia="Arial" w:hAnsi="Arial"/>
                  <w:sz w:val="16"/>
                  <w:szCs w:val="16"/>
                  <w:color w:val="0000EE"/>
                </w:rPr>
                <w:t>Shareholder Engagement</w:t>
              </w:r>
            </w:hyperlink>
          </w:p>
        </w:tc>
        <w:tc>
          <w:tcPr>
            <w:tcW w:w="360" w:type="dxa"/>
            <w:vAlign w:val="bottom"/>
            <w:gridSpan w:val="3"/>
          </w:tcPr>
          <w:p>
            <w:pPr>
              <w:jc w:val="right"/>
              <w:spacing w:after="0" w:line="178" w:lineRule="exact"/>
              <w:rPr>
                <w:rFonts w:ascii="Arial" w:cs="Arial" w:eastAsia="Arial" w:hAnsi="Arial"/>
                <w:sz w:val="16"/>
                <w:szCs w:val="16"/>
                <w:color w:val="0000EE"/>
              </w:rPr>
            </w:pPr>
            <w:hyperlink w:anchor="page19">
              <w:r>
                <w:rPr>
                  <w:rFonts w:ascii="Arial" w:cs="Arial" w:eastAsia="Arial" w:hAnsi="Arial"/>
                  <w:sz w:val="16"/>
                  <w:szCs w:val="16"/>
                  <w:color w:val="0000EE"/>
                </w:rPr>
                <w:t>14</w:t>
              </w:r>
            </w:hyperlink>
          </w:p>
        </w:tc>
        <w:tc>
          <w:tcPr>
            <w:tcW w:w="1140" w:type="dxa"/>
            <w:vAlign w:val="bottom"/>
          </w:tcPr>
          <w:p>
            <w:pPr>
              <w:spacing w:after="0"/>
              <w:rPr>
                <w:sz w:val="15"/>
                <w:szCs w:val="15"/>
                <w:color w:val="auto"/>
              </w:rPr>
            </w:pPr>
          </w:p>
        </w:tc>
      </w:tr>
      <w:tr>
        <w:trPr>
          <w:trHeight w:val="177"/>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20" w:type="dxa"/>
            <w:vAlign w:val="bottom"/>
            <w:tcBorders>
              <w:top w:val="single" w:sz="8" w:color="0000EE"/>
            </w:tcBorders>
            <w:gridSpan w:val="7"/>
          </w:tcPr>
          <w:p>
            <w:pPr>
              <w:spacing w:after="0" w:line="178" w:lineRule="exact"/>
              <w:rPr>
                <w:rFonts w:ascii="Arial" w:cs="Arial" w:eastAsia="Arial" w:hAnsi="Arial"/>
                <w:sz w:val="16"/>
                <w:szCs w:val="16"/>
                <w:color w:val="0000EE"/>
              </w:rPr>
            </w:pPr>
            <w:hyperlink w:anchor="page20">
              <w:r>
                <w:rPr>
                  <w:rFonts w:ascii="Arial" w:cs="Arial" w:eastAsia="Arial" w:hAnsi="Arial"/>
                  <w:sz w:val="16"/>
                  <w:szCs w:val="16"/>
                  <w:color w:val="0000EE"/>
                </w:rPr>
                <w:t>Meetings</w:t>
              </w:r>
            </w:hyperlink>
          </w:p>
        </w:tc>
        <w:tc>
          <w:tcPr>
            <w:tcW w:w="6580" w:type="dxa"/>
            <w:vAlign w:val="bottom"/>
            <w:gridSpan w:val="21"/>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Borders>
              <w:top w:val="single" w:sz="8" w:color="0000EE"/>
            </w:tcBorders>
            <w:gridSpan w:val="2"/>
          </w:tcPr>
          <w:p>
            <w:pPr>
              <w:jc w:val="right"/>
              <w:spacing w:after="0" w:line="178" w:lineRule="exact"/>
              <w:rPr>
                <w:rFonts w:ascii="Arial" w:cs="Arial" w:eastAsia="Arial" w:hAnsi="Arial"/>
                <w:sz w:val="16"/>
                <w:szCs w:val="16"/>
                <w:color w:val="0000EE"/>
                <w:w w:val="78"/>
              </w:rPr>
            </w:pPr>
            <w:hyperlink w:anchor="page20">
              <w:r>
                <w:rPr>
                  <w:rFonts w:ascii="Arial" w:cs="Arial" w:eastAsia="Arial" w:hAnsi="Arial"/>
                  <w:sz w:val="16"/>
                  <w:szCs w:val="16"/>
                  <w:color w:val="0000EE"/>
                  <w:w w:val="78"/>
                </w:rPr>
                <w:t>15</w:t>
              </w:r>
            </w:hyperlink>
          </w:p>
        </w:tc>
        <w:tc>
          <w:tcPr>
            <w:tcW w:w="114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77"/>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0" w:type="dxa"/>
            <w:vAlign w:val="bottom"/>
            <w:gridSpan w:val="28"/>
          </w:tcPr>
          <w:p>
            <w:pPr>
              <w:spacing w:after="0" w:line="178" w:lineRule="exact"/>
              <w:rPr>
                <w:rFonts w:ascii="Arial" w:cs="Arial" w:eastAsia="Arial" w:hAnsi="Arial"/>
                <w:sz w:val="16"/>
                <w:szCs w:val="16"/>
                <w:color w:val="0000EE"/>
              </w:rPr>
            </w:pPr>
            <w:hyperlink w:anchor="page20">
              <w:r>
                <w:rPr>
                  <w:rFonts w:ascii="Arial" w:cs="Arial" w:eastAsia="Arial" w:hAnsi="Arial"/>
                  <w:sz w:val="16"/>
                  <w:szCs w:val="16"/>
                  <w:color w:val="0000EE"/>
                </w:rPr>
                <w:t>Director Independence</w:t>
              </w:r>
            </w:hyperlink>
          </w:p>
        </w:tc>
        <w:tc>
          <w:tcPr>
            <w:tcW w:w="360" w:type="dxa"/>
            <w:vAlign w:val="bottom"/>
            <w:gridSpan w:val="3"/>
          </w:tcPr>
          <w:p>
            <w:pPr>
              <w:jc w:val="right"/>
              <w:spacing w:after="0" w:line="178" w:lineRule="exact"/>
              <w:rPr>
                <w:rFonts w:ascii="Arial" w:cs="Arial" w:eastAsia="Arial" w:hAnsi="Arial"/>
                <w:sz w:val="16"/>
                <w:szCs w:val="16"/>
                <w:color w:val="0000EE"/>
              </w:rPr>
            </w:pPr>
            <w:hyperlink w:anchor="page20">
              <w:r>
                <w:rPr>
                  <w:rFonts w:ascii="Arial" w:cs="Arial" w:eastAsia="Arial" w:hAnsi="Arial"/>
                  <w:sz w:val="16"/>
                  <w:szCs w:val="16"/>
                  <w:color w:val="0000EE"/>
                </w:rPr>
                <w:t>15</w:t>
              </w:r>
            </w:hyperlink>
          </w:p>
        </w:tc>
        <w:tc>
          <w:tcPr>
            <w:tcW w:w="114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77"/>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0" w:type="dxa"/>
            <w:vAlign w:val="bottom"/>
            <w:gridSpan w:val="28"/>
          </w:tcPr>
          <w:p>
            <w:pPr>
              <w:spacing w:after="0" w:line="178" w:lineRule="exact"/>
              <w:rPr>
                <w:rFonts w:ascii="Arial" w:cs="Arial" w:eastAsia="Arial" w:hAnsi="Arial"/>
                <w:sz w:val="16"/>
                <w:szCs w:val="16"/>
                <w:color w:val="0000EE"/>
              </w:rPr>
            </w:pPr>
            <w:hyperlink w:anchor="page20">
              <w:r>
                <w:rPr>
                  <w:rFonts w:ascii="Arial" w:cs="Arial" w:eastAsia="Arial" w:hAnsi="Arial"/>
                  <w:sz w:val="16"/>
                  <w:szCs w:val="16"/>
                  <w:color w:val="0000EE"/>
                </w:rPr>
                <w:t>Committees of the Board</w:t>
              </w:r>
            </w:hyperlink>
          </w:p>
        </w:tc>
        <w:tc>
          <w:tcPr>
            <w:tcW w:w="360" w:type="dxa"/>
            <w:vAlign w:val="bottom"/>
            <w:gridSpan w:val="3"/>
          </w:tcPr>
          <w:p>
            <w:pPr>
              <w:jc w:val="right"/>
              <w:spacing w:after="0" w:line="178" w:lineRule="exact"/>
              <w:rPr>
                <w:rFonts w:ascii="Arial" w:cs="Arial" w:eastAsia="Arial" w:hAnsi="Arial"/>
                <w:sz w:val="16"/>
                <w:szCs w:val="16"/>
                <w:color w:val="0000EE"/>
              </w:rPr>
            </w:pPr>
            <w:hyperlink w:anchor="page20">
              <w:r>
                <w:rPr>
                  <w:rFonts w:ascii="Arial" w:cs="Arial" w:eastAsia="Arial" w:hAnsi="Arial"/>
                  <w:sz w:val="16"/>
                  <w:szCs w:val="16"/>
                  <w:color w:val="0000EE"/>
                </w:rPr>
                <w:t>15</w:t>
              </w:r>
            </w:hyperlink>
          </w:p>
        </w:tc>
        <w:tc>
          <w:tcPr>
            <w:tcW w:w="114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77"/>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0" w:type="dxa"/>
            <w:vAlign w:val="bottom"/>
            <w:gridSpan w:val="28"/>
          </w:tcPr>
          <w:p>
            <w:pPr>
              <w:spacing w:after="0" w:line="178" w:lineRule="exact"/>
              <w:rPr>
                <w:rFonts w:ascii="Arial" w:cs="Arial" w:eastAsia="Arial" w:hAnsi="Arial"/>
                <w:sz w:val="16"/>
                <w:szCs w:val="16"/>
                <w:color w:val="0000EE"/>
              </w:rPr>
            </w:pPr>
            <w:hyperlink w:anchor="page24">
              <w:r>
                <w:rPr>
                  <w:rFonts w:ascii="Arial" w:cs="Arial" w:eastAsia="Arial" w:hAnsi="Arial"/>
                  <w:sz w:val="16"/>
                  <w:szCs w:val="16"/>
                  <w:color w:val="0000EE"/>
                </w:rPr>
                <w:t>Compensation Committee Interlocks and Insider Participation</w:t>
              </w:r>
            </w:hyperlink>
          </w:p>
        </w:tc>
        <w:tc>
          <w:tcPr>
            <w:tcW w:w="360" w:type="dxa"/>
            <w:vAlign w:val="bottom"/>
            <w:gridSpan w:val="3"/>
          </w:tcPr>
          <w:p>
            <w:pPr>
              <w:jc w:val="right"/>
              <w:spacing w:after="0" w:line="178" w:lineRule="exact"/>
              <w:rPr>
                <w:rFonts w:ascii="Arial" w:cs="Arial" w:eastAsia="Arial" w:hAnsi="Arial"/>
                <w:sz w:val="16"/>
                <w:szCs w:val="16"/>
                <w:color w:val="0000EE"/>
              </w:rPr>
            </w:pPr>
            <w:hyperlink w:anchor="page24">
              <w:r>
                <w:rPr>
                  <w:rFonts w:ascii="Arial" w:cs="Arial" w:eastAsia="Arial" w:hAnsi="Arial"/>
                  <w:sz w:val="16"/>
                  <w:szCs w:val="16"/>
                  <w:color w:val="0000EE"/>
                </w:rPr>
                <w:t>19</w:t>
              </w:r>
            </w:hyperlink>
          </w:p>
        </w:tc>
        <w:tc>
          <w:tcPr>
            <w:tcW w:w="1140" w:type="dxa"/>
            <w:vAlign w:val="bottom"/>
          </w:tcPr>
          <w:p>
            <w:pPr>
              <w:spacing w:after="0"/>
              <w:rPr>
                <w:sz w:val="15"/>
                <w:szCs w:val="15"/>
                <w:color w:val="auto"/>
              </w:rPr>
            </w:pPr>
          </w:p>
        </w:tc>
      </w:tr>
      <w:tr>
        <w:trPr>
          <w:trHeight w:val="177"/>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980" w:type="dxa"/>
            <w:vAlign w:val="bottom"/>
            <w:tcBorders>
              <w:top w:val="single" w:sz="8" w:color="0000EE"/>
            </w:tcBorders>
            <w:gridSpan w:val="24"/>
          </w:tcPr>
          <w:p>
            <w:pPr>
              <w:spacing w:after="0" w:line="178" w:lineRule="exact"/>
              <w:rPr>
                <w:rFonts w:ascii="Arial" w:cs="Arial" w:eastAsia="Arial" w:hAnsi="Arial"/>
                <w:sz w:val="16"/>
                <w:szCs w:val="16"/>
                <w:color w:val="0000EE"/>
              </w:rPr>
            </w:pPr>
            <w:hyperlink w:anchor="page28">
              <w:r>
                <w:rPr>
                  <w:rFonts w:ascii="Arial" w:cs="Arial" w:eastAsia="Arial" w:hAnsi="Arial"/>
                  <w:sz w:val="16"/>
                  <w:szCs w:val="16"/>
                  <w:color w:val="0000EE"/>
                </w:rPr>
                <w:t>Corporate Governance Principles</w:t>
              </w:r>
            </w:hyperlink>
          </w:p>
        </w:tc>
        <w:tc>
          <w:tcPr>
            <w:tcW w:w="4220" w:type="dxa"/>
            <w:vAlign w:val="bottom"/>
            <w:gridSpan w:val="4"/>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Borders>
              <w:top w:val="single" w:sz="8" w:color="0000EE"/>
            </w:tcBorders>
            <w:gridSpan w:val="2"/>
          </w:tcPr>
          <w:p>
            <w:pPr>
              <w:jc w:val="right"/>
              <w:spacing w:after="0" w:line="178" w:lineRule="exact"/>
              <w:rPr>
                <w:rFonts w:ascii="Arial" w:cs="Arial" w:eastAsia="Arial" w:hAnsi="Arial"/>
                <w:sz w:val="16"/>
                <w:szCs w:val="16"/>
                <w:color w:val="0000EE"/>
                <w:w w:val="78"/>
              </w:rPr>
            </w:pPr>
            <w:hyperlink w:anchor="page28">
              <w:r>
                <w:rPr>
                  <w:rFonts w:ascii="Arial" w:cs="Arial" w:eastAsia="Arial" w:hAnsi="Arial"/>
                  <w:sz w:val="16"/>
                  <w:szCs w:val="16"/>
                  <w:color w:val="0000EE"/>
                  <w:w w:val="78"/>
                </w:rPr>
                <w:t>23</w:t>
              </w:r>
            </w:hyperlink>
          </w:p>
        </w:tc>
        <w:tc>
          <w:tcPr>
            <w:tcW w:w="1140" w:type="dxa"/>
            <w:vAlign w:val="bottom"/>
          </w:tcPr>
          <w:p>
            <w:pPr>
              <w:spacing w:after="0"/>
              <w:rPr>
                <w:sz w:val="15"/>
                <w:szCs w:val="15"/>
                <w:color w:val="auto"/>
              </w:rPr>
            </w:pPr>
          </w:p>
        </w:tc>
      </w:tr>
      <w:tr>
        <w:trPr>
          <w:trHeight w:val="177"/>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140" w:type="dxa"/>
            <w:vAlign w:val="bottom"/>
            <w:tcBorders>
              <w:top w:val="single" w:sz="8" w:color="0000EE"/>
            </w:tcBorders>
            <w:gridSpan w:val="12"/>
          </w:tcPr>
          <w:p>
            <w:pPr>
              <w:spacing w:after="0" w:line="178" w:lineRule="exact"/>
              <w:rPr>
                <w:rFonts w:ascii="Arial" w:cs="Arial" w:eastAsia="Arial" w:hAnsi="Arial"/>
                <w:sz w:val="16"/>
                <w:szCs w:val="16"/>
                <w:color w:val="0000EE"/>
              </w:rPr>
            </w:pPr>
            <w:hyperlink w:anchor="page28">
              <w:r>
                <w:rPr>
                  <w:rFonts w:ascii="Arial" w:cs="Arial" w:eastAsia="Arial" w:hAnsi="Arial"/>
                  <w:sz w:val="16"/>
                  <w:szCs w:val="16"/>
                  <w:color w:val="0000EE"/>
                </w:rPr>
                <w:t>Code of Conduct</w:t>
              </w:r>
            </w:hyperlink>
          </w:p>
        </w:tc>
        <w:tc>
          <w:tcPr>
            <w:tcW w:w="6060" w:type="dxa"/>
            <w:vAlign w:val="bottom"/>
            <w:gridSpan w:val="16"/>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Borders>
              <w:top w:val="single" w:sz="8" w:color="0000EE"/>
            </w:tcBorders>
            <w:gridSpan w:val="2"/>
          </w:tcPr>
          <w:p>
            <w:pPr>
              <w:jc w:val="right"/>
              <w:spacing w:after="0" w:line="178" w:lineRule="exact"/>
              <w:rPr>
                <w:rFonts w:ascii="Arial" w:cs="Arial" w:eastAsia="Arial" w:hAnsi="Arial"/>
                <w:sz w:val="16"/>
                <w:szCs w:val="16"/>
                <w:color w:val="0000EE"/>
                <w:w w:val="78"/>
              </w:rPr>
            </w:pPr>
            <w:hyperlink w:anchor="page28">
              <w:r>
                <w:rPr>
                  <w:rFonts w:ascii="Arial" w:cs="Arial" w:eastAsia="Arial" w:hAnsi="Arial"/>
                  <w:sz w:val="16"/>
                  <w:szCs w:val="16"/>
                  <w:color w:val="0000EE"/>
                  <w:w w:val="78"/>
                </w:rPr>
                <w:t>23</w:t>
              </w:r>
            </w:hyperlink>
          </w:p>
        </w:tc>
        <w:tc>
          <w:tcPr>
            <w:tcW w:w="114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77"/>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60" w:type="dxa"/>
            <w:vAlign w:val="bottom"/>
            <w:tcBorders>
              <w:bottom w:val="single" w:sz="8" w:color="0000EE"/>
            </w:tcBorders>
            <w:gridSpan w:val="19"/>
          </w:tcPr>
          <w:p>
            <w:pPr>
              <w:spacing w:after="0" w:line="178" w:lineRule="exact"/>
              <w:rPr>
                <w:rFonts w:ascii="Arial" w:cs="Arial" w:eastAsia="Arial" w:hAnsi="Arial"/>
                <w:sz w:val="16"/>
                <w:szCs w:val="16"/>
                <w:color w:val="0000EE"/>
                <w:w w:val="90"/>
              </w:rPr>
            </w:pPr>
            <w:hyperlink w:anchor="page28">
              <w:r>
                <w:rPr>
                  <w:rFonts w:ascii="Arial" w:cs="Arial" w:eastAsia="Arial" w:hAnsi="Arial"/>
                  <w:sz w:val="16"/>
                  <w:szCs w:val="16"/>
                  <w:color w:val="0000EE"/>
                  <w:w w:val="90"/>
                </w:rPr>
                <w:t>Review and Approval of Related Person Transactions</w:t>
              </w:r>
            </w:hyperlink>
          </w:p>
        </w:tc>
        <w:tc>
          <w:tcPr>
            <w:tcW w:w="4740" w:type="dxa"/>
            <w:vAlign w:val="bottom"/>
            <w:gridSpan w:val="9"/>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Borders>
              <w:bottom w:val="single" w:sz="8" w:color="0000EE"/>
            </w:tcBorders>
            <w:gridSpan w:val="2"/>
          </w:tcPr>
          <w:p>
            <w:pPr>
              <w:jc w:val="right"/>
              <w:spacing w:after="0" w:line="178" w:lineRule="exact"/>
              <w:rPr>
                <w:rFonts w:ascii="Arial" w:cs="Arial" w:eastAsia="Arial" w:hAnsi="Arial"/>
                <w:sz w:val="16"/>
                <w:szCs w:val="16"/>
                <w:color w:val="0000EE"/>
                <w:w w:val="78"/>
              </w:rPr>
            </w:pPr>
            <w:hyperlink w:anchor="page28">
              <w:r>
                <w:rPr>
                  <w:rFonts w:ascii="Arial" w:cs="Arial" w:eastAsia="Arial" w:hAnsi="Arial"/>
                  <w:sz w:val="16"/>
                  <w:szCs w:val="16"/>
                  <w:color w:val="0000EE"/>
                  <w:w w:val="78"/>
                </w:rPr>
                <w:t>23</w:t>
              </w:r>
            </w:hyperlink>
          </w:p>
        </w:tc>
        <w:tc>
          <w:tcPr>
            <w:tcW w:w="1140" w:type="dxa"/>
            <w:vAlign w:val="bottom"/>
          </w:tcPr>
          <w:p>
            <w:pPr>
              <w:spacing w:after="0"/>
              <w:rPr>
                <w:sz w:val="15"/>
                <w:szCs w:val="15"/>
                <w:color w:val="auto"/>
              </w:rPr>
            </w:pPr>
          </w:p>
        </w:tc>
      </w:tr>
      <w:tr>
        <w:trPr>
          <w:trHeight w:val="177"/>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0" w:type="dxa"/>
            <w:vAlign w:val="bottom"/>
            <w:gridSpan w:val="28"/>
          </w:tcPr>
          <w:p>
            <w:pPr>
              <w:spacing w:after="0" w:line="178" w:lineRule="exact"/>
              <w:rPr>
                <w:rFonts w:ascii="Arial" w:cs="Arial" w:eastAsia="Arial" w:hAnsi="Arial"/>
                <w:sz w:val="16"/>
                <w:szCs w:val="16"/>
                <w:color w:val="0000EE"/>
              </w:rPr>
            </w:pPr>
            <w:hyperlink w:anchor="page30">
              <w:r>
                <w:rPr>
                  <w:rFonts w:ascii="Arial" w:cs="Arial" w:eastAsia="Arial" w:hAnsi="Arial"/>
                  <w:sz w:val="16"/>
                  <w:szCs w:val="16"/>
                  <w:color w:val="0000EE"/>
                </w:rPr>
                <w:t>Board's Role in Risk Oversight</w:t>
              </w:r>
            </w:hyperlink>
          </w:p>
        </w:tc>
        <w:tc>
          <w:tcPr>
            <w:tcW w:w="360" w:type="dxa"/>
            <w:vAlign w:val="bottom"/>
            <w:gridSpan w:val="3"/>
          </w:tcPr>
          <w:p>
            <w:pPr>
              <w:jc w:val="right"/>
              <w:spacing w:after="0" w:line="178" w:lineRule="exact"/>
              <w:rPr>
                <w:rFonts w:ascii="Arial" w:cs="Arial" w:eastAsia="Arial" w:hAnsi="Arial"/>
                <w:sz w:val="16"/>
                <w:szCs w:val="16"/>
                <w:color w:val="0000EE"/>
              </w:rPr>
            </w:pPr>
            <w:hyperlink w:anchor="page30">
              <w:r>
                <w:rPr>
                  <w:rFonts w:ascii="Arial" w:cs="Arial" w:eastAsia="Arial" w:hAnsi="Arial"/>
                  <w:sz w:val="16"/>
                  <w:szCs w:val="16"/>
                  <w:color w:val="0000EE"/>
                </w:rPr>
                <w:t>25</w:t>
              </w:r>
            </w:hyperlink>
          </w:p>
        </w:tc>
        <w:tc>
          <w:tcPr>
            <w:tcW w:w="1140" w:type="dxa"/>
            <w:vAlign w:val="bottom"/>
          </w:tcPr>
          <w:p>
            <w:pPr>
              <w:spacing w:after="0"/>
              <w:rPr>
                <w:sz w:val="15"/>
                <w:szCs w:val="15"/>
                <w:color w:val="auto"/>
              </w:rPr>
            </w:pPr>
          </w:p>
        </w:tc>
      </w:tr>
      <w:tr>
        <w:trPr>
          <w:trHeight w:val="177"/>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0" w:type="dxa"/>
            <w:vAlign w:val="bottom"/>
            <w:tcBorders>
              <w:top w:val="single" w:sz="8" w:color="0000EE"/>
            </w:tcBorders>
            <w:gridSpan w:val="10"/>
          </w:tcPr>
          <w:p>
            <w:pPr>
              <w:spacing w:after="0" w:line="178" w:lineRule="exact"/>
              <w:rPr>
                <w:rFonts w:ascii="Arial" w:cs="Arial" w:eastAsia="Arial" w:hAnsi="Arial"/>
                <w:sz w:val="16"/>
                <w:szCs w:val="16"/>
                <w:color w:val="0000EE"/>
              </w:rPr>
            </w:pPr>
            <w:hyperlink w:anchor="page31">
              <w:r>
                <w:rPr>
                  <w:rFonts w:ascii="Arial" w:cs="Arial" w:eastAsia="Arial" w:hAnsi="Arial"/>
                  <w:sz w:val="16"/>
                  <w:szCs w:val="16"/>
                  <w:color w:val="0000EE"/>
                </w:rPr>
                <w:t>Compensation of Directors</w:t>
              </w:r>
            </w:hyperlink>
          </w:p>
        </w:tc>
        <w:tc>
          <w:tcPr>
            <w:tcW w:w="6200" w:type="dxa"/>
            <w:vAlign w:val="bottom"/>
            <w:gridSpan w:val="18"/>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Borders>
              <w:top w:val="single" w:sz="8" w:color="0000EE"/>
            </w:tcBorders>
            <w:gridSpan w:val="2"/>
          </w:tcPr>
          <w:p>
            <w:pPr>
              <w:jc w:val="right"/>
              <w:spacing w:after="0" w:line="178" w:lineRule="exact"/>
              <w:rPr>
                <w:rFonts w:ascii="Arial" w:cs="Arial" w:eastAsia="Arial" w:hAnsi="Arial"/>
                <w:sz w:val="16"/>
                <w:szCs w:val="16"/>
                <w:color w:val="0000EE"/>
                <w:w w:val="78"/>
              </w:rPr>
            </w:pPr>
            <w:hyperlink w:anchor="page31">
              <w:r>
                <w:rPr>
                  <w:rFonts w:ascii="Arial" w:cs="Arial" w:eastAsia="Arial" w:hAnsi="Arial"/>
                  <w:sz w:val="16"/>
                  <w:szCs w:val="16"/>
                  <w:color w:val="0000EE"/>
                  <w:w w:val="78"/>
                </w:rPr>
                <w:t>26</w:t>
              </w:r>
            </w:hyperlink>
          </w:p>
        </w:tc>
        <w:tc>
          <w:tcPr>
            <w:tcW w:w="114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400" w:type="dxa"/>
            <w:vAlign w:val="bottom"/>
            <w:tcBorders>
              <w:right w:val="single" w:sz="8" w:color="0000EE"/>
            </w:tcBorders>
            <w:gridSpan w:val="3"/>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0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99"/>
        </w:trPr>
        <w:tc>
          <w:tcPr>
            <w:tcW w:w="1140" w:type="dxa"/>
            <w:vAlign w:val="bottom"/>
          </w:tcPr>
          <w:p>
            <w:pPr>
              <w:spacing w:after="0"/>
              <w:rPr>
                <w:sz w:val="24"/>
                <w:szCs w:val="24"/>
                <w:color w:val="auto"/>
              </w:rPr>
            </w:pPr>
          </w:p>
        </w:tc>
        <w:tc>
          <w:tcPr>
            <w:tcW w:w="220" w:type="dxa"/>
            <w:vAlign w:val="bottom"/>
            <w:gridSpan w:val="4"/>
          </w:tcPr>
          <w:p>
            <w:pPr>
              <w:spacing w:after="0"/>
              <w:rPr>
                <w:rFonts w:ascii="Arial" w:cs="Arial" w:eastAsia="Arial" w:hAnsi="Arial"/>
                <w:sz w:val="16"/>
                <w:szCs w:val="16"/>
                <w:color w:val="0000EE"/>
              </w:rPr>
            </w:pPr>
            <w:hyperlink w:anchor="page34">
              <w:r>
                <w:rPr>
                  <w:rFonts w:ascii="Arial" w:cs="Arial" w:eastAsia="Arial" w:hAnsi="Arial"/>
                  <w:sz w:val="16"/>
                  <w:szCs w:val="16"/>
                  <w:color w:val="0000EE"/>
                </w:rPr>
                <w:t>III.</w:t>
              </w:r>
            </w:hyperlink>
          </w:p>
        </w:tc>
        <w:tc>
          <w:tcPr>
            <w:tcW w:w="360" w:type="dxa"/>
            <w:vAlign w:val="bottom"/>
            <w:gridSpan w:val="2"/>
          </w:tcPr>
          <w:p>
            <w:pPr>
              <w:spacing w:after="0"/>
              <w:rPr>
                <w:sz w:val="24"/>
                <w:szCs w:val="24"/>
                <w:color w:val="auto"/>
              </w:rPr>
            </w:pPr>
          </w:p>
        </w:tc>
        <w:tc>
          <w:tcPr>
            <w:tcW w:w="8200" w:type="dxa"/>
            <w:vAlign w:val="bottom"/>
            <w:gridSpan w:val="28"/>
          </w:tcPr>
          <w:p>
            <w:pPr>
              <w:spacing w:after="0"/>
              <w:rPr>
                <w:rFonts w:ascii="Arial" w:cs="Arial" w:eastAsia="Arial" w:hAnsi="Arial"/>
                <w:sz w:val="16"/>
                <w:szCs w:val="16"/>
                <w:color w:val="0000EE"/>
              </w:rPr>
            </w:pPr>
            <w:hyperlink w:anchor="page34">
              <w:r>
                <w:rPr>
                  <w:rFonts w:ascii="Arial" w:cs="Arial" w:eastAsia="Arial" w:hAnsi="Arial"/>
                  <w:sz w:val="16"/>
                  <w:szCs w:val="16"/>
                  <w:color w:val="0000EE"/>
                </w:rPr>
                <w:t>INFORMATION CONCERNING EXECUTIVE OFFICERS</w:t>
              </w:r>
            </w:hyperlink>
          </w:p>
        </w:tc>
        <w:tc>
          <w:tcPr>
            <w:tcW w:w="360" w:type="dxa"/>
            <w:vAlign w:val="bottom"/>
            <w:gridSpan w:val="3"/>
          </w:tcPr>
          <w:p>
            <w:pPr>
              <w:jc w:val="right"/>
              <w:spacing w:after="0"/>
              <w:rPr>
                <w:rFonts w:ascii="Arial" w:cs="Arial" w:eastAsia="Arial" w:hAnsi="Arial"/>
                <w:sz w:val="16"/>
                <w:szCs w:val="16"/>
                <w:color w:val="0000EE"/>
              </w:rPr>
            </w:pPr>
            <w:hyperlink w:anchor="page34">
              <w:r>
                <w:rPr>
                  <w:rFonts w:ascii="Arial" w:cs="Arial" w:eastAsia="Arial" w:hAnsi="Arial"/>
                  <w:sz w:val="16"/>
                  <w:szCs w:val="16"/>
                  <w:color w:val="0000EE"/>
                </w:rPr>
                <w:t>29</w:t>
              </w:r>
            </w:hyperlink>
          </w:p>
        </w:tc>
        <w:tc>
          <w:tcPr>
            <w:tcW w:w="1140" w:type="dxa"/>
            <w:vAlign w:val="bottom"/>
          </w:tcPr>
          <w:p>
            <w:pPr>
              <w:spacing w:after="0"/>
              <w:rPr>
                <w:sz w:val="24"/>
                <w:szCs w:val="24"/>
                <w:color w:val="auto"/>
              </w:rPr>
            </w:pPr>
          </w:p>
        </w:tc>
      </w:tr>
      <w:tr>
        <w:trPr>
          <w:trHeight w:val="399"/>
        </w:trPr>
        <w:tc>
          <w:tcPr>
            <w:tcW w:w="1140" w:type="dxa"/>
            <w:vAlign w:val="bottom"/>
          </w:tcPr>
          <w:p>
            <w:pPr>
              <w:spacing w:after="0"/>
              <w:rPr>
                <w:sz w:val="24"/>
                <w:szCs w:val="24"/>
                <w:color w:val="auto"/>
              </w:rPr>
            </w:pPr>
          </w:p>
        </w:tc>
        <w:tc>
          <w:tcPr>
            <w:tcW w:w="220" w:type="dxa"/>
            <w:vAlign w:val="bottom"/>
            <w:tcBorders>
              <w:top w:val="single" w:sz="8" w:color="0000EE"/>
              <w:bottom w:val="single" w:sz="8" w:color="0000EE"/>
            </w:tcBorders>
            <w:gridSpan w:val="4"/>
          </w:tcPr>
          <w:p>
            <w:pPr>
              <w:spacing w:after="0"/>
              <w:rPr>
                <w:rFonts w:ascii="Arial" w:cs="Arial" w:eastAsia="Arial" w:hAnsi="Arial"/>
                <w:sz w:val="16"/>
                <w:szCs w:val="16"/>
                <w:color w:val="0000EE"/>
                <w:w w:val="91"/>
              </w:rPr>
            </w:pPr>
            <w:hyperlink w:anchor="page36">
              <w:r>
                <w:rPr>
                  <w:rFonts w:ascii="Arial" w:cs="Arial" w:eastAsia="Arial" w:hAnsi="Arial"/>
                  <w:sz w:val="16"/>
                  <w:szCs w:val="16"/>
                  <w:color w:val="0000EE"/>
                  <w:w w:val="91"/>
                </w:rPr>
                <w:t>IV.</w:t>
              </w:r>
            </w:hyperlink>
          </w:p>
        </w:tc>
        <w:tc>
          <w:tcPr>
            <w:tcW w:w="360" w:type="dxa"/>
            <w:vAlign w:val="bottom"/>
            <w:gridSpan w:val="2"/>
          </w:tcPr>
          <w:p>
            <w:pPr>
              <w:spacing w:after="0"/>
              <w:rPr>
                <w:sz w:val="24"/>
                <w:szCs w:val="24"/>
                <w:color w:val="auto"/>
              </w:rPr>
            </w:pPr>
          </w:p>
        </w:tc>
        <w:tc>
          <w:tcPr>
            <w:tcW w:w="3440" w:type="dxa"/>
            <w:vAlign w:val="bottom"/>
            <w:tcBorders>
              <w:top w:val="single" w:sz="8" w:color="0000EE"/>
              <w:bottom w:val="single" w:sz="8" w:color="0000EE"/>
            </w:tcBorders>
            <w:gridSpan w:val="18"/>
          </w:tcPr>
          <w:p>
            <w:pPr>
              <w:spacing w:after="0"/>
              <w:rPr>
                <w:rFonts w:ascii="Arial" w:cs="Arial" w:eastAsia="Arial" w:hAnsi="Arial"/>
                <w:sz w:val="16"/>
                <w:szCs w:val="16"/>
                <w:color w:val="0000EE"/>
                <w:w w:val="96"/>
              </w:rPr>
            </w:pPr>
            <w:hyperlink w:anchor="page36">
              <w:r>
                <w:rPr>
                  <w:rFonts w:ascii="Arial" w:cs="Arial" w:eastAsia="Arial" w:hAnsi="Arial"/>
                  <w:sz w:val="16"/>
                  <w:szCs w:val="16"/>
                  <w:color w:val="0000EE"/>
                  <w:w w:val="96"/>
                </w:rPr>
                <w:t>COMPENSATION DISCUSSION AND ANALYSIS</w:t>
              </w:r>
            </w:hyperlink>
          </w:p>
        </w:tc>
        <w:tc>
          <w:tcPr>
            <w:tcW w:w="480" w:type="dxa"/>
            <w:vAlign w:val="bottom"/>
            <w:tcBorders>
              <w:top w:val="single" w:sz="8" w:color="0000EE"/>
            </w:tcBorders>
            <w:gridSpan w:val="4"/>
          </w:tcPr>
          <w:p>
            <w:pPr>
              <w:spacing w:after="0"/>
              <w:rPr>
                <w:sz w:val="24"/>
                <w:szCs w:val="24"/>
                <w:color w:val="auto"/>
              </w:rPr>
            </w:pPr>
          </w:p>
        </w:tc>
        <w:tc>
          <w:tcPr>
            <w:tcW w:w="4280" w:type="dxa"/>
            <w:vAlign w:val="bottom"/>
            <w:gridSpan w:val="6"/>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Borders>
              <w:top w:val="single" w:sz="8" w:color="0000EE"/>
              <w:bottom w:val="single" w:sz="8" w:color="0000EE"/>
            </w:tcBorders>
            <w:gridSpan w:val="2"/>
          </w:tcPr>
          <w:p>
            <w:pPr>
              <w:jc w:val="right"/>
              <w:spacing w:after="0"/>
              <w:rPr>
                <w:rFonts w:ascii="Arial" w:cs="Arial" w:eastAsia="Arial" w:hAnsi="Arial"/>
                <w:sz w:val="16"/>
                <w:szCs w:val="16"/>
                <w:color w:val="0000EE"/>
                <w:w w:val="78"/>
              </w:rPr>
            </w:pPr>
            <w:hyperlink w:anchor="page36">
              <w:r>
                <w:rPr>
                  <w:rFonts w:ascii="Arial" w:cs="Arial" w:eastAsia="Arial" w:hAnsi="Arial"/>
                  <w:sz w:val="16"/>
                  <w:szCs w:val="16"/>
                  <w:color w:val="0000EE"/>
                  <w:w w:val="78"/>
                </w:rPr>
                <w:t>31</w:t>
              </w:r>
            </w:hyperlink>
          </w:p>
        </w:tc>
        <w:tc>
          <w:tcPr>
            <w:tcW w:w="1140" w:type="dxa"/>
            <w:vAlign w:val="bottom"/>
          </w:tcPr>
          <w:p>
            <w:pPr>
              <w:spacing w:after="0"/>
              <w:rPr>
                <w:sz w:val="24"/>
                <w:szCs w:val="24"/>
                <w:color w:val="auto"/>
              </w:rPr>
            </w:pPr>
          </w:p>
        </w:tc>
      </w:tr>
      <w:tr>
        <w:trPr>
          <w:trHeight w:val="399"/>
        </w:trPr>
        <w:tc>
          <w:tcPr>
            <w:tcW w:w="1140" w:type="dxa"/>
            <w:vAlign w:val="bottom"/>
          </w:tcPr>
          <w:p>
            <w:pPr>
              <w:spacing w:after="0"/>
              <w:rPr>
                <w:sz w:val="24"/>
                <w:szCs w:val="24"/>
                <w:color w:val="auto"/>
              </w:rPr>
            </w:pPr>
          </w:p>
        </w:tc>
        <w:tc>
          <w:tcPr>
            <w:tcW w:w="580" w:type="dxa"/>
            <w:vAlign w:val="bottom"/>
            <w:gridSpan w:val="6"/>
          </w:tcPr>
          <w:p>
            <w:pPr>
              <w:spacing w:after="0"/>
              <w:rPr>
                <w:rFonts w:ascii="Arial" w:cs="Arial" w:eastAsia="Arial" w:hAnsi="Arial"/>
                <w:sz w:val="16"/>
                <w:szCs w:val="16"/>
                <w:color w:val="0000EE"/>
              </w:rPr>
            </w:pPr>
            <w:hyperlink w:anchor="page53">
              <w:r>
                <w:rPr>
                  <w:rFonts w:ascii="Arial" w:cs="Arial" w:eastAsia="Arial" w:hAnsi="Arial"/>
                  <w:sz w:val="16"/>
                  <w:szCs w:val="16"/>
                  <w:color w:val="0000EE"/>
                </w:rPr>
                <w:t>V.</w:t>
              </w:r>
            </w:hyperlink>
          </w:p>
        </w:tc>
        <w:tc>
          <w:tcPr>
            <w:tcW w:w="8200" w:type="dxa"/>
            <w:vAlign w:val="bottom"/>
            <w:gridSpan w:val="28"/>
          </w:tcPr>
          <w:p>
            <w:pPr>
              <w:spacing w:after="0"/>
              <w:rPr>
                <w:rFonts w:ascii="Arial" w:cs="Arial" w:eastAsia="Arial" w:hAnsi="Arial"/>
                <w:sz w:val="16"/>
                <w:szCs w:val="16"/>
                <w:color w:val="0000EE"/>
              </w:rPr>
            </w:pPr>
            <w:hyperlink w:anchor="page53">
              <w:r>
                <w:rPr>
                  <w:rFonts w:ascii="Arial" w:cs="Arial" w:eastAsia="Arial" w:hAnsi="Arial"/>
                  <w:sz w:val="16"/>
                  <w:szCs w:val="16"/>
                  <w:color w:val="0000EE"/>
                </w:rPr>
                <w:t>EXECUTIVE COMPENSATION TABLES</w:t>
              </w:r>
            </w:hyperlink>
          </w:p>
        </w:tc>
        <w:tc>
          <w:tcPr>
            <w:tcW w:w="360" w:type="dxa"/>
            <w:vAlign w:val="bottom"/>
            <w:gridSpan w:val="3"/>
          </w:tcPr>
          <w:p>
            <w:pPr>
              <w:jc w:val="right"/>
              <w:spacing w:after="0"/>
              <w:rPr>
                <w:rFonts w:ascii="Arial" w:cs="Arial" w:eastAsia="Arial" w:hAnsi="Arial"/>
                <w:sz w:val="16"/>
                <w:szCs w:val="16"/>
                <w:color w:val="0000EE"/>
              </w:rPr>
            </w:pPr>
            <w:hyperlink w:anchor="page53">
              <w:r>
                <w:rPr>
                  <w:rFonts w:ascii="Arial" w:cs="Arial" w:eastAsia="Arial" w:hAnsi="Arial"/>
                  <w:sz w:val="16"/>
                  <w:szCs w:val="16"/>
                  <w:color w:val="0000EE"/>
                </w:rPr>
                <w:t>48</w:t>
              </w:r>
            </w:hyperlink>
          </w:p>
        </w:tc>
        <w:tc>
          <w:tcPr>
            <w:tcW w:w="114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400" w:type="dxa"/>
            <w:vAlign w:val="bottom"/>
            <w:tcBorders>
              <w:right w:val="single" w:sz="8" w:color="0000EE"/>
            </w:tcBorders>
            <w:gridSpan w:val="3"/>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360" w:type="dxa"/>
            <w:vAlign w:val="bottom"/>
            <w:gridSpan w:val="7"/>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99"/>
        </w:trPr>
        <w:tc>
          <w:tcPr>
            <w:tcW w:w="1140" w:type="dxa"/>
            <w:vAlign w:val="bottom"/>
          </w:tcPr>
          <w:p>
            <w:pPr>
              <w:spacing w:after="0"/>
              <w:rPr>
                <w:sz w:val="24"/>
                <w:szCs w:val="24"/>
                <w:color w:val="auto"/>
              </w:rPr>
            </w:pPr>
          </w:p>
        </w:tc>
        <w:tc>
          <w:tcPr>
            <w:tcW w:w="220" w:type="dxa"/>
            <w:vAlign w:val="bottom"/>
            <w:gridSpan w:val="4"/>
          </w:tcPr>
          <w:p>
            <w:pPr>
              <w:spacing w:after="0"/>
              <w:rPr>
                <w:rFonts w:ascii="Arial" w:cs="Arial" w:eastAsia="Arial" w:hAnsi="Arial"/>
                <w:sz w:val="16"/>
                <w:szCs w:val="16"/>
                <w:color w:val="0000EE"/>
                <w:w w:val="91"/>
              </w:rPr>
            </w:pPr>
            <w:hyperlink w:anchor="page66">
              <w:r>
                <w:rPr>
                  <w:rFonts w:ascii="Arial" w:cs="Arial" w:eastAsia="Arial" w:hAnsi="Arial"/>
                  <w:sz w:val="16"/>
                  <w:szCs w:val="16"/>
                  <w:color w:val="0000EE"/>
                  <w:w w:val="91"/>
                </w:rPr>
                <w:t>VI.</w:t>
              </w:r>
            </w:hyperlink>
          </w:p>
        </w:tc>
        <w:tc>
          <w:tcPr>
            <w:tcW w:w="360" w:type="dxa"/>
            <w:vAlign w:val="bottom"/>
            <w:gridSpan w:val="2"/>
          </w:tcPr>
          <w:p>
            <w:pPr>
              <w:spacing w:after="0"/>
              <w:rPr>
                <w:sz w:val="24"/>
                <w:szCs w:val="24"/>
                <w:color w:val="auto"/>
              </w:rPr>
            </w:pPr>
          </w:p>
        </w:tc>
        <w:tc>
          <w:tcPr>
            <w:tcW w:w="8200" w:type="dxa"/>
            <w:vAlign w:val="bottom"/>
            <w:gridSpan w:val="28"/>
          </w:tcPr>
          <w:p>
            <w:pPr>
              <w:spacing w:after="0"/>
              <w:rPr>
                <w:rFonts w:ascii="Arial" w:cs="Arial" w:eastAsia="Arial" w:hAnsi="Arial"/>
                <w:sz w:val="16"/>
                <w:szCs w:val="16"/>
                <w:color w:val="0000EE"/>
              </w:rPr>
            </w:pPr>
            <w:hyperlink w:anchor="page66">
              <w:r>
                <w:rPr>
                  <w:rFonts w:ascii="Arial" w:cs="Arial" w:eastAsia="Arial" w:hAnsi="Arial"/>
                  <w:sz w:val="16"/>
                  <w:szCs w:val="16"/>
                  <w:color w:val="0000EE"/>
                </w:rPr>
                <w:t>PROPOSAL NO. 2—NON-BINDING, ADVISORY VOTE ON EXECUTIVE COMPENSATION</w:t>
              </w:r>
            </w:hyperlink>
          </w:p>
        </w:tc>
        <w:tc>
          <w:tcPr>
            <w:tcW w:w="360" w:type="dxa"/>
            <w:vAlign w:val="bottom"/>
            <w:gridSpan w:val="3"/>
          </w:tcPr>
          <w:p>
            <w:pPr>
              <w:jc w:val="right"/>
              <w:spacing w:after="0"/>
              <w:rPr>
                <w:rFonts w:ascii="Arial" w:cs="Arial" w:eastAsia="Arial" w:hAnsi="Arial"/>
                <w:sz w:val="16"/>
                <w:szCs w:val="16"/>
                <w:color w:val="0000EE"/>
              </w:rPr>
            </w:pPr>
            <w:hyperlink w:anchor="page66">
              <w:r>
                <w:rPr>
                  <w:rFonts w:ascii="Arial" w:cs="Arial" w:eastAsia="Arial" w:hAnsi="Arial"/>
                  <w:sz w:val="16"/>
                  <w:szCs w:val="16"/>
                  <w:color w:val="0000EE"/>
                </w:rPr>
                <w:t>61</w:t>
              </w:r>
            </w:hyperlink>
          </w:p>
        </w:tc>
        <w:tc>
          <w:tcPr>
            <w:tcW w:w="114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220" w:type="dxa"/>
            <w:vAlign w:val="bottom"/>
            <w:tcBorders>
              <w:right w:val="single" w:sz="8" w:color="0000EE"/>
            </w:tcBorders>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400" w:type="dxa"/>
            <w:vAlign w:val="bottom"/>
            <w:tcBorders>
              <w:right w:val="single" w:sz="8" w:color="0000EE"/>
            </w:tcBorders>
            <w:gridSpan w:val="3"/>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380" w:type="dxa"/>
            <w:vAlign w:val="bottom"/>
            <w:gridSpan w:val="8"/>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80" w:type="dxa"/>
            <w:vAlign w:val="bottom"/>
            <w:gridSpan w:val="4"/>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99"/>
        </w:trPr>
        <w:tc>
          <w:tcPr>
            <w:tcW w:w="1140" w:type="dxa"/>
            <w:vAlign w:val="bottom"/>
          </w:tcPr>
          <w:p>
            <w:pPr>
              <w:spacing w:after="0"/>
              <w:rPr>
                <w:sz w:val="24"/>
                <w:szCs w:val="24"/>
                <w:color w:val="auto"/>
              </w:rPr>
            </w:pPr>
          </w:p>
        </w:tc>
        <w:tc>
          <w:tcPr>
            <w:tcW w:w="580" w:type="dxa"/>
            <w:vAlign w:val="bottom"/>
            <w:gridSpan w:val="6"/>
          </w:tcPr>
          <w:p>
            <w:pPr>
              <w:spacing w:after="0"/>
              <w:rPr>
                <w:rFonts w:ascii="Arial" w:cs="Arial" w:eastAsia="Arial" w:hAnsi="Arial"/>
                <w:sz w:val="16"/>
                <w:szCs w:val="16"/>
                <w:color w:val="0000EE"/>
              </w:rPr>
            </w:pPr>
            <w:hyperlink w:anchor="page67">
              <w:r>
                <w:rPr>
                  <w:rFonts w:ascii="Arial" w:cs="Arial" w:eastAsia="Arial" w:hAnsi="Arial"/>
                  <w:sz w:val="16"/>
                  <w:szCs w:val="16"/>
                  <w:color w:val="0000EE"/>
                </w:rPr>
                <w:t>VII.</w:t>
              </w:r>
            </w:hyperlink>
          </w:p>
        </w:tc>
        <w:tc>
          <w:tcPr>
            <w:tcW w:w="8200" w:type="dxa"/>
            <w:vAlign w:val="bottom"/>
            <w:gridSpan w:val="28"/>
          </w:tcPr>
          <w:p>
            <w:pPr>
              <w:spacing w:after="0"/>
              <w:rPr>
                <w:rFonts w:ascii="Arial" w:cs="Arial" w:eastAsia="Arial" w:hAnsi="Arial"/>
                <w:sz w:val="16"/>
                <w:szCs w:val="16"/>
                <w:color w:val="0000EE"/>
                <w:w w:val="99"/>
              </w:rPr>
            </w:pPr>
            <w:hyperlink w:anchor="page67">
              <w:r>
                <w:rPr>
                  <w:rFonts w:ascii="Arial" w:cs="Arial" w:eastAsia="Arial" w:hAnsi="Arial"/>
                  <w:sz w:val="16"/>
                  <w:szCs w:val="16"/>
                  <w:color w:val="0000EE"/>
                  <w:w w:val="99"/>
                </w:rPr>
                <w:t>PROPOSAL NO. 3—RATIFICATION OF INDEPENDENT REGISTERED CERTIFIED PUBLIC ACCOUNTING FIRM</w:t>
              </w:r>
            </w:hyperlink>
          </w:p>
        </w:tc>
        <w:tc>
          <w:tcPr>
            <w:tcW w:w="360" w:type="dxa"/>
            <w:vAlign w:val="bottom"/>
            <w:gridSpan w:val="3"/>
          </w:tcPr>
          <w:p>
            <w:pPr>
              <w:jc w:val="right"/>
              <w:spacing w:after="0"/>
              <w:rPr>
                <w:rFonts w:ascii="Arial" w:cs="Arial" w:eastAsia="Arial" w:hAnsi="Arial"/>
                <w:sz w:val="16"/>
                <w:szCs w:val="16"/>
                <w:color w:val="0000EE"/>
              </w:rPr>
            </w:pPr>
            <w:hyperlink w:anchor="page67">
              <w:r>
                <w:rPr>
                  <w:rFonts w:ascii="Arial" w:cs="Arial" w:eastAsia="Arial" w:hAnsi="Arial"/>
                  <w:sz w:val="16"/>
                  <w:szCs w:val="16"/>
                  <w:color w:val="0000EE"/>
                </w:rPr>
                <w:t>62</w:t>
              </w:r>
            </w:hyperlink>
          </w:p>
        </w:tc>
        <w:tc>
          <w:tcPr>
            <w:tcW w:w="114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220" w:type="dxa"/>
            <w:vAlign w:val="bottom"/>
            <w:tcBorders>
              <w:right w:val="single" w:sz="8" w:color="0000EE"/>
            </w:tcBorders>
            <w:gridSpan w:val="4"/>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400" w:type="dxa"/>
            <w:vAlign w:val="bottom"/>
            <w:tcBorders>
              <w:right w:val="single" w:sz="8" w:color="0000EE"/>
            </w:tcBorders>
            <w:gridSpan w:val="3"/>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380" w:type="dxa"/>
            <w:vAlign w:val="bottom"/>
            <w:gridSpan w:val="8"/>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80" w:type="dxa"/>
            <w:vAlign w:val="bottom"/>
            <w:gridSpan w:val="4"/>
            <w:shd w:val="clear" w:color="auto" w:fill="0000EE"/>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99"/>
        </w:trPr>
        <w:tc>
          <w:tcPr>
            <w:tcW w:w="1140" w:type="dxa"/>
            <w:vAlign w:val="bottom"/>
          </w:tcPr>
          <w:p>
            <w:pPr>
              <w:spacing w:after="0"/>
              <w:rPr>
                <w:sz w:val="24"/>
                <w:szCs w:val="24"/>
                <w:color w:val="auto"/>
              </w:rPr>
            </w:pPr>
          </w:p>
        </w:tc>
        <w:tc>
          <w:tcPr>
            <w:tcW w:w="580" w:type="dxa"/>
            <w:vAlign w:val="bottom"/>
            <w:gridSpan w:val="6"/>
          </w:tcPr>
          <w:p>
            <w:pPr>
              <w:spacing w:after="0"/>
              <w:rPr>
                <w:rFonts w:ascii="Arial" w:cs="Arial" w:eastAsia="Arial" w:hAnsi="Arial"/>
                <w:sz w:val="16"/>
                <w:szCs w:val="16"/>
                <w:color w:val="0000EE"/>
              </w:rPr>
            </w:pPr>
            <w:hyperlink w:anchor="page70">
              <w:r>
                <w:rPr>
                  <w:rFonts w:ascii="Arial" w:cs="Arial" w:eastAsia="Arial" w:hAnsi="Arial"/>
                  <w:sz w:val="16"/>
                  <w:szCs w:val="16"/>
                  <w:color w:val="0000EE"/>
                </w:rPr>
                <w:t>VIII.</w:t>
              </w:r>
            </w:hyperlink>
          </w:p>
        </w:tc>
        <w:tc>
          <w:tcPr>
            <w:tcW w:w="8200" w:type="dxa"/>
            <w:vAlign w:val="bottom"/>
            <w:gridSpan w:val="28"/>
          </w:tcPr>
          <w:p>
            <w:pPr>
              <w:spacing w:after="0"/>
              <w:rPr>
                <w:rFonts w:ascii="Arial" w:cs="Arial" w:eastAsia="Arial" w:hAnsi="Arial"/>
                <w:sz w:val="16"/>
                <w:szCs w:val="16"/>
                <w:color w:val="0000EE"/>
              </w:rPr>
            </w:pPr>
            <w:hyperlink w:anchor="page70">
              <w:r>
                <w:rPr>
                  <w:rFonts w:ascii="Arial" w:cs="Arial" w:eastAsia="Arial" w:hAnsi="Arial"/>
                  <w:sz w:val="16"/>
                  <w:szCs w:val="16"/>
                  <w:color w:val="0000EE"/>
                </w:rPr>
                <w:t>SECURITY OWNERSHIP OF CERTAIN BENEFICIAL OWNERS AND MANAGEMENT</w:t>
              </w:r>
            </w:hyperlink>
          </w:p>
        </w:tc>
        <w:tc>
          <w:tcPr>
            <w:tcW w:w="360" w:type="dxa"/>
            <w:vAlign w:val="bottom"/>
            <w:gridSpan w:val="3"/>
          </w:tcPr>
          <w:p>
            <w:pPr>
              <w:jc w:val="right"/>
              <w:spacing w:after="0"/>
              <w:rPr>
                <w:rFonts w:ascii="Arial" w:cs="Arial" w:eastAsia="Arial" w:hAnsi="Arial"/>
                <w:sz w:val="16"/>
                <w:szCs w:val="16"/>
                <w:color w:val="0000EE"/>
              </w:rPr>
            </w:pPr>
            <w:hyperlink w:anchor="page70">
              <w:r>
                <w:rPr>
                  <w:rFonts w:ascii="Arial" w:cs="Arial" w:eastAsia="Arial" w:hAnsi="Arial"/>
                  <w:sz w:val="16"/>
                  <w:szCs w:val="16"/>
                  <w:color w:val="0000EE"/>
                </w:rPr>
                <w:t>65</w:t>
              </w:r>
            </w:hyperlink>
          </w:p>
        </w:tc>
        <w:tc>
          <w:tcPr>
            <w:tcW w:w="1140" w:type="dxa"/>
            <w:vAlign w:val="bottom"/>
          </w:tcPr>
          <w:p>
            <w:pPr>
              <w:spacing w:after="0"/>
              <w:rPr>
                <w:sz w:val="24"/>
                <w:szCs w:val="24"/>
                <w:color w:val="auto"/>
              </w:rPr>
            </w:pPr>
          </w:p>
        </w:tc>
      </w:tr>
      <w:tr>
        <w:trPr>
          <w:trHeight w:val="399"/>
        </w:trPr>
        <w:tc>
          <w:tcPr>
            <w:tcW w:w="1140" w:type="dxa"/>
            <w:vAlign w:val="bottom"/>
          </w:tcPr>
          <w:p>
            <w:pPr>
              <w:spacing w:after="0"/>
              <w:rPr>
                <w:sz w:val="24"/>
                <w:szCs w:val="24"/>
                <w:color w:val="auto"/>
              </w:rPr>
            </w:pPr>
          </w:p>
        </w:tc>
        <w:tc>
          <w:tcPr>
            <w:tcW w:w="220" w:type="dxa"/>
            <w:vAlign w:val="bottom"/>
            <w:tcBorders>
              <w:top w:val="single" w:sz="8" w:color="0000EE"/>
            </w:tcBorders>
            <w:gridSpan w:val="4"/>
          </w:tcPr>
          <w:p>
            <w:pPr>
              <w:spacing w:after="0"/>
              <w:rPr>
                <w:rFonts w:ascii="Arial" w:cs="Arial" w:eastAsia="Arial" w:hAnsi="Arial"/>
                <w:sz w:val="16"/>
                <w:szCs w:val="16"/>
                <w:color w:val="0000EE"/>
                <w:w w:val="91"/>
              </w:rPr>
            </w:pPr>
            <w:hyperlink w:anchor="page73">
              <w:r>
                <w:rPr>
                  <w:rFonts w:ascii="Arial" w:cs="Arial" w:eastAsia="Arial" w:hAnsi="Arial"/>
                  <w:sz w:val="16"/>
                  <w:szCs w:val="16"/>
                  <w:color w:val="0000EE"/>
                  <w:w w:val="91"/>
                </w:rPr>
                <w:t>IX.</w:t>
              </w:r>
            </w:hyperlink>
          </w:p>
        </w:tc>
        <w:tc>
          <w:tcPr>
            <w:tcW w:w="10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6000" w:type="dxa"/>
            <w:vAlign w:val="bottom"/>
            <w:tcBorders>
              <w:top w:val="single" w:sz="8" w:color="0000EE"/>
            </w:tcBorders>
            <w:gridSpan w:val="25"/>
          </w:tcPr>
          <w:p>
            <w:pPr>
              <w:spacing w:after="0"/>
              <w:rPr>
                <w:rFonts w:ascii="Arial" w:cs="Arial" w:eastAsia="Arial" w:hAnsi="Arial"/>
                <w:sz w:val="16"/>
                <w:szCs w:val="16"/>
                <w:color w:val="0000EE"/>
              </w:rPr>
            </w:pPr>
            <w:hyperlink w:anchor="page73">
              <w:r>
                <w:rPr>
                  <w:rFonts w:ascii="Arial" w:cs="Arial" w:eastAsia="Arial" w:hAnsi="Arial"/>
                  <w:sz w:val="16"/>
                  <w:szCs w:val="16"/>
                  <w:color w:val="0000EE"/>
                </w:rPr>
                <w:t>OTHER MATTERS</w:t>
              </w:r>
            </w:hyperlink>
          </w:p>
        </w:tc>
        <w:tc>
          <w:tcPr>
            <w:tcW w:w="2200" w:type="dxa"/>
            <w:vAlign w:val="bottom"/>
            <w:gridSpan w:val="3"/>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Borders>
              <w:top w:val="single" w:sz="8" w:color="0000EE"/>
            </w:tcBorders>
            <w:gridSpan w:val="2"/>
          </w:tcPr>
          <w:p>
            <w:pPr>
              <w:jc w:val="right"/>
              <w:spacing w:after="0"/>
              <w:rPr>
                <w:rFonts w:ascii="Arial" w:cs="Arial" w:eastAsia="Arial" w:hAnsi="Arial"/>
                <w:sz w:val="16"/>
                <w:szCs w:val="16"/>
                <w:color w:val="0000EE"/>
                <w:w w:val="78"/>
              </w:rPr>
            </w:pPr>
            <w:hyperlink w:anchor="page73">
              <w:r>
                <w:rPr>
                  <w:rFonts w:ascii="Arial" w:cs="Arial" w:eastAsia="Arial" w:hAnsi="Arial"/>
                  <w:sz w:val="16"/>
                  <w:szCs w:val="16"/>
                  <w:color w:val="0000EE"/>
                  <w:w w:val="78"/>
                </w:rPr>
                <w:t>68</w:t>
              </w:r>
            </w:hyperlink>
          </w:p>
        </w:tc>
        <w:tc>
          <w:tcPr>
            <w:tcW w:w="114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400" w:type="dxa"/>
            <w:vAlign w:val="bottom"/>
            <w:tcBorders>
              <w:right w:val="single" w:sz="8" w:color="0000EE"/>
            </w:tcBorders>
            <w:gridSpan w:val="3"/>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80" w:type="dxa"/>
            <w:vAlign w:val="bottom"/>
            <w:gridSpan w:val="7"/>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99"/>
        </w:trPr>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0" w:type="dxa"/>
            <w:vAlign w:val="bottom"/>
            <w:gridSpan w:val="28"/>
          </w:tcPr>
          <w:p>
            <w:pPr>
              <w:spacing w:after="0"/>
              <w:rPr>
                <w:rFonts w:ascii="Arial" w:cs="Arial" w:eastAsia="Arial" w:hAnsi="Arial"/>
                <w:sz w:val="16"/>
                <w:szCs w:val="16"/>
                <w:color w:val="0000EE"/>
              </w:rPr>
            </w:pPr>
            <w:hyperlink w:anchor="page73">
              <w:r>
                <w:rPr>
                  <w:rFonts w:ascii="Arial" w:cs="Arial" w:eastAsia="Arial" w:hAnsi="Arial"/>
                  <w:sz w:val="16"/>
                  <w:szCs w:val="16"/>
                  <w:color w:val="0000EE"/>
                </w:rPr>
                <w:t>Section 16(a) Beneficial Ownership Reporting Compliance</w:t>
              </w:r>
            </w:hyperlink>
          </w:p>
        </w:tc>
        <w:tc>
          <w:tcPr>
            <w:tcW w:w="360" w:type="dxa"/>
            <w:vAlign w:val="bottom"/>
            <w:gridSpan w:val="3"/>
          </w:tcPr>
          <w:p>
            <w:pPr>
              <w:jc w:val="right"/>
              <w:spacing w:after="0"/>
              <w:rPr>
                <w:rFonts w:ascii="Arial" w:cs="Arial" w:eastAsia="Arial" w:hAnsi="Arial"/>
                <w:sz w:val="16"/>
                <w:szCs w:val="16"/>
                <w:color w:val="0000EE"/>
              </w:rPr>
            </w:pPr>
            <w:hyperlink w:anchor="page73">
              <w:r>
                <w:rPr>
                  <w:rFonts w:ascii="Arial" w:cs="Arial" w:eastAsia="Arial" w:hAnsi="Arial"/>
                  <w:sz w:val="16"/>
                  <w:szCs w:val="16"/>
                  <w:color w:val="0000EE"/>
                </w:rPr>
                <w:t>68</w:t>
              </w:r>
            </w:hyperlink>
          </w:p>
        </w:tc>
        <w:tc>
          <w:tcPr>
            <w:tcW w:w="1140" w:type="dxa"/>
            <w:vAlign w:val="bottom"/>
          </w:tcPr>
          <w:p>
            <w:pPr>
              <w:spacing w:after="0"/>
              <w:rPr>
                <w:sz w:val="24"/>
                <w:szCs w:val="24"/>
                <w:color w:val="auto"/>
              </w:rPr>
            </w:pPr>
          </w:p>
        </w:tc>
      </w:tr>
      <w:tr>
        <w:trPr>
          <w:trHeight w:val="177"/>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360" w:type="dxa"/>
            <w:vAlign w:val="bottom"/>
            <w:tcBorders>
              <w:top w:val="single" w:sz="8" w:color="0000EE"/>
              <w:bottom w:val="single" w:sz="8" w:color="0000EE"/>
            </w:tcBorders>
            <w:gridSpan w:val="16"/>
          </w:tcPr>
          <w:p>
            <w:pPr>
              <w:spacing w:after="0" w:line="178" w:lineRule="exact"/>
              <w:rPr>
                <w:rFonts w:ascii="Arial" w:cs="Arial" w:eastAsia="Arial" w:hAnsi="Arial"/>
                <w:sz w:val="16"/>
                <w:szCs w:val="16"/>
                <w:color w:val="0000EE"/>
                <w:w w:val="90"/>
              </w:rPr>
            </w:pPr>
            <w:hyperlink w:anchor="page73">
              <w:r>
                <w:rPr>
                  <w:rFonts w:ascii="Arial" w:cs="Arial" w:eastAsia="Arial" w:hAnsi="Arial"/>
                  <w:sz w:val="16"/>
                  <w:szCs w:val="16"/>
                  <w:color w:val="0000EE"/>
                  <w:w w:val="90"/>
                </w:rPr>
                <w:t>Shareholder Proposals for the 2019 Annual Meeting</w:t>
              </w:r>
            </w:hyperlink>
          </w:p>
        </w:tc>
        <w:tc>
          <w:tcPr>
            <w:tcW w:w="440" w:type="dxa"/>
            <w:vAlign w:val="bottom"/>
            <w:tcBorders>
              <w:top w:val="single" w:sz="8" w:color="0000EE"/>
            </w:tcBorders>
            <w:gridSpan w:val="4"/>
          </w:tcPr>
          <w:p>
            <w:pPr>
              <w:spacing w:after="0"/>
              <w:rPr>
                <w:sz w:val="15"/>
                <w:szCs w:val="15"/>
                <w:color w:val="auto"/>
              </w:rPr>
            </w:pPr>
          </w:p>
        </w:tc>
        <w:tc>
          <w:tcPr>
            <w:tcW w:w="4400" w:type="dxa"/>
            <w:vAlign w:val="bottom"/>
            <w:gridSpan w:val="8"/>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Borders>
              <w:top w:val="single" w:sz="8" w:color="0000EE"/>
              <w:bottom w:val="single" w:sz="8" w:color="0000EE"/>
            </w:tcBorders>
            <w:gridSpan w:val="2"/>
          </w:tcPr>
          <w:p>
            <w:pPr>
              <w:jc w:val="right"/>
              <w:spacing w:after="0" w:line="178" w:lineRule="exact"/>
              <w:rPr>
                <w:rFonts w:ascii="Arial" w:cs="Arial" w:eastAsia="Arial" w:hAnsi="Arial"/>
                <w:sz w:val="16"/>
                <w:szCs w:val="16"/>
                <w:color w:val="0000EE"/>
                <w:w w:val="78"/>
              </w:rPr>
            </w:pPr>
            <w:hyperlink w:anchor="page73">
              <w:r>
                <w:rPr>
                  <w:rFonts w:ascii="Arial" w:cs="Arial" w:eastAsia="Arial" w:hAnsi="Arial"/>
                  <w:sz w:val="16"/>
                  <w:szCs w:val="16"/>
                  <w:color w:val="0000EE"/>
                  <w:w w:val="78"/>
                </w:rPr>
                <w:t>68</w:t>
              </w:r>
            </w:hyperlink>
          </w:p>
        </w:tc>
        <w:tc>
          <w:tcPr>
            <w:tcW w:w="1140" w:type="dxa"/>
            <w:vAlign w:val="bottom"/>
          </w:tcPr>
          <w:p>
            <w:pPr>
              <w:spacing w:after="0"/>
              <w:rPr>
                <w:sz w:val="15"/>
                <w:szCs w:val="15"/>
                <w:color w:val="auto"/>
              </w:rPr>
            </w:pPr>
          </w:p>
        </w:tc>
      </w:tr>
      <w:tr>
        <w:trPr>
          <w:trHeight w:val="177"/>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0" w:type="dxa"/>
            <w:vAlign w:val="bottom"/>
            <w:gridSpan w:val="28"/>
          </w:tcPr>
          <w:p>
            <w:pPr>
              <w:spacing w:after="0" w:line="178" w:lineRule="exact"/>
              <w:rPr>
                <w:rFonts w:ascii="Arial" w:cs="Arial" w:eastAsia="Arial" w:hAnsi="Arial"/>
                <w:sz w:val="16"/>
                <w:szCs w:val="16"/>
                <w:color w:val="0000EE"/>
              </w:rPr>
            </w:pPr>
            <w:hyperlink w:anchor="page73">
              <w:r>
                <w:rPr>
                  <w:rFonts w:ascii="Arial" w:cs="Arial" w:eastAsia="Arial" w:hAnsi="Arial"/>
                  <w:sz w:val="16"/>
                  <w:szCs w:val="16"/>
                  <w:color w:val="0000EE"/>
                </w:rPr>
                <w:t>List of Shareholders Entitled to Vote at the Annual Meeting</w:t>
              </w:r>
            </w:hyperlink>
          </w:p>
        </w:tc>
        <w:tc>
          <w:tcPr>
            <w:tcW w:w="360" w:type="dxa"/>
            <w:vAlign w:val="bottom"/>
            <w:gridSpan w:val="3"/>
          </w:tcPr>
          <w:p>
            <w:pPr>
              <w:jc w:val="right"/>
              <w:spacing w:after="0" w:line="178" w:lineRule="exact"/>
              <w:rPr>
                <w:rFonts w:ascii="Arial" w:cs="Arial" w:eastAsia="Arial" w:hAnsi="Arial"/>
                <w:sz w:val="16"/>
                <w:szCs w:val="16"/>
                <w:color w:val="0000EE"/>
              </w:rPr>
            </w:pPr>
            <w:hyperlink w:anchor="page73">
              <w:r>
                <w:rPr>
                  <w:rFonts w:ascii="Arial" w:cs="Arial" w:eastAsia="Arial" w:hAnsi="Arial"/>
                  <w:sz w:val="16"/>
                  <w:szCs w:val="16"/>
                  <w:color w:val="0000EE"/>
                </w:rPr>
                <w:t>68</w:t>
              </w:r>
            </w:hyperlink>
          </w:p>
        </w:tc>
        <w:tc>
          <w:tcPr>
            <w:tcW w:w="1140" w:type="dxa"/>
            <w:vAlign w:val="bottom"/>
          </w:tcPr>
          <w:p>
            <w:pPr>
              <w:spacing w:after="0"/>
              <w:rPr>
                <w:sz w:val="15"/>
                <w:szCs w:val="15"/>
                <w:color w:val="auto"/>
              </w:rPr>
            </w:pPr>
          </w:p>
        </w:tc>
      </w:tr>
      <w:tr>
        <w:trPr>
          <w:trHeight w:val="177"/>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40" w:type="dxa"/>
            <w:vAlign w:val="bottom"/>
            <w:tcBorders>
              <w:top w:val="single" w:sz="8" w:color="0000EE"/>
              <w:bottom w:val="single" w:sz="8" w:color="0000EE"/>
            </w:tcBorders>
            <w:gridSpan w:val="14"/>
          </w:tcPr>
          <w:p>
            <w:pPr>
              <w:spacing w:after="0" w:line="178" w:lineRule="exact"/>
              <w:rPr>
                <w:rFonts w:ascii="Arial" w:cs="Arial" w:eastAsia="Arial" w:hAnsi="Arial"/>
                <w:sz w:val="16"/>
                <w:szCs w:val="16"/>
                <w:color w:val="0000EE"/>
                <w:w w:val="91"/>
              </w:rPr>
            </w:pPr>
            <w:hyperlink w:anchor="page74">
              <w:r>
                <w:rPr>
                  <w:rFonts w:ascii="Arial" w:cs="Arial" w:eastAsia="Arial" w:hAnsi="Arial"/>
                  <w:sz w:val="16"/>
                  <w:szCs w:val="16"/>
                  <w:color w:val="0000EE"/>
                  <w:w w:val="91"/>
                </w:rPr>
                <w:t>Expenses Relating to this Proxy Solicitation</w:t>
              </w:r>
            </w:hyperlink>
          </w:p>
        </w:tc>
        <w:tc>
          <w:tcPr>
            <w:tcW w:w="980" w:type="dxa"/>
            <w:vAlign w:val="bottom"/>
            <w:tcBorders>
              <w:top w:val="single" w:sz="8" w:color="0000EE"/>
            </w:tcBorders>
            <w:gridSpan w:val="7"/>
          </w:tcPr>
          <w:p>
            <w:pPr>
              <w:spacing w:after="0"/>
              <w:rPr>
                <w:sz w:val="15"/>
                <w:szCs w:val="15"/>
                <w:color w:val="auto"/>
              </w:rPr>
            </w:pPr>
          </w:p>
        </w:tc>
        <w:tc>
          <w:tcPr>
            <w:tcW w:w="4380" w:type="dxa"/>
            <w:vAlign w:val="bottom"/>
            <w:gridSpan w:val="7"/>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Borders>
              <w:top w:val="single" w:sz="8" w:color="0000EE"/>
              <w:bottom w:val="single" w:sz="8" w:color="0000EE"/>
            </w:tcBorders>
            <w:gridSpan w:val="2"/>
          </w:tcPr>
          <w:p>
            <w:pPr>
              <w:jc w:val="right"/>
              <w:spacing w:after="0" w:line="178" w:lineRule="exact"/>
              <w:rPr>
                <w:rFonts w:ascii="Arial" w:cs="Arial" w:eastAsia="Arial" w:hAnsi="Arial"/>
                <w:sz w:val="16"/>
                <w:szCs w:val="16"/>
                <w:color w:val="0000EE"/>
                <w:w w:val="78"/>
              </w:rPr>
            </w:pPr>
            <w:hyperlink w:anchor="page74">
              <w:r>
                <w:rPr>
                  <w:rFonts w:ascii="Arial" w:cs="Arial" w:eastAsia="Arial" w:hAnsi="Arial"/>
                  <w:sz w:val="16"/>
                  <w:szCs w:val="16"/>
                  <w:color w:val="0000EE"/>
                  <w:w w:val="78"/>
                </w:rPr>
                <w:t>69</w:t>
              </w:r>
            </w:hyperlink>
          </w:p>
        </w:tc>
        <w:tc>
          <w:tcPr>
            <w:tcW w:w="1140" w:type="dxa"/>
            <w:vAlign w:val="bottom"/>
          </w:tcPr>
          <w:p>
            <w:pPr>
              <w:spacing w:after="0"/>
              <w:rPr>
                <w:sz w:val="15"/>
                <w:szCs w:val="15"/>
                <w:color w:val="auto"/>
              </w:rPr>
            </w:pPr>
          </w:p>
        </w:tc>
      </w:tr>
      <w:tr>
        <w:trPr>
          <w:trHeight w:val="177"/>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60" w:type="dxa"/>
            <w:vAlign w:val="bottom"/>
            <w:tcBorders>
              <w:bottom w:val="single" w:sz="8" w:color="0000EE"/>
            </w:tcBorders>
            <w:gridSpan w:val="15"/>
          </w:tcPr>
          <w:p>
            <w:pPr>
              <w:spacing w:after="0" w:line="178" w:lineRule="exact"/>
              <w:rPr>
                <w:rFonts w:ascii="Arial" w:cs="Arial" w:eastAsia="Arial" w:hAnsi="Arial"/>
                <w:sz w:val="16"/>
                <w:szCs w:val="16"/>
                <w:color w:val="0000EE"/>
                <w:w w:val="93"/>
              </w:rPr>
            </w:pPr>
            <w:hyperlink w:anchor="page74">
              <w:r>
                <w:rPr>
                  <w:rFonts w:ascii="Arial" w:cs="Arial" w:eastAsia="Arial" w:hAnsi="Arial"/>
                  <w:sz w:val="16"/>
                  <w:szCs w:val="16"/>
                  <w:color w:val="0000EE"/>
                  <w:w w:val="93"/>
                </w:rPr>
                <w:t>Communication with our Board of Directors</w:t>
              </w:r>
            </w:hyperlink>
          </w:p>
        </w:tc>
        <w:tc>
          <w:tcPr>
            <w:tcW w:w="5340" w:type="dxa"/>
            <w:vAlign w:val="bottom"/>
            <w:gridSpan w:val="13"/>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Borders>
              <w:bottom w:val="single" w:sz="8" w:color="0000EE"/>
            </w:tcBorders>
            <w:gridSpan w:val="2"/>
          </w:tcPr>
          <w:p>
            <w:pPr>
              <w:jc w:val="right"/>
              <w:spacing w:after="0" w:line="178" w:lineRule="exact"/>
              <w:rPr>
                <w:rFonts w:ascii="Arial" w:cs="Arial" w:eastAsia="Arial" w:hAnsi="Arial"/>
                <w:sz w:val="16"/>
                <w:szCs w:val="16"/>
                <w:color w:val="0000EE"/>
                <w:w w:val="78"/>
              </w:rPr>
            </w:pPr>
            <w:hyperlink w:anchor="page74">
              <w:r>
                <w:rPr>
                  <w:rFonts w:ascii="Arial" w:cs="Arial" w:eastAsia="Arial" w:hAnsi="Arial"/>
                  <w:sz w:val="16"/>
                  <w:szCs w:val="16"/>
                  <w:color w:val="0000EE"/>
                  <w:w w:val="78"/>
                </w:rPr>
                <w:t>69</w:t>
              </w:r>
            </w:hyperlink>
          </w:p>
        </w:tc>
        <w:tc>
          <w:tcPr>
            <w:tcW w:w="1140" w:type="dxa"/>
            <w:vAlign w:val="bottom"/>
          </w:tcPr>
          <w:p>
            <w:pPr>
              <w:spacing w:after="0"/>
              <w:rPr>
                <w:sz w:val="15"/>
                <w:szCs w:val="15"/>
                <w:color w:val="auto"/>
              </w:rPr>
            </w:pPr>
          </w:p>
        </w:tc>
      </w:tr>
      <w:tr>
        <w:trPr>
          <w:trHeight w:val="177"/>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0" w:type="dxa"/>
            <w:vAlign w:val="bottom"/>
            <w:gridSpan w:val="28"/>
          </w:tcPr>
          <w:p>
            <w:pPr>
              <w:spacing w:after="0" w:line="178" w:lineRule="exact"/>
              <w:rPr>
                <w:rFonts w:ascii="Arial" w:cs="Arial" w:eastAsia="Arial" w:hAnsi="Arial"/>
                <w:sz w:val="16"/>
                <w:szCs w:val="16"/>
                <w:color w:val="0000EE"/>
              </w:rPr>
            </w:pPr>
            <w:hyperlink w:anchor="page74">
              <w:r>
                <w:rPr>
                  <w:rFonts w:ascii="Arial" w:cs="Arial" w:eastAsia="Arial" w:hAnsi="Arial"/>
                  <w:sz w:val="16"/>
                  <w:szCs w:val="16"/>
                  <w:color w:val="0000EE"/>
                </w:rPr>
                <w:t>Available Information</w:t>
              </w:r>
            </w:hyperlink>
          </w:p>
        </w:tc>
        <w:tc>
          <w:tcPr>
            <w:tcW w:w="360" w:type="dxa"/>
            <w:vAlign w:val="bottom"/>
            <w:gridSpan w:val="3"/>
          </w:tcPr>
          <w:p>
            <w:pPr>
              <w:jc w:val="right"/>
              <w:spacing w:after="0" w:line="178" w:lineRule="exact"/>
              <w:rPr>
                <w:rFonts w:ascii="Arial" w:cs="Arial" w:eastAsia="Arial" w:hAnsi="Arial"/>
                <w:sz w:val="16"/>
                <w:szCs w:val="16"/>
                <w:color w:val="0000EE"/>
              </w:rPr>
            </w:pPr>
            <w:hyperlink w:anchor="page74">
              <w:r>
                <w:rPr>
                  <w:rFonts w:ascii="Arial" w:cs="Arial" w:eastAsia="Arial" w:hAnsi="Arial"/>
                  <w:sz w:val="16"/>
                  <w:szCs w:val="16"/>
                  <w:color w:val="0000EE"/>
                </w:rPr>
                <w:t>69</w:t>
              </w:r>
            </w:hyperlink>
          </w:p>
        </w:tc>
        <w:tc>
          <w:tcPr>
            <w:tcW w:w="1140" w:type="dxa"/>
            <w:vAlign w:val="bottom"/>
          </w:tcPr>
          <w:p>
            <w:pPr>
              <w:spacing w:after="0"/>
              <w:rPr>
                <w:sz w:val="15"/>
                <w:szCs w:val="15"/>
                <w:color w:val="auto"/>
              </w:rPr>
            </w:pPr>
          </w:p>
        </w:tc>
      </w:tr>
      <w:tr>
        <w:trPr>
          <w:trHeight w:val="177"/>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tcBorders>
              <w:top w:val="single" w:sz="8" w:color="0000EE"/>
            </w:tcBorders>
            <w:gridSpan w:val="6"/>
          </w:tcPr>
          <w:p>
            <w:pPr>
              <w:spacing w:after="0" w:line="178" w:lineRule="exact"/>
              <w:rPr>
                <w:rFonts w:ascii="Arial" w:cs="Arial" w:eastAsia="Arial" w:hAnsi="Arial"/>
                <w:sz w:val="16"/>
                <w:szCs w:val="16"/>
                <w:color w:val="0000EE"/>
              </w:rPr>
            </w:pPr>
            <w:hyperlink w:anchor="page74">
              <w:r>
                <w:rPr>
                  <w:rFonts w:ascii="Arial" w:cs="Arial" w:eastAsia="Arial" w:hAnsi="Arial"/>
                  <w:sz w:val="16"/>
                  <w:szCs w:val="16"/>
                  <w:color w:val="0000EE"/>
                </w:rPr>
                <w:t>Electronic Delivery</w:t>
              </w:r>
            </w:hyperlink>
          </w:p>
        </w:tc>
        <w:tc>
          <w:tcPr>
            <w:tcW w:w="6740" w:type="dxa"/>
            <w:vAlign w:val="bottom"/>
            <w:gridSpan w:val="22"/>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Borders>
              <w:top w:val="single" w:sz="8" w:color="0000EE"/>
            </w:tcBorders>
            <w:gridSpan w:val="2"/>
          </w:tcPr>
          <w:p>
            <w:pPr>
              <w:jc w:val="right"/>
              <w:spacing w:after="0" w:line="178" w:lineRule="exact"/>
              <w:rPr>
                <w:rFonts w:ascii="Arial" w:cs="Arial" w:eastAsia="Arial" w:hAnsi="Arial"/>
                <w:sz w:val="16"/>
                <w:szCs w:val="16"/>
                <w:color w:val="0000EE"/>
                <w:w w:val="78"/>
              </w:rPr>
            </w:pPr>
            <w:hyperlink w:anchor="page74">
              <w:r>
                <w:rPr>
                  <w:rFonts w:ascii="Arial" w:cs="Arial" w:eastAsia="Arial" w:hAnsi="Arial"/>
                  <w:sz w:val="16"/>
                  <w:szCs w:val="16"/>
                  <w:color w:val="0000EE"/>
                  <w:w w:val="78"/>
                </w:rPr>
                <w:t>69</w:t>
              </w:r>
            </w:hyperlink>
          </w:p>
        </w:tc>
        <w:tc>
          <w:tcPr>
            <w:tcW w:w="1140" w:type="dxa"/>
            <w:vAlign w:val="bottom"/>
          </w:tcPr>
          <w:p>
            <w:pPr>
              <w:spacing w:after="0"/>
              <w:rPr>
                <w:sz w:val="15"/>
                <w:szCs w:val="15"/>
                <w:color w:val="auto"/>
              </w:rPr>
            </w:pPr>
          </w:p>
        </w:tc>
      </w:tr>
      <w:tr>
        <w:trPr>
          <w:trHeight w:val="177"/>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Borders>
              <w:top w:val="single" w:sz="8" w:color="0000EE"/>
            </w:tcBorders>
            <w:gridSpan w:val="5"/>
          </w:tcPr>
          <w:p>
            <w:pPr>
              <w:spacing w:after="0" w:line="178" w:lineRule="exact"/>
              <w:rPr>
                <w:rFonts w:ascii="Arial" w:cs="Arial" w:eastAsia="Arial" w:hAnsi="Arial"/>
                <w:sz w:val="16"/>
                <w:szCs w:val="16"/>
                <w:color w:val="0000EE"/>
              </w:rPr>
            </w:pPr>
            <w:hyperlink w:anchor="page75">
              <w:r>
                <w:rPr>
                  <w:rFonts w:ascii="Arial" w:cs="Arial" w:eastAsia="Arial" w:hAnsi="Arial"/>
                  <w:sz w:val="16"/>
                  <w:szCs w:val="16"/>
                  <w:color w:val="0000EE"/>
                </w:rPr>
                <w:t>Householding</w:t>
              </w:r>
            </w:hyperlink>
          </w:p>
        </w:tc>
        <w:tc>
          <w:tcPr>
            <w:tcW w:w="6900" w:type="dxa"/>
            <w:vAlign w:val="bottom"/>
            <w:gridSpan w:val="23"/>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Borders>
              <w:top w:val="single" w:sz="8" w:color="0000EE"/>
            </w:tcBorders>
            <w:gridSpan w:val="2"/>
          </w:tcPr>
          <w:p>
            <w:pPr>
              <w:jc w:val="right"/>
              <w:spacing w:after="0" w:line="178" w:lineRule="exact"/>
              <w:rPr>
                <w:rFonts w:ascii="Arial" w:cs="Arial" w:eastAsia="Arial" w:hAnsi="Arial"/>
                <w:sz w:val="16"/>
                <w:szCs w:val="16"/>
                <w:color w:val="0000EE"/>
                <w:w w:val="78"/>
              </w:rPr>
            </w:pPr>
            <w:hyperlink w:anchor="page75">
              <w:r>
                <w:rPr>
                  <w:rFonts w:ascii="Arial" w:cs="Arial" w:eastAsia="Arial" w:hAnsi="Arial"/>
                  <w:sz w:val="16"/>
                  <w:szCs w:val="16"/>
                  <w:color w:val="0000EE"/>
                  <w:w w:val="78"/>
                </w:rPr>
                <w:t>70</w:t>
              </w:r>
            </w:hyperlink>
          </w:p>
        </w:tc>
        <w:tc>
          <w:tcPr>
            <w:tcW w:w="1140" w:type="dxa"/>
            <w:vAlign w:val="bottom"/>
          </w:tcPr>
          <w:p>
            <w:pPr>
              <w:spacing w:after="0"/>
              <w:rPr>
                <w:sz w:val="15"/>
                <w:szCs w:val="15"/>
                <w:color w:val="auto"/>
              </w:rPr>
            </w:pPr>
          </w:p>
        </w:tc>
      </w:tr>
      <w:tr>
        <w:trPr>
          <w:trHeight w:val="124"/>
        </w:trPr>
        <w:tc>
          <w:tcPr>
            <w:tcW w:w="1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00" w:type="dxa"/>
            <w:vAlign w:val="bottom"/>
            <w:tcBorders>
              <w:top w:val="single" w:sz="8" w:color="0000EE"/>
              <w:bottom w:val="single" w:sz="8" w:color="808080"/>
            </w:tcBorders>
          </w:tcPr>
          <w:p>
            <w:pPr>
              <w:spacing w:after="0"/>
              <w:rPr>
                <w:sz w:val="10"/>
                <w:szCs w:val="10"/>
                <w:color w:val="auto"/>
              </w:rPr>
            </w:pPr>
          </w:p>
        </w:tc>
        <w:tc>
          <w:tcPr>
            <w:tcW w:w="300" w:type="dxa"/>
            <w:vAlign w:val="bottom"/>
            <w:tcBorders>
              <w:top w:val="single" w:sz="8" w:color="0000EE"/>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0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58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0" w:type="dxa"/>
            <w:vAlign w:val="bottom"/>
            <w:tcBorders>
              <w:top w:val="single" w:sz="8" w:color="0000EE"/>
              <w:bottom w:val="single" w:sz="8" w:color="808080"/>
            </w:tcBorders>
          </w:tcPr>
          <w:p>
            <w:pPr>
              <w:spacing w:after="0"/>
              <w:rPr>
                <w:sz w:val="10"/>
                <w:szCs w:val="10"/>
                <w:color w:val="auto"/>
              </w:rPr>
            </w:pPr>
          </w:p>
        </w:tc>
        <w:tc>
          <w:tcPr>
            <w:tcW w:w="80" w:type="dxa"/>
            <w:vAlign w:val="bottom"/>
            <w:tcBorders>
              <w:top w:val="single" w:sz="8" w:color="0000EE"/>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-13335</wp:posOffset>
            </wp:positionV>
            <wp:extent cx="1270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 w:name="page6"/>
    <w:bookmarkEnd w:id="5"/>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2583180</wp:posOffset>
            </wp:positionH>
            <wp:positionV relativeFrom="paragraph">
              <wp:posOffset>139065</wp:posOffset>
            </wp:positionV>
            <wp:extent cx="2090420" cy="10102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090420" cy="101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WORLD FUEL SERVICES CORPORATION</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9800 Northwest 41st Street</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Miami, Florida 33178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2856865</wp:posOffset>
            </wp:positionH>
            <wp:positionV relativeFrom="paragraph">
              <wp:posOffset>134620</wp:posOffset>
            </wp:positionV>
            <wp:extent cx="1542415"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54241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2856865</wp:posOffset>
            </wp:positionH>
            <wp:positionV relativeFrom="paragraph">
              <wp:posOffset>141605</wp:posOffset>
            </wp:positionV>
            <wp:extent cx="1542415"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54241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600" w:right="60" w:hanging="591"/>
        <w:spacing w:after="0" w:line="289" w:lineRule="auto"/>
        <w:rPr>
          <w:sz w:val="20"/>
          <w:szCs w:val="20"/>
          <w:color w:val="auto"/>
        </w:rPr>
      </w:pPr>
      <w:r>
        <w:rPr>
          <w:rFonts w:ascii="Arial" w:cs="Arial" w:eastAsia="Arial" w:hAnsi="Arial"/>
          <w:sz w:val="16"/>
          <w:szCs w:val="16"/>
          <w:b w:val="1"/>
          <w:bCs w:val="1"/>
          <w:color w:val="auto"/>
        </w:rPr>
        <w:t>IMPORTANT NOTICE REGARDING THE AVAILABILITY OF PROXY MATERIALS FOR THE ANNUAL MEETING OF SHAREHOLDERS TO BE HELD ON THURSDAY, MAY 24, 2018</w:t>
      </w:r>
    </w:p>
    <w:p>
      <w:pPr>
        <w:spacing w:after="0" w:line="149" w:lineRule="exact"/>
        <w:rPr>
          <w:sz w:val="20"/>
          <w:szCs w:val="20"/>
          <w:color w:val="auto"/>
        </w:rPr>
      </w:pPr>
    </w:p>
    <w:p>
      <w:pPr>
        <w:ind w:right="160"/>
        <w:spacing w:after="0" w:line="289" w:lineRule="auto"/>
        <w:rPr>
          <w:sz w:val="20"/>
          <w:szCs w:val="20"/>
          <w:color w:val="auto"/>
        </w:rPr>
      </w:pPr>
      <w:r>
        <w:rPr>
          <w:rFonts w:ascii="Arial" w:cs="Arial" w:eastAsia="Arial" w:hAnsi="Arial"/>
          <w:sz w:val="16"/>
          <w:szCs w:val="16"/>
          <w:b w:val="1"/>
          <w:bCs w:val="1"/>
          <w:color w:val="auto"/>
        </w:rPr>
        <w:t>The proxy materials listed below are available to you at www.proxyvote.com. You will need your 12-digit control number found on your proxy card, voter instruction form or Notice of Internet Availability to access these materials:</w:t>
      </w:r>
    </w:p>
    <w:p>
      <w:pPr>
        <w:spacing w:after="0" w:line="161" w:lineRule="exact"/>
        <w:rPr>
          <w:sz w:val="20"/>
          <w:szCs w:val="20"/>
          <w:color w:val="auto"/>
        </w:rPr>
      </w:pPr>
    </w:p>
    <w:p>
      <w:pPr>
        <w:ind w:left="980" w:hanging="488"/>
        <w:spacing w:after="0"/>
        <w:tabs>
          <w:tab w:leader="none" w:pos="980"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our annual report for the fiscal year ended December 31, 2017;</w:t>
      </w:r>
    </w:p>
    <w:p>
      <w:pPr>
        <w:spacing w:after="0" w:line="235" w:lineRule="exact"/>
        <w:rPr>
          <w:rFonts w:ascii="Arial" w:cs="Arial" w:eastAsia="Arial" w:hAnsi="Arial"/>
          <w:sz w:val="16"/>
          <w:szCs w:val="16"/>
          <w:color w:val="auto"/>
        </w:rPr>
      </w:pPr>
    </w:p>
    <w:p>
      <w:pPr>
        <w:ind w:left="980" w:hanging="488"/>
        <w:spacing w:after="0"/>
        <w:tabs>
          <w:tab w:leader="none" w:pos="980"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our 2018 proxy statement (including all attachments thereto);</w:t>
      </w:r>
    </w:p>
    <w:p>
      <w:pPr>
        <w:spacing w:after="0" w:line="222" w:lineRule="exact"/>
        <w:rPr>
          <w:rFonts w:ascii="Arial" w:cs="Arial" w:eastAsia="Arial" w:hAnsi="Arial"/>
          <w:sz w:val="16"/>
          <w:szCs w:val="16"/>
          <w:color w:val="auto"/>
        </w:rPr>
      </w:pPr>
    </w:p>
    <w:p>
      <w:pPr>
        <w:ind w:left="980" w:hanging="488"/>
        <w:spacing w:after="0"/>
        <w:tabs>
          <w:tab w:leader="none" w:pos="980"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the proxy card; and</w:t>
      </w:r>
    </w:p>
    <w:p>
      <w:pPr>
        <w:spacing w:after="0" w:line="222" w:lineRule="exact"/>
        <w:rPr>
          <w:rFonts w:ascii="Arial" w:cs="Arial" w:eastAsia="Arial" w:hAnsi="Arial"/>
          <w:sz w:val="16"/>
          <w:szCs w:val="16"/>
          <w:color w:val="auto"/>
        </w:rPr>
      </w:pPr>
    </w:p>
    <w:p>
      <w:pPr>
        <w:ind w:left="980" w:hanging="488"/>
        <w:spacing w:after="0"/>
        <w:tabs>
          <w:tab w:leader="none" w:pos="980"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any amendments to the foregoing materials that are required to be furnished to shareholders.</w:t>
      </w:r>
    </w:p>
    <w:p>
      <w:pPr>
        <w:spacing w:after="0" w:line="215" w:lineRule="exact"/>
        <w:rPr>
          <w:sz w:val="20"/>
          <w:szCs w:val="20"/>
          <w:color w:val="auto"/>
        </w:rPr>
      </w:pPr>
    </w:p>
    <w:p>
      <w:pPr>
        <w:ind w:right="240" w:firstLine="552"/>
        <w:spacing w:after="0" w:line="284" w:lineRule="auto"/>
        <w:rPr>
          <w:sz w:val="20"/>
          <w:szCs w:val="20"/>
          <w:color w:val="auto"/>
        </w:rPr>
      </w:pPr>
      <w:r>
        <w:rPr>
          <w:rFonts w:ascii="Arial" w:cs="Arial" w:eastAsia="Arial" w:hAnsi="Arial"/>
          <w:sz w:val="16"/>
          <w:szCs w:val="16"/>
          <w:color w:val="auto"/>
        </w:rPr>
        <w:t>Among other things, this proxy statement contains information regarding (i) the date, time and location of the meeting; (ii) a list of the matters being submitted to our shareholders; and (iii) information concerning voting for these matters at the meeting.</w:t>
      </w:r>
    </w:p>
    <w:p>
      <w:pPr>
        <w:spacing w:after="0" w:line="350"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INTRODUCTION</w:t>
      </w:r>
    </w:p>
    <w:p>
      <w:pPr>
        <w:spacing w:after="0" w:line="215" w:lineRule="exact"/>
        <w:rPr>
          <w:sz w:val="20"/>
          <w:szCs w:val="20"/>
          <w:color w:val="auto"/>
        </w:rPr>
      </w:pPr>
    </w:p>
    <w:p>
      <w:pPr>
        <w:jc w:val="both"/>
        <w:ind w:right="100" w:firstLine="558"/>
        <w:spacing w:after="0" w:line="270" w:lineRule="auto"/>
        <w:rPr>
          <w:sz w:val="20"/>
          <w:szCs w:val="20"/>
          <w:color w:val="auto"/>
        </w:rPr>
      </w:pPr>
      <w:r>
        <w:rPr>
          <w:rFonts w:ascii="Arial" w:cs="Arial" w:eastAsia="Arial" w:hAnsi="Arial"/>
          <w:sz w:val="16"/>
          <w:szCs w:val="16"/>
          <w:color w:val="auto"/>
        </w:rPr>
        <w:t>This proxy statement is furnished to the shareholders of World Fuel Services Corporation in connection with the solicitation of proxies by the Board of Directors, or the "Board", for the 2018 annual meeting of shareholders, or the "Annual Meeting". The terms "World Fuel", "Company," "we," "our" and "us" used in this proxy statement refer to World Fuel Services Corporation and its subsidiaries unless the context otherwise requires.</w:t>
      </w:r>
    </w:p>
    <w:p>
      <w:pPr>
        <w:spacing w:after="0" w:line="168" w:lineRule="exact"/>
        <w:rPr>
          <w:sz w:val="20"/>
          <w:szCs w:val="20"/>
          <w:color w:val="auto"/>
        </w:rPr>
      </w:pPr>
    </w:p>
    <w:p>
      <w:pPr>
        <w:ind w:right="20" w:firstLine="558"/>
        <w:spacing w:after="0" w:line="259" w:lineRule="auto"/>
        <w:rPr>
          <w:sz w:val="20"/>
          <w:szCs w:val="20"/>
          <w:color w:val="auto"/>
        </w:rPr>
      </w:pPr>
      <w:r>
        <w:rPr>
          <w:rFonts w:ascii="Arial" w:cs="Arial" w:eastAsia="Arial" w:hAnsi="Arial"/>
          <w:sz w:val="16"/>
          <w:szCs w:val="16"/>
          <w:color w:val="auto"/>
        </w:rPr>
        <w:t>We are utilizing the Securities and Exchange Commission, or "SEC", rule allowing companies to furnish proxy materials to their shareholders over the Internet. In accordance with this rule, on or about April 13, 2018, we sent our shareholders at the close of business on March 19, 2018 a Notice of Internet Availability of Proxy Materials for the Annual Meeting, which we refer to as the "Notice". The Notice contains instructions on how to access our proxy statement and annual report and vote online. If you received a Notice and would like to receive a printed copy of our proxy materials from us instead of downloading a printable version from the Internet, please follow the instructions included in the Notice for requesting such materials at no charge.</w:t>
      </w:r>
    </w:p>
    <w:p>
      <w:pPr>
        <w:spacing w:after="0" w:line="1" w:lineRule="exact"/>
        <w:rPr>
          <w:sz w:val="20"/>
          <w:szCs w:val="20"/>
          <w:color w:val="auto"/>
        </w:rPr>
      </w:pPr>
    </w:p>
    <w:p>
      <w:pPr>
        <w:jc w:val="right"/>
        <w:spacing w:after="0"/>
        <w:tabs>
          <w:tab w:leader="none" w:pos="1880" w:val="left"/>
          <w:tab w:leader="none" w:pos="1640" w:val="left"/>
          <w:tab w:leader="none" w:pos="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3"/>
          <w:szCs w:val="33"/>
          <w:b w:val="1"/>
          <w:bCs w:val="1"/>
          <w:color w:val="auto"/>
          <w:vertAlign w:val="subscript"/>
        </w:rPr>
        <w:t>|</w:t>
      </w:r>
      <w:r>
        <w:rPr>
          <w:sz w:val="20"/>
          <w:szCs w:val="20"/>
          <w:color w:val="auto"/>
        </w:rPr>
        <w:tab/>
      </w:r>
      <w:r>
        <w:rPr>
          <w:rFonts w:ascii="Arial" w:cs="Arial" w:eastAsia="Arial" w:hAnsi="Arial"/>
          <w:sz w:val="16"/>
          <w:szCs w:val="16"/>
          <w:color w:val="auto"/>
        </w:rPr>
        <w:t>2018 Proxy Statement</w:t>
      </w:r>
      <w:r>
        <w:rPr>
          <w:sz w:val="20"/>
          <w:szCs w:val="20"/>
          <w:color w:val="auto"/>
        </w:rPr>
        <w:tab/>
      </w: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133350</wp:posOffset>
            </wp:positionV>
            <wp:extent cx="7263130" cy="203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 w:name="page7"/>
    <w:bookmarkEnd w:id="6"/>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7" w:lineRule="exact"/>
        <w:rPr>
          <w:sz w:val="20"/>
          <w:szCs w:val="20"/>
          <w:color w:val="auto"/>
        </w:rPr>
      </w:pPr>
    </w:p>
    <w:p>
      <w:pPr>
        <w:ind w:left="3360"/>
        <w:spacing w:after="0"/>
        <w:rPr>
          <w:sz w:val="20"/>
          <w:szCs w:val="20"/>
          <w:color w:val="auto"/>
        </w:rPr>
      </w:pPr>
      <w:r>
        <w:rPr>
          <w:rFonts w:ascii="Arial" w:cs="Arial" w:eastAsia="Arial" w:hAnsi="Arial"/>
          <w:sz w:val="16"/>
          <w:szCs w:val="16"/>
          <w:b w:val="1"/>
          <w:bCs w:val="1"/>
          <w:color w:val="0048E0"/>
        </w:rPr>
        <w:t>QUESTIONS AND ANSWERS ABOUT OUR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258685" cy="158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8685" cy="15875"/>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0048E0"/>
        </w:rPr>
        <w:t>What is the date, time and place of the Annual Meeting?</w:t>
      </w:r>
    </w:p>
    <w:p>
      <w:pPr>
        <w:spacing w:after="0" w:line="215" w:lineRule="exact"/>
        <w:rPr>
          <w:sz w:val="20"/>
          <w:szCs w:val="20"/>
          <w:color w:val="auto"/>
        </w:rPr>
      </w:pPr>
    </w:p>
    <w:p>
      <w:pPr>
        <w:ind w:right="400" w:firstLine="561"/>
        <w:spacing w:after="0" w:line="284" w:lineRule="auto"/>
        <w:rPr>
          <w:sz w:val="20"/>
          <w:szCs w:val="20"/>
          <w:color w:val="auto"/>
        </w:rPr>
      </w:pPr>
      <w:r>
        <w:rPr>
          <w:rFonts w:ascii="Arial" w:cs="Arial" w:eastAsia="Arial" w:hAnsi="Arial"/>
          <w:sz w:val="16"/>
          <w:szCs w:val="16"/>
          <w:color w:val="auto"/>
        </w:rPr>
        <w:t>Our Annual Meeting will be held on Thursday, May 24, 2018, at 8:00 a.m., Eastern Time, at the offices of Chadbourne &amp; Parke LLP located at 1301 Avenue of the Americas, New York, NY 10019.</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0048E0"/>
        </w:rPr>
        <w:t>What am I being asked to vote on and what is the Board recommendation?</w:t>
      </w:r>
    </w:p>
    <w:p>
      <w:pPr>
        <w:spacing w:after="0" w:line="215" w:lineRule="exact"/>
        <w:rPr>
          <w:sz w:val="20"/>
          <w:szCs w:val="20"/>
          <w:color w:val="auto"/>
        </w:rPr>
      </w:pPr>
    </w:p>
    <w:p>
      <w:pPr>
        <w:ind w:left="560"/>
        <w:spacing w:after="0"/>
        <w:rPr>
          <w:sz w:val="20"/>
          <w:szCs w:val="20"/>
          <w:color w:val="auto"/>
        </w:rPr>
      </w:pPr>
      <w:r>
        <w:rPr>
          <w:rFonts w:ascii="Arial" w:cs="Arial" w:eastAsia="Arial" w:hAnsi="Arial"/>
          <w:sz w:val="15"/>
          <w:szCs w:val="15"/>
          <w:color w:val="auto"/>
        </w:rPr>
        <w:t>At the Annual Meeting you will be asked to vote on the following three proposals. Our Board recommendation for each of these proposals is set forth below:</w:t>
      </w:r>
    </w:p>
    <w:p>
      <w:pPr>
        <w:spacing w:after="0" w:line="267" w:lineRule="exact"/>
        <w:rPr>
          <w:sz w:val="20"/>
          <w:szCs w:val="20"/>
          <w:color w:val="auto"/>
        </w:rPr>
      </w:pPr>
    </w:p>
    <w:tbl>
      <w:tblPr>
        <w:tblLayout w:type="fixed"/>
        <w:tblInd w:w="2280" w:type="dxa"/>
        <w:tblCellMar>
          <w:top w:w="0" w:type="dxa"/>
          <w:left w:w="0" w:type="dxa"/>
          <w:bottom w:w="0" w:type="dxa"/>
          <w:right w:w="0" w:type="dxa"/>
        </w:tblCellMar>
      </w:tblPr>
      <w:tr>
        <w:trPr>
          <w:trHeight w:val="149"/>
        </w:trPr>
        <w:tc>
          <w:tcPr>
            <w:tcW w:w="220" w:type="dxa"/>
            <w:vAlign w:val="bottom"/>
            <w:vMerge w:val="restart"/>
          </w:tcPr>
          <w:p>
            <w:pPr>
              <w:jc w:val="right"/>
              <w:ind w:right="20"/>
              <w:spacing w:after="0"/>
              <w:rPr>
                <w:sz w:val="20"/>
                <w:szCs w:val="20"/>
                <w:color w:val="auto"/>
              </w:rPr>
            </w:pPr>
            <w:r>
              <w:rPr>
                <w:rFonts w:ascii="Arial" w:cs="Arial" w:eastAsia="Arial" w:hAnsi="Arial"/>
                <w:sz w:val="16"/>
                <w:szCs w:val="16"/>
                <w:color w:val="auto"/>
                <w:w w:val="74"/>
              </w:rPr>
              <w:t>1.</w:t>
            </w:r>
          </w:p>
        </w:tc>
        <w:tc>
          <w:tcPr>
            <w:tcW w:w="100" w:type="dxa"/>
            <w:vAlign w:val="bottom"/>
          </w:tcPr>
          <w:p>
            <w:pPr>
              <w:spacing w:after="0"/>
              <w:rPr>
                <w:sz w:val="12"/>
                <w:szCs w:val="12"/>
                <w:color w:val="auto"/>
              </w:rPr>
            </w:pPr>
          </w:p>
        </w:tc>
        <w:tc>
          <w:tcPr>
            <w:tcW w:w="6560" w:type="dxa"/>
            <w:vAlign w:val="bottom"/>
            <w:tcBorders>
              <w:bottom w:val="single" w:sz="8" w:color="auto"/>
            </w:tcBorders>
          </w:tcPr>
          <w:p>
            <w:pPr>
              <w:ind w:left="3040"/>
              <w:spacing w:after="0"/>
              <w:rPr>
                <w:sz w:val="20"/>
                <w:szCs w:val="20"/>
                <w:color w:val="auto"/>
              </w:rPr>
            </w:pPr>
            <w:r>
              <w:rPr>
                <w:rFonts w:ascii="Arial" w:cs="Arial" w:eastAsia="Arial" w:hAnsi="Arial"/>
                <w:sz w:val="12"/>
                <w:szCs w:val="12"/>
                <w:b w:val="1"/>
                <w:bCs w:val="1"/>
                <w:color w:val="auto"/>
              </w:rPr>
              <w:t>Proposal</w:t>
            </w:r>
          </w:p>
        </w:tc>
        <w:tc>
          <w:tcPr>
            <w:tcW w:w="140" w:type="dxa"/>
            <w:vAlign w:val="bottom"/>
          </w:tcPr>
          <w:p>
            <w:pPr>
              <w:spacing w:after="0"/>
              <w:rPr>
                <w:sz w:val="12"/>
                <w:szCs w:val="12"/>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Board Recommendation</w:t>
            </w:r>
          </w:p>
        </w:tc>
        <w:tc>
          <w:tcPr>
            <w:tcW w:w="0" w:type="dxa"/>
            <w:vAlign w:val="bottom"/>
          </w:tcPr>
          <w:p>
            <w:pPr>
              <w:spacing w:after="0"/>
              <w:rPr>
                <w:sz w:val="1"/>
                <w:szCs w:val="1"/>
                <w:color w:val="auto"/>
              </w:rPr>
            </w:pPr>
          </w:p>
        </w:tc>
      </w:tr>
      <w:tr>
        <w:trPr>
          <w:trHeight w:val="181"/>
        </w:trPr>
        <w:tc>
          <w:tcPr>
            <w:tcW w:w="2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560" w:type="dxa"/>
            <w:vAlign w:val="bottom"/>
          </w:tcPr>
          <w:p>
            <w:pPr>
              <w:spacing w:after="0" w:line="181" w:lineRule="exact"/>
              <w:rPr>
                <w:sz w:val="20"/>
                <w:szCs w:val="20"/>
                <w:color w:val="auto"/>
              </w:rPr>
            </w:pPr>
            <w:r>
              <w:rPr>
                <w:rFonts w:ascii="Arial" w:cs="Arial" w:eastAsia="Arial" w:hAnsi="Arial"/>
                <w:sz w:val="16"/>
                <w:szCs w:val="16"/>
                <w:color w:val="auto"/>
                <w:w w:val="92"/>
              </w:rPr>
              <w:t>To elect nine directors each for a term expiring at the next annual meeting or until his successor has</w:t>
            </w:r>
          </w:p>
        </w:tc>
        <w:tc>
          <w:tcPr>
            <w:tcW w:w="140" w:type="dxa"/>
            <w:vAlign w:val="bottom"/>
          </w:tcPr>
          <w:p>
            <w:pPr>
              <w:spacing w:after="0"/>
              <w:rPr>
                <w:sz w:val="15"/>
                <w:szCs w:val="15"/>
                <w:color w:val="auto"/>
              </w:rPr>
            </w:pPr>
          </w:p>
        </w:tc>
        <w:tc>
          <w:tcPr>
            <w:tcW w:w="212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2"/>
              </w:rPr>
              <w:t>FOR each Director Nominee</w:t>
            </w:r>
          </w:p>
        </w:tc>
        <w:tc>
          <w:tcPr>
            <w:tcW w:w="0" w:type="dxa"/>
            <w:vAlign w:val="bottom"/>
          </w:tcPr>
          <w:p>
            <w:pPr>
              <w:spacing w:after="0"/>
              <w:rPr>
                <w:sz w:val="1"/>
                <w:szCs w:val="1"/>
                <w:color w:val="auto"/>
              </w:rPr>
            </w:pPr>
          </w:p>
        </w:tc>
      </w:tr>
      <w:tr>
        <w:trPr>
          <w:trHeight w:val="197"/>
        </w:trPr>
        <w:tc>
          <w:tcPr>
            <w:tcW w:w="220" w:type="dxa"/>
            <w:vAlign w:val="bottom"/>
          </w:tcPr>
          <w:p>
            <w:pPr>
              <w:spacing w:after="0"/>
              <w:rPr>
                <w:sz w:val="17"/>
                <w:szCs w:val="17"/>
                <w:color w:val="auto"/>
              </w:rPr>
            </w:pPr>
          </w:p>
        </w:tc>
        <w:tc>
          <w:tcPr>
            <w:tcW w:w="6660" w:type="dxa"/>
            <w:vAlign w:val="bottom"/>
            <w:gridSpan w:val="2"/>
          </w:tcPr>
          <w:p>
            <w:pPr>
              <w:ind w:left="100"/>
              <w:spacing w:after="0"/>
              <w:rPr>
                <w:sz w:val="20"/>
                <w:szCs w:val="20"/>
                <w:color w:val="auto"/>
              </w:rPr>
            </w:pPr>
            <w:r>
              <w:rPr>
                <w:rFonts w:ascii="Arial" w:cs="Arial" w:eastAsia="Arial" w:hAnsi="Arial"/>
                <w:sz w:val="16"/>
                <w:szCs w:val="16"/>
                <w:color w:val="auto"/>
              </w:rPr>
              <w:t>been duly elected and qualified.</w:t>
            </w:r>
          </w:p>
        </w:tc>
        <w:tc>
          <w:tcPr>
            <w:tcW w:w="140" w:type="dxa"/>
            <w:vAlign w:val="bottom"/>
          </w:tcPr>
          <w:p>
            <w:pPr>
              <w:spacing w:after="0"/>
              <w:rPr>
                <w:sz w:val="17"/>
                <w:szCs w:val="17"/>
                <w:color w:val="auto"/>
              </w:rPr>
            </w:pPr>
          </w:p>
        </w:tc>
        <w:tc>
          <w:tcPr>
            <w:tcW w:w="212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FOR</w:t>
            </w:r>
          </w:p>
        </w:tc>
        <w:tc>
          <w:tcPr>
            <w:tcW w:w="0" w:type="dxa"/>
            <w:vAlign w:val="bottom"/>
          </w:tcPr>
          <w:p>
            <w:pPr>
              <w:spacing w:after="0"/>
              <w:rPr>
                <w:sz w:val="1"/>
                <w:szCs w:val="1"/>
                <w:color w:val="auto"/>
              </w:rPr>
            </w:pPr>
          </w:p>
        </w:tc>
      </w:tr>
      <w:tr>
        <w:trPr>
          <w:trHeight w:val="197"/>
        </w:trPr>
        <w:tc>
          <w:tcPr>
            <w:tcW w:w="220" w:type="dxa"/>
            <w:vAlign w:val="bottom"/>
          </w:tcPr>
          <w:p>
            <w:pPr>
              <w:jc w:val="right"/>
              <w:ind w:right="20"/>
              <w:spacing w:after="0"/>
              <w:rPr>
                <w:sz w:val="20"/>
                <w:szCs w:val="20"/>
                <w:color w:val="auto"/>
              </w:rPr>
            </w:pPr>
            <w:r>
              <w:rPr>
                <w:rFonts w:ascii="Arial" w:cs="Arial" w:eastAsia="Arial" w:hAnsi="Arial"/>
                <w:sz w:val="16"/>
                <w:szCs w:val="16"/>
                <w:color w:val="auto"/>
                <w:w w:val="74"/>
              </w:rPr>
              <w:t>2.</w:t>
            </w:r>
          </w:p>
        </w:tc>
        <w:tc>
          <w:tcPr>
            <w:tcW w:w="6660" w:type="dxa"/>
            <w:vAlign w:val="bottom"/>
            <w:gridSpan w:val="2"/>
          </w:tcPr>
          <w:p>
            <w:pPr>
              <w:ind w:left="100"/>
              <w:spacing w:after="0"/>
              <w:rPr>
                <w:sz w:val="20"/>
                <w:szCs w:val="20"/>
                <w:color w:val="auto"/>
              </w:rPr>
            </w:pPr>
            <w:r>
              <w:rPr>
                <w:rFonts w:ascii="Arial" w:cs="Arial" w:eastAsia="Arial" w:hAnsi="Arial"/>
                <w:sz w:val="16"/>
                <w:szCs w:val="16"/>
                <w:color w:val="auto"/>
                <w:w w:val="93"/>
              </w:rPr>
              <w:t>To approve on a non-binding, advisory basis, the compensation of our named executive officers, as</w:t>
            </w:r>
          </w:p>
        </w:tc>
        <w:tc>
          <w:tcPr>
            <w:tcW w:w="140" w:type="dxa"/>
            <w:vAlign w:val="bottom"/>
          </w:tcPr>
          <w:p>
            <w:pPr>
              <w:spacing w:after="0"/>
              <w:rPr>
                <w:sz w:val="17"/>
                <w:szCs w:val="17"/>
                <w:color w:val="auto"/>
              </w:rPr>
            </w:pPr>
          </w:p>
        </w:tc>
        <w:tc>
          <w:tcPr>
            <w:tcW w:w="2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20" w:type="dxa"/>
            <w:vAlign w:val="bottom"/>
          </w:tcPr>
          <w:p>
            <w:pPr>
              <w:spacing w:after="0"/>
              <w:rPr>
                <w:sz w:val="17"/>
                <w:szCs w:val="17"/>
                <w:color w:val="auto"/>
              </w:rPr>
            </w:pPr>
          </w:p>
        </w:tc>
        <w:tc>
          <w:tcPr>
            <w:tcW w:w="6660" w:type="dxa"/>
            <w:vAlign w:val="bottom"/>
            <w:gridSpan w:val="2"/>
          </w:tcPr>
          <w:p>
            <w:pPr>
              <w:ind w:left="100"/>
              <w:spacing w:after="0"/>
              <w:rPr>
                <w:sz w:val="20"/>
                <w:szCs w:val="20"/>
                <w:color w:val="auto"/>
              </w:rPr>
            </w:pPr>
            <w:r>
              <w:rPr>
                <w:rFonts w:ascii="Arial" w:cs="Arial" w:eastAsia="Arial" w:hAnsi="Arial"/>
                <w:sz w:val="16"/>
                <w:szCs w:val="16"/>
                <w:color w:val="auto"/>
              </w:rPr>
              <w:t>disclosed in this proxy statement pursuant to Item 402 of Regulation S-K, including the</w:t>
            </w:r>
          </w:p>
        </w:tc>
        <w:tc>
          <w:tcPr>
            <w:tcW w:w="1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20" w:type="dxa"/>
            <w:vAlign w:val="bottom"/>
          </w:tcPr>
          <w:p>
            <w:pPr>
              <w:spacing w:after="0"/>
              <w:rPr>
                <w:sz w:val="17"/>
                <w:szCs w:val="17"/>
                <w:color w:val="auto"/>
              </w:rPr>
            </w:pPr>
          </w:p>
        </w:tc>
        <w:tc>
          <w:tcPr>
            <w:tcW w:w="6660" w:type="dxa"/>
            <w:vAlign w:val="bottom"/>
            <w:gridSpan w:val="2"/>
          </w:tcPr>
          <w:p>
            <w:pPr>
              <w:ind w:left="100"/>
              <w:spacing w:after="0"/>
              <w:rPr>
                <w:sz w:val="20"/>
                <w:szCs w:val="20"/>
                <w:color w:val="auto"/>
              </w:rPr>
            </w:pPr>
            <w:r>
              <w:rPr>
                <w:rFonts w:ascii="Arial" w:cs="Arial" w:eastAsia="Arial" w:hAnsi="Arial"/>
                <w:sz w:val="16"/>
                <w:szCs w:val="16"/>
                <w:color w:val="auto"/>
                <w:w w:val="98"/>
              </w:rPr>
              <w:t>Compensation Discussion and Analysis, compensation tables and narrative discussion below.</w:t>
            </w:r>
          </w:p>
        </w:tc>
        <w:tc>
          <w:tcPr>
            <w:tcW w:w="140" w:type="dxa"/>
            <w:vAlign w:val="bottom"/>
          </w:tcPr>
          <w:p>
            <w:pPr>
              <w:spacing w:after="0"/>
              <w:rPr>
                <w:sz w:val="17"/>
                <w:szCs w:val="17"/>
                <w:color w:val="auto"/>
              </w:rPr>
            </w:pPr>
          </w:p>
        </w:tc>
        <w:tc>
          <w:tcPr>
            <w:tcW w:w="212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FOR</w:t>
            </w:r>
          </w:p>
        </w:tc>
        <w:tc>
          <w:tcPr>
            <w:tcW w:w="0" w:type="dxa"/>
            <w:vAlign w:val="bottom"/>
          </w:tcPr>
          <w:p>
            <w:pPr>
              <w:spacing w:after="0"/>
              <w:rPr>
                <w:sz w:val="1"/>
                <w:szCs w:val="1"/>
                <w:color w:val="auto"/>
              </w:rPr>
            </w:pPr>
          </w:p>
        </w:tc>
      </w:tr>
      <w:tr>
        <w:trPr>
          <w:trHeight w:val="197"/>
        </w:trPr>
        <w:tc>
          <w:tcPr>
            <w:tcW w:w="220" w:type="dxa"/>
            <w:vAlign w:val="bottom"/>
          </w:tcPr>
          <w:p>
            <w:pPr>
              <w:jc w:val="right"/>
              <w:ind w:right="20"/>
              <w:spacing w:after="0"/>
              <w:rPr>
                <w:sz w:val="20"/>
                <w:szCs w:val="20"/>
                <w:color w:val="auto"/>
              </w:rPr>
            </w:pPr>
            <w:r>
              <w:rPr>
                <w:rFonts w:ascii="Arial" w:cs="Arial" w:eastAsia="Arial" w:hAnsi="Arial"/>
                <w:sz w:val="16"/>
                <w:szCs w:val="16"/>
                <w:color w:val="auto"/>
                <w:w w:val="74"/>
              </w:rPr>
              <w:t>3.</w:t>
            </w:r>
          </w:p>
        </w:tc>
        <w:tc>
          <w:tcPr>
            <w:tcW w:w="6660" w:type="dxa"/>
            <w:vAlign w:val="bottom"/>
            <w:gridSpan w:val="2"/>
          </w:tcPr>
          <w:p>
            <w:pPr>
              <w:ind w:left="100"/>
              <w:spacing w:after="0"/>
              <w:rPr>
                <w:sz w:val="20"/>
                <w:szCs w:val="20"/>
                <w:color w:val="auto"/>
              </w:rPr>
            </w:pPr>
            <w:r>
              <w:rPr>
                <w:rFonts w:ascii="Arial" w:cs="Arial" w:eastAsia="Arial" w:hAnsi="Arial"/>
                <w:sz w:val="16"/>
                <w:szCs w:val="16"/>
                <w:color w:val="auto"/>
                <w:w w:val="94"/>
              </w:rPr>
              <w:t>To ratify the appointment of PricewaterhouseCoopers LLP ("PwC") as our independent registered</w:t>
            </w:r>
          </w:p>
        </w:tc>
        <w:tc>
          <w:tcPr>
            <w:tcW w:w="140" w:type="dxa"/>
            <w:vAlign w:val="bottom"/>
          </w:tcPr>
          <w:p>
            <w:pPr>
              <w:spacing w:after="0"/>
              <w:rPr>
                <w:sz w:val="17"/>
                <w:szCs w:val="17"/>
                <w:color w:val="auto"/>
              </w:rPr>
            </w:pPr>
          </w:p>
        </w:tc>
        <w:tc>
          <w:tcPr>
            <w:tcW w:w="2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20" w:type="dxa"/>
            <w:vAlign w:val="bottom"/>
          </w:tcPr>
          <w:p>
            <w:pPr>
              <w:spacing w:after="0"/>
              <w:rPr>
                <w:sz w:val="17"/>
                <w:szCs w:val="17"/>
                <w:color w:val="auto"/>
              </w:rPr>
            </w:pPr>
          </w:p>
        </w:tc>
        <w:tc>
          <w:tcPr>
            <w:tcW w:w="6660" w:type="dxa"/>
            <w:vAlign w:val="bottom"/>
            <w:gridSpan w:val="2"/>
          </w:tcPr>
          <w:p>
            <w:pPr>
              <w:ind w:left="100"/>
              <w:spacing w:after="0"/>
              <w:rPr>
                <w:sz w:val="20"/>
                <w:szCs w:val="20"/>
                <w:color w:val="auto"/>
              </w:rPr>
            </w:pPr>
            <w:r>
              <w:rPr>
                <w:rFonts w:ascii="Arial" w:cs="Arial" w:eastAsia="Arial" w:hAnsi="Arial"/>
                <w:sz w:val="16"/>
                <w:szCs w:val="16"/>
                <w:color w:val="auto"/>
              </w:rPr>
              <w:t>certified public accounting firm for the 2018 fiscal year.</w:t>
            </w:r>
          </w:p>
        </w:tc>
        <w:tc>
          <w:tcPr>
            <w:tcW w:w="1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You will also be asked to consider and act upon such other business as may properly come before the Annual Meeting.</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0048E0"/>
        </w:rPr>
        <w:t>Who is entitled to vote at the Annual Meeting?</w:t>
      </w:r>
    </w:p>
    <w:p>
      <w:pPr>
        <w:spacing w:after="0" w:line="215" w:lineRule="exact"/>
        <w:rPr>
          <w:sz w:val="20"/>
          <w:szCs w:val="20"/>
          <w:color w:val="auto"/>
        </w:rPr>
      </w:pPr>
    </w:p>
    <w:p>
      <w:pPr>
        <w:ind w:right="60" w:firstLine="561"/>
        <w:spacing w:after="0" w:line="270" w:lineRule="auto"/>
        <w:rPr>
          <w:sz w:val="20"/>
          <w:szCs w:val="20"/>
          <w:color w:val="auto"/>
        </w:rPr>
      </w:pPr>
      <w:r>
        <w:rPr>
          <w:rFonts w:ascii="Arial" w:cs="Arial" w:eastAsia="Arial" w:hAnsi="Arial"/>
          <w:sz w:val="16"/>
          <w:szCs w:val="16"/>
          <w:color w:val="auto"/>
        </w:rPr>
        <w:t>Only holders of record of our common stock at the close of business on March 19, 2018, the record date for the Annual Meeting, are entitled to notice of, and to attend and vote at the Annual Meeting, or any postponements or adjournments of the meeting. At the close of business on the record date, 67,699,300 shares of our common stock were issued and outstanding.</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0048E0"/>
        </w:rPr>
        <w:t>What is the difference between a shareholder of record and a beneficial owner?</w:t>
      </w:r>
    </w:p>
    <w:p>
      <w:pPr>
        <w:spacing w:after="0" w:line="215" w:lineRule="exact"/>
        <w:rPr>
          <w:sz w:val="20"/>
          <w:szCs w:val="20"/>
          <w:color w:val="auto"/>
        </w:rPr>
      </w:pPr>
    </w:p>
    <w:p>
      <w:pPr>
        <w:ind w:left="560"/>
        <w:spacing w:after="0"/>
        <w:rPr>
          <w:sz w:val="20"/>
          <w:szCs w:val="20"/>
          <w:color w:val="auto"/>
        </w:rPr>
      </w:pPr>
      <w:r>
        <w:rPr>
          <w:rFonts w:ascii="Arial" w:cs="Arial" w:eastAsia="Arial" w:hAnsi="Arial"/>
          <w:sz w:val="14"/>
          <w:szCs w:val="14"/>
          <w:color w:val="auto"/>
        </w:rPr>
        <w:t>If your shares are registered directly in your name with our transfer agent, EQ Shareowner Services, you are considered, with respect to those shares, the "shareholder of</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record."</w:t>
      </w:r>
    </w:p>
    <w:p>
      <w:pPr>
        <w:spacing w:after="0" w:line="203" w:lineRule="exact"/>
        <w:rPr>
          <w:sz w:val="20"/>
          <w:szCs w:val="20"/>
          <w:color w:val="auto"/>
        </w:rPr>
      </w:pPr>
    </w:p>
    <w:p>
      <w:pPr>
        <w:ind w:right="200" w:firstLine="561"/>
        <w:spacing w:after="0" w:line="277" w:lineRule="auto"/>
        <w:rPr>
          <w:sz w:val="20"/>
          <w:szCs w:val="20"/>
          <w:color w:val="auto"/>
        </w:rPr>
      </w:pPr>
      <w:r>
        <w:rPr>
          <w:rFonts w:ascii="Arial" w:cs="Arial" w:eastAsia="Arial" w:hAnsi="Arial"/>
          <w:sz w:val="15"/>
          <w:szCs w:val="15"/>
          <w:color w:val="auto"/>
        </w:rPr>
        <w:t>If your shares are held by a brokerage firm, bank, trustee, other agent or record holder, each sometimes referred to as a "nominee," you are considered the "beneficial owner" of shares held in street name. The Notice has been forwarded to you by your nominee who is considered, with respect to those shares, the shareholder of record. As the beneficial owner, you have the right to direct your nominee on how to vote your shares by following their instructions for voting by telephone or on the Internet or, if you specifically request a copy of the printed materials, you may use the voting instruction card included in such materials.</w:t>
      </w:r>
    </w:p>
    <w:p>
      <w:pPr>
        <w:jc w:val="right"/>
        <w:spacing w:after="0"/>
        <w:tabs>
          <w:tab w:leader="none" w:pos="1880" w:val="left"/>
          <w:tab w:leader="none" w:pos="1640" w:val="left"/>
          <w:tab w:leader="none" w:pos="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3"/>
          <w:szCs w:val="33"/>
          <w:b w:val="1"/>
          <w:bCs w:val="1"/>
          <w:color w:val="auto"/>
          <w:vertAlign w:val="subscript"/>
        </w:rPr>
        <w:t>|</w:t>
      </w:r>
      <w:r>
        <w:rPr>
          <w:sz w:val="20"/>
          <w:szCs w:val="20"/>
          <w:color w:val="auto"/>
        </w:rPr>
        <w:tab/>
      </w:r>
      <w:r>
        <w:rPr>
          <w:rFonts w:ascii="Arial" w:cs="Arial" w:eastAsia="Arial" w:hAnsi="Arial"/>
          <w:sz w:val="16"/>
          <w:szCs w:val="16"/>
          <w:color w:val="auto"/>
        </w:rPr>
        <w:t>2018 Proxy Statement</w:t>
      </w:r>
      <w:r>
        <w:rPr>
          <w:sz w:val="20"/>
          <w:szCs w:val="20"/>
          <w:color w:val="auto"/>
        </w:rPr>
        <w:tab/>
      </w: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133350</wp:posOffset>
            </wp:positionV>
            <wp:extent cx="7263130" cy="203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 w:name="page8"/>
    <w:bookmarkEnd w:id="7"/>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0048E0"/>
        </w:rPr>
        <w:t>What are the voting rights of our shareholders?</w:t>
      </w:r>
    </w:p>
    <w:p>
      <w:pPr>
        <w:spacing w:after="0" w:line="215" w:lineRule="exact"/>
        <w:rPr>
          <w:sz w:val="20"/>
          <w:szCs w:val="20"/>
          <w:color w:val="auto"/>
        </w:rPr>
      </w:pPr>
    </w:p>
    <w:p>
      <w:pPr>
        <w:jc w:val="both"/>
        <w:ind w:right="60" w:firstLine="561"/>
        <w:spacing w:after="0" w:line="270" w:lineRule="auto"/>
        <w:rPr>
          <w:sz w:val="20"/>
          <w:szCs w:val="20"/>
          <w:color w:val="auto"/>
        </w:rPr>
      </w:pPr>
      <w:r>
        <w:rPr>
          <w:rFonts w:ascii="Arial" w:cs="Arial" w:eastAsia="Arial" w:hAnsi="Arial"/>
          <w:sz w:val="16"/>
          <w:szCs w:val="16"/>
          <w:color w:val="auto"/>
        </w:rPr>
        <w:t>Our shareholders have one vote per share of our common stock owned on the record date for each matter properly presented at the Annual Meeting. For example, if you owned 100 shares of our common stock at the close of business on March 19, 2018, you can cast 100 votes for each matter properly presented at the Annual Meeting. Holders of our common stock have no cumulative voting rights.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0048E0"/>
        </w:rPr>
        <w:t>What constitutes a quorum?</w:t>
      </w:r>
    </w:p>
    <w:p>
      <w:pPr>
        <w:spacing w:after="0" w:line="215" w:lineRule="exact"/>
        <w:rPr>
          <w:sz w:val="20"/>
          <w:szCs w:val="20"/>
          <w:color w:val="auto"/>
        </w:rPr>
      </w:pPr>
    </w:p>
    <w:p>
      <w:pPr>
        <w:ind w:right="40" w:firstLine="552"/>
        <w:spacing w:after="0" w:line="326" w:lineRule="auto"/>
        <w:rPr>
          <w:sz w:val="20"/>
          <w:szCs w:val="20"/>
          <w:color w:val="auto"/>
        </w:rPr>
      </w:pPr>
      <w:r>
        <w:rPr>
          <w:rFonts w:ascii="Arial" w:cs="Arial" w:eastAsia="Arial" w:hAnsi="Arial"/>
          <w:sz w:val="14"/>
          <w:szCs w:val="14"/>
          <w:color w:val="auto"/>
        </w:rPr>
        <w:t>A quorum will be present at the Annual Meeting if holders of a majority of the issued and outstanding shares of our common stock on the record date are represented at the Annual Meeting in person or by proxy. If a quorum is not present at the Annual Meeting, we expect to postpone or adjourn the Annual Meeting to solicit additional proxies. Abstentions and broker non-votes (as described below) will be counted as shares present and entitled to vote for the purpose of determining the presence or absence of a quorum.</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0048E0"/>
        </w:rPr>
        <w:t>What are "broker non-votes" and how are they treated?</w:t>
      </w:r>
    </w:p>
    <w:p>
      <w:pPr>
        <w:spacing w:after="0" w:line="215" w:lineRule="exact"/>
        <w:rPr>
          <w:sz w:val="20"/>
          <w:szCs w:val="20"/>
          <w:color w:val="auto"/>
        </w:rPr>
      </w:pPr>
    </w:p>
    <w:p>
      <w:pPr>
        <w:ind w:right="20" w:firstLine="552"/>
        <w:spacing w:after="0" w:line="289" w:lineRule="auto"/>
        <w:rPr>
          <w:sz w:val="20"/>
          <w:szCs w:val="20"/>
          <w:color w:val="auto"/>
        </w:rPr>
      </w:pPr>
      <w:r>
        <w:rPr>
          <w:rFonts w:ascii="Arial" w:cs="Arial" w:eastAsia="Arial" w:hAnsi="Arial"/>
          <w:sz w:val="15"/>
          <w:szCs w:val="15"/>
          <w:color w:val="auto"/>
        </w:rPr>
        <w:t>A "broker non-vote" occurs when a bank, broker, trustee, agent or other holder of record holding shares for a beneficial owner withholds its vote on a particular proposal because that holder does not have discretionary voting power for such proposal and has not received instructions from the beneficial owner. If your broker is the shareholder of record, your broker is required to vote your shares in accordance with your instructions. If you do not give instructions to your broker, the rules of the New York Stock Exchange, or "NYSE", allow brokers the discretionary authority to vote your shares with respect to "routine" matters but not "non-routine" matters.</w:t>
      </w:r>
    </w:p>
    <w:p>
      <w:pPr>
        <w:spacing w:after="0" w:line="156" w:lineRule="exact"/>
        <w:rPr>
          <w:sz w:val="20"/>
          <w:szCs w:val="20"/>
          <w:color w:val="auto"/>
        </w:rPr>
      </w:pPr>
    </w:p>
    <w:p>
      <w:pPr>
        <w:ind w:right="220" w:firstLine="558"/>
        <w:spacing w:after="0" w:line="284" w:lineRule="auto"/>
        <w:rPr>
          <w:sz w:val="20"/>
          <w:szCs w:val="20"/>
          <w:color w:val="auto"/>
        </w:rPr>
      </w:pPr>
      <w:r>
        <w:rPr>
          <w:rFonts w:ascii="Arial" w:cs="Arial" w:eastAsia="Arial" w:hAnsi="Arial"/>
          <w:sz w:val="16"/>
          <w:szCs w:val="16"/>
          <w:color w:val="auto"/>
        </w:rPr>
        <w:t>The table below sets forth, for each proposal on the ballot, whether a broker can exercise discretion and vote your shares absent your instructions. If they cannot, such broker non-vote will not be counted as a vote cast and will therefore have no impact on the approval of the proposal.</w:t>
      </w:r>
    </w:p>
    <w:p>
      <w:pPr>
        <w:spacing w:after="0" w:line="150"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2"/>
                <w:szCs w:val="12"/>
                <w:b w:val="1"/>
                <w:bCs w:val="1"/>
                <w:color w:val="auto"/>
                <w:w w:val="93"/>
              </w:rPr>
              <w:t>Can Brokers Vote</w:t>
            </w:r>
          </w:p>
        </w:tc>
      </w:tr>
      <w:tr>
        <w:trPr>
          <w:trHeight w:val="136"/>
        </w:trPr>
        <w:tc>
          <w:tcPr>
            <w:tcW w:w="20" w:type="dxa"/>
            <w:vAlign w:val="bottom"/>
          </w:tcPr>
          <w:p>
            <w:pPr>
              <w:spacing w:after="0"/>
              <w:rPr>
                <w:sz w:val="11"/>
                <w:szCs w:val="11"/>
                <w:color w:val="auto"/>
              </w:rPr>
            </w:pPr>
          </w:p>
        </w:tc>
        <w:tc>
          <w:tcPr>
            <w:tcW w:w="7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3"/>
              </w:rPr>
              <w:t>Absent</w:t>
            </w:r>
          </w:p>
        </w:tc>
      </w:tr>
      <w:tr>
        <w:trPr>
          <w:trHeight w:val="149"/>
        </w:trPr>
        <w:tc>
          <w:tcPr>
            <w:tcW w:w="7980" w:type="dxa"/>
            <w:vAlign w:val="bottom"/>
            <w:gridSpan w:val="2"/>
          </w:tcPr>
          <w:p>
            <w:pPr>
              <w:spacing w:after="0"/>
              <w:rPr>
                <w:sz w:val="20"/>
                <w:szCs w:val="20"/>
                <w:color w:val="auto"/>
              </w:rPr>
            </w:pPr>
            <w:r>
              <w:rPr>
                <w:rFonts w:ascii="Arial" w:cs="Arial" w:eastAsia="Arial" w:hAnsi="Arial"/>
                <w:sz w:val="12"/>
                <w:szCs w:val="12"/>
                <w:b w:val="1"/>
                <w:bCs w:val="1"/>
                <w:color w:val="auto"/>
              </w:rPr>
              <w:t>Proposal</w:t>
            </w:r>
          </w:p>
        </w:tc>
        <w:tc>
          <w:tcPr>
            <w:tcW w:w="14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2"/>
                <w:szCs w:val="12"/>
                <w:b w:val="1"/>
                <w:bCs w:val="1"/>
                <w:color w:val="auto"/>
                <w:w w:val="92"/>
              </w:rPr>
              <w:t>Instructions?</w:t>
            </w:r>
          </w:p>
        </w:tc>
      </w:tr>
      <w:tr>
        <w:trPr>
          <w:trHeight w:val="190"/>
        </w:trPr>
        <w:tc>
          <w:tcPr>
            <w:tcW w:w="20" w:type="dxa"/>
            <w:vAlign w:val="bottom"/>
          </w:tcPr>
          <w:p>
            <w:pPr>
              <w:spacing w:after="0"/>
              <w:rPr>
                <w:sz w:val="16"/>
                <w:szCs w:val="16"/>
                <w:color w:val="auto"/>
              </w:rPr>
            </w:pPr>
          </w:p>
        </w:tc>
        <w:tc>
          <w:tcPr>
            <w:tcW w:w="7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Election of Directors</w:t>
            </w:r>
          </w:p>
        </w:tc>
        <w:tc>
          <w:tcPr>
            <w:tcW w:w="140" w:type="dxa"/>
            <w:vAlign w:val="bottom"/>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7"/>
              </w:rPr>
              <w:t>No</w:t>
            </w:r>
          </w:p>
        </w:tc>
      </w:tr>
      <w:tr>
        <w:trPr>
          <w:trHeight w:val="197"/>
        </w:trPr>
        <w:tc>
          <w:tcPr>
            <w:tcW w:w="20" w:type="dxa"/>
            <w:vAlign w:val="bottom"/>
          </w:tcPr>
          <w:p>
            <w:pPr>
              <w:spacing w:after="0"/>
              <w:rPr>
                <w:sz w:val="17"/>
                <w:szCs w:val="17"/>
                <w:color w:val="auto"/>
              </w:rPr>
            </w:pPr>
          </w:p>
        </w:tc>
        <w:tc>
          <w:tcPr>
            <w:tcW w:w="7960" w:type="dxa"/>
            <w:vAlign w:val="bottom"/>
          </w:tcPr>
          <w:p>
            <w:pPr>
              <w:spacing w:after="0"/>
              <w:rPr>
                <w:sz w:val="20"/>
                <w:szCs w:val="20"/>
                <w:color w:val="auto"/>
              </w:rPr>
            </w:pPr>
            <w:r>
              <w:rPr>
                <w:rFonts w:ascii="Arial" w:cs="Arial" w:eastAsia="Arial" w:hAnsi="Arial"/>
                <w:sz w:val="16"/>
                <w:szCs w:val="16"/>
                <w:color w:val="auto"/>
              </w:rPr>
              <w:t>Non-Binding, Advisory Vote on Executive Compensation</w:t>
            </w:r>
          </w:p>
        </w:tc>
        <w:tc>
          <w:tcPr>
            <w:tcW w:w="14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87"/>
              </w:rPr>
              <w:t>No</w:t>
            </w:r>
          </w:p>
        </w:tc>
      </w:tr>
      <w:tr>
        <w:trPr>
          <w:trHeight w:val="197"/>
        </w:trPr>
        <w:tc>
          <w:tcPr>
            <w:tcW w:w="20" w:type="dxa"/>
            <w:vAlign w:val="bottom"/>
          </w:tcPr>
          <w:p>
            <w:pPr>
              <w:spacing w:after="0"/>
              <w:rPr>
                <w:sz w:val="17"/>
                <w:szCs w:val="17"/>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6"/>
                <w:szCs w:val="16"/>
                <w:color w:val="auto"/>
              </w:rPr>
              <w:t>Ratification of Independent Registered Certified Public Accounting Firm</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79"/>
              </w:rPr>
              <w:t>Yes</w:t>
            </w:r>
          </w:p>
        </w:tc>
      </w:tr>
    </w:tbl>
    <w:p>
      <w:pPr>
        <w:spacing w:after="0" w:line="188" w:lineRule="exact"/>
        <w:rPr>
          <w:sz w:val="20"/>
          <w:szCs w:val="20"/>
          <w:color w:val="auto"/>
        </w:rPr>
      </w:pPr>
    </w:p>
    <w:p>
      <w:pPr>
        <w:jc w:val="both"/>
        <w:ind w:right="160" w:firstLine="561"/>
        <w:spacing w:after="0" w:line="270" w:lineRule="auto"/>
        <w:rPr>
          <w:sz w:val="20"/>
          <w:szCs w:val="20"/>
          <w:color w:val="auto"/>
        </w:rPr>
      </w:pPr>
      <w:r>
        <w:rPr>
          <w:rFonts w:ascii="Arial" w:cs="Arial" w:eastAsia="Arial" w:hAnsi="Arial"/>
          <w:sz w:val="16"/>
          <w:szCs w:val="16"/>
          <w:color w:val="auto"/>
        </w:rPr>
        <w:t>If other matters are properly brought before the Annual Meeting and they are not considered routine under the applicable NYSE rules, shares held by a bank, broker or other holder of record holding shares for a beneficial owner will not be voted on such non-routine matters by that holder unless that holder has received voting instructions. As stated above, broker non-votes are counted as present for the purpose of determining whether a quorum is present.</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0048E0"/>
        </w:rPr>
        <w:t>How are abstentions treated?</w:t>
      </w:r>
    </w:p>
    <w:p>
      <w:pPr>
        <w:spacing w:after="0" w:line="215" w:lineRule="exact"/>
        <w:rPr>
          <w:sz w:val="20"/>
          <w:szCs w:val="20"/>
          <w:color w:val="auto"/>
        </w:rPr>
      </w:pPr>
    </w:p>
    <w:p>
      <w:pPr>
        <w:ind w:right="360" w:firstLine="552"/>
        <w:spacing w:after="0" w:line="262" w:lineRule="auto"/>
        <w:rPr>
          <w:sz w:val="20"/>
          <w:szCs w:val="20"/>
          <w:color w:val="auto"/>
        </w:rPr>
      </w:pPr>
      <w:r>
        <w:rPr>
          <w:rFonts w:ascii="Arial" w:cs="Arial" w:eastAsia="Arial" w:hAnsi="Arial"/>
          <w:sz w:val="16"/>
          <w:szCs w:val="16"/>
          <w:color w:val="auto"/>
        </w:rPr>
        <w:t>Abstentions will not be counted as votes cast in the final tally of votes with regard to any proposal. Therefore, abstentions will have no effect on the outcome of any proposal. As stated above, abstentions will be counted for the purpose of determining whether a quorum is present.</w:t>
      </w:r>
    </w:p>
    <w:p>
      <w:pPr>
        <w:jc w:val="right"/>
        <w:spacing w:after="0"/>
        <w:tabs>
          <w:tab w:leader="none" w:pos="1880" w:val="left"/>
          <w:tab w:leader="none" w:pos="1640" w:val="left"/>
          <w:tab w:leader="none" w:pos="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3"/>
          <w:szCs w:val="33"/>
          <w:b w:val="1"/>
          <w:bCs w:val="1"/>
          <w:color w:val="auto"/>
          <w:vertAlign w:val="subscript"/>
        </w:rPr>
        <w:t>|</w:t>
      </w:r>
      <w:r>
        <w:rPr>
          <w:sz w:val="20"/>
          <w:szCs w:val="20"/>
          <w:color w:val="auto"/>
        </w:rPr>
        <w:tab/>
      </w:r>
      <w:r>
        <w:rPr>
          <w:rFonts w:ascii="Arial" w:cs="Arial" w:eastAsia="Arial" w:hAnsi="Arial"/>
          <w:sz w:val="16"/>
          <w:szCs w:val="16"/>
          <w:color w:val="auto"/>
        </w:rPr>
        <w:t>2018 Proxy Statement</w:t>
      </w:r>
      <w:r>
        <w:rPr>
          <w:sz w:val="20"/>
          <w:szCs w:val="20"/>
          <w:color w:val="auto"/>
        </w:rPr>
        <w:tab/>
      </w: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133350</wp:posOffset>
            </wp:positionV>
            <wp:extent cx="7263130" cy="203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 w:name="page9"/>
    <w:bookmarkEnd w:id="8"/>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0048E0"/>
        </w:rPr>
        <w:t>Will my shares be voted if I do not provide my proxy?</w:t>
      </w:r>
    </w:p>
    <w:p>
      <w:pPr>
        <w:spacing w:after="0" w:line="215" w:lineRule="exact"/>
        <w:rPr>
          <w:sz w:val="20"/>
          <w:szCs w:val="20"/>
          <w:color w:val="auto"/>
        </w:rPr>
      </w:pPr>
    </w:p>
    <w:p>
      <w:pPr>
        <w:ind w:firstLine="561"/>
        <w:spacing w:after="0" w:line="266" w:lineRule="auto"/>
        <w:rPr>
          <w:sz w:val="20"/>
          <w:szCs w:val="20"/>
          <w:color w:val="auto"/>
        </w:rPr>
      </w:pPr>
      <w:r>
        <w:rPr>
          <w:rFonts w:ascii="Arial" w:cs="Arial" w:eastAsia="Arial" w:hAnsi="Arial"/>
          <w:sz w:val="16"/>
          <w:szCs w:val="16"/>
          <w:color w:val="auto"/>
        </w:rPr>
        <w:t>If your shares are held in the name of a bank, broker or other holder of record, they may be voted by the bank, broker or other holder of record with respect to "routine" matters (as described above under the caption "What are "broker non-votes" and how are they treated?") even if you do not give the bank, broker or other holder of record specific voting instructions. If you are a shareholder of record and hold your shares directly in your own name, your shares will not be voted unless you provide a proxy or fill out a written ballot in person at the Annual Meeting.</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0048E0"/>
        </w:rPr>
        <w:t>How do I vote?</w:t>
      </w:r>
    </w:p>
    <w:p>
      <w:pPr>
        <w:spacing w:after="0" w:line="215" w:lineRule="exact"/>
        <w:rPr>
          <w:sz w:val="20"/>
          <w:szCs w:val="20"/>
          <w:color w:val="auto"/>
        </w:rPr>
      </w:pPr>
    </w:p>
    <w:p>
      <w:pPr>
        <w:ind w:left="980"/>
        <w:spacing w:after="0"/>
        <w:rPr>
          <w:sz w:val="20"/>
          <w:szCs w:val="20"/>
          <w:color w:val="auto"/>
        </w:rPr>
      </w:pPr>
      <w:r>
        <w:rPr>
          <w:rFonts w:ascii="Arial" w:cs="Arial" w:eastAsia="Arial" w:hAnsi="Arial"/>
          <w:sz w:val="16"/>
          <w:szCs w:val="16"/>
          <w:u w:val="single" w:color="auto"/>
          <w:color w:val="auto"/>
        </w:rPr>
        <w:t>To Vote by Internet, Telephone or Mail</w:t>
      </w:r>
      <w:r>
        <w:rPr>
          <w:rFonts w:ascii="Arial" w:cs="Arial" w:eastAsia="Arial" w:hAnsi="Arial"/>
          <w:sz w:val="16"/>
          <w:szCs w:val="16"/>
          <w:color w:val="auto"/>
        </w:rPr>
        <w:t>:</w:t>
      </w:r>
    </w:p>
    <w:p>
      <w:pPr>
        <w:spacing w:after="0" w:line="211" w:lineRule="exact"/>
        <w:rPr>
          <w:sz w:val="20"/>
          <w:szCs w:val="20"/>
          <w:color w:val="auto"/>
        </w:rPr>
      </w:pPr>
    </w:p>
    <w:p>
      <w:pPr>
        <w:ind w:right="500" w:firstLine="555"/>
        <w:spacing w:after="0" w:line="284" w:lineRule="auto"/>
        <w:rPr>
          <w:sz w:val="20"/>
          <w:szCs w:val="20"/>
          <w:color w:val="auto"/>
        </w:rPr>
      </w:pPr>
      <w:r>
        <w:rPr>
          <w:rFonts w:ascii="Arial" w:cs="Arial" w:eastAsia="Arial" w:hAnsi="Arial"/>
          <w:sz w:val="16"/>
          <w:szCs w:val="16"/>
          <w:color w:val="auto"/>
        </w:rPr>
        <w:t>You can vote by proxy whether or not you attend the Annual Meeting. To vote by proxy, you have a choice of voting over the Internet, by telephone or by using a traditional proxy card.</w:t>
      </w:r>
    </w:p>
    <w:p>
      <w:pPr>
        <w:spacing w:after="0" w:line="169" w:lineRule="exact"/>
        <w:rPr>
          <w:sz w:val="20"/>
          <w:szCs w:val="20"/>
          <w:color w:val="auto"/>
        </w:rPr>
      </w:pPr>
    </w:p>
    <w:p>
      <w:pPr>
        <w:ind w:left="980" w:right="260" w:hanging="488"/>
        <w:spacing w:after="0" w:line="284" w:lineRule="auto"/>
        <w:tabs>
          <w:tab w:leader="none" w:pos="9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To vote by Internet, go to www.proxyvote.com and follow the instructions there. You will need the 12-digit control number included on your proxy card, voter instruction form or Notice.</w:t>
      </w:r>
    </w:p>
    <w:p>
      <w:pPr>
        <w:spacing w:after="0" w:line="181" w:lineRule="exact"/>
        <w:rPr>
          <w:rFonts w:ascii="Arial" w:cs="Arial" w:eastAsia="Arial" w:hAnsi="Arial"/>
          <w:sz w:val="16"/>
          <w:szCs w:val="16"/>
          <w:color w:val="auto"/>
        </w:rPr>
      </w:pPr>
    </w:p>
    <w:p>
      <w:pPr>
        <w:ind w:left="980" w:right="320" w:hanging="488"/>
        <w:spacing w:after="0" w:line="284" w:lineRule="auto"/>
        <w:tabs>
          <w:tab w:leader="none" w:pos="9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To vote by telephone, dial the number listed on your proxy card, your voter instruction form or Notice. You will need the 12-digit control number included on your proxy card, voter instruction form or Notice.</w:t>
      </w:r>
    </w:p>
    <w:p>
      <w:pPr>
        <w:spacing w:after="0" w:line="168" w:lineRule="exact"/>
        <w:rPr>
          <w:rFonts w:ascii="Arial" w:cs="Arial" w:eastAsia="Arial" w:hAnsi="Arial"/>
          <w:sz w:val="16"/>
          <w:szCs w:val="16"/>
          <w:color w:val="auto"/>
        </w:rPr>
      </w:pPr>
    </w:p>
    <w:p>
      <w:pPr>
        <w:ind w:left="980" w:hanging="488"/>
        <w:spacing w:after="0"/>
        <w:tabs>
          <w:tab w:leader="none" w:pos="980" w:val="left"/>
        </w:tabs>
        <w:numPr>
          <w:ilvl w:val="0"/>
          <w:numId w:val="9"/>
        </w:numPr>
        <w:rPr>
          <w:rFonts w:ascii="Arial" w:cs="Arial" w:eastAsia="Arial" w:hAnsi="Arial"/>
          <w:sz w:val="15"/>
          <w:szCs w:val="15"/>
          <w:color w:val="auto"/>
        </w:rPr>
      </w:pPr>
      <w:r>
        <w:rPr>
          <w:rFonts w:ascii="Arial" w:cs="Arial" w:eastAsia="Arial" w:hAnsi="Arial"/>
          <w:sz w:val="15"/>
          <w:szCs w:val="15"/>
          <w:color w:val="auto"/>
        </w:rPr>
        <w:t>If you received a Notice and wish to vote by traditional proxy card, you can request a full set of materials at no charge through one of the following methods:</w:t>
      </w:r>
    </w:p>
    <w:p>
      <w:pPr>
        <w:spacing w:after="0" w:line="200" w:lineRule="exact"/>
        <w:rPr>
          <w:rFonts w:ascii="Arial" w:cs="Arial" w:eastAsia="Arial" w:hAnsi="Arial"/>
          <w:sz w:val="15"/>
          <w:szCs w:val="15"/>
          <w:color w:val="auto"/>
        </w:rPr>
      </w:pPr>
    </w:p>
    <w:p>
      <w:pPr>
        <w:spacing w:after="0" w:line="231" w:lineRule="exact"/>
        <w:rPr>
          <w:rFonts w:ascii="Arial" w:cs="Arial" w:eastAsia="Arial" w:hAnsi="Arial"/>
          <w:sz w:val="15"/>
          <w:szCs w:val="15"/>
          <w:color w:val="auto"/>
        </w:rPr>
      </w:pPr>
    </w:p>
    <w:p>
      <w:pPr>
        <w:ind w:left="1980" w:hanging="502"/>
        <w:spacing w:after="0"/>
        <w:tabs>
          <w:tab w:leader="none" w:pos="1980" w:val="left"/>
        </w:tabs>
        <w:numPr>
          <w:ilvl w:val="1"/>
          <w:numId w:val="9"/>
        </w:numPr>
        <w:rPr>
          <w:rFonts w:ascii="Arial" w:cs="Arial" w:eastAsia="Arial" w:hAnsi="Arial"/>
          <w:sz w:val="16"/>
          <w:szCs w:val="16"/>
          <w:color w:val="auto"/>
        </w:rPr>
      </w:pPr>
      <w:r>
        <w:rPr>
          <w:rFonts w:ascii="Arial" w:cs="Arial" w:eastAsia="Arial" w:hAnsi="Arial"/>
          <w:sz w:val="16"/>
          <w:szCs w:val="16"/>
          <w:color w:val="auto"/>
        </w:rPr>
        <w:t>By Internet: by visiting www.proxyvote.com</w:t>
      </w:r>
    </w:p>
    <w:p>
      <w:pPr>
        <w:spacing w:after="0" w:line="235" w:lineRule="exact"/>
        <w:rPr>
          <w:rFonts w:ascii="Arial" w:cs="Arial" w:eastAsia="Arial" w:hAnsi="Arial"/>
          <w:sz w:val="16"/>
          <w:szCs w:val="16"/>
          <w:color w:val="auto"/>
        </w:rPr>
      </w:pPr>
    </w:p>
    <w:p>
      <w:pPr>
        <w:ind w:left="1980" w:hanging="502"/>
        <w:spacing w:after="0"/>
        <w:tabs>
          <w:tab w:leader="none" w:pos="1980" w:val="left"/>
        </w:tabs>
        <w:numPr>
          <w:ilvl w:val="1"/>
          <w:numId w:val="9"/>
        </w:numPr>
        <w:rPr>
          <w:rFonts w:ascii="Arial" w:cs="Arial" w:eastAsia="Arial" w:hAnsi="Arial"/>
          <w:sz w:val="16"/>
          <w:szCs w:val="16"/>
          <w:color w:val="auto"/>
        </w:rPr>
      </w:pPr>
      <w:r>
        <w:rPr>
          <w:rFonts w:ascii="Arial" w:cs="Arial" w:eastAsia="Arial" w:hAnsi="Arial"/>
          <w:sz w:val="16"/>
          <w:szCs w:val="16"/>
          <w:color w:val="auto"/>
        </w:rPr>
        <w:t>By phone: by using the phone number listed on the Notice</w:t>
      </w:r>
    </w:p>
    <w:p>
      <w:pPr>
        <w:spacing w:after="0" w:line="211" w:lineRule="exact"/>
        <w:rPr>
          <w:sz w:val="20"/>
          <w:szCs w:val="20"/>
          <w:color w:val="auto"/>
        </w:rPr>
      </w:pPr>
    </w:p>
    <w:p>
      <w:pPr>
        <w:ind w:firstLine="558"/>
        <w:spacing w:after="0" w:line="284" w:lineRule="auto"/>
        <w:rPr>
          <w:sz w:val="20"/>
          <w:szCs w:val="20"/>
          <w:color w:val="auto"/>
        </w:rPr>
      </w:pPr>
      <w:r>
        <w:rPr>
          <w:rFonts w:ascii="Arial" w:cs="Arial" w:eastAsia="Arial" w:hAnsi="Arial"/>
          <w:sz w:val="16"/>
          <w:szCs w:val="16"/>
          <w:color w:val="auto"/>
        </w:rPr>
        <w:t>To reduce our administrative and postage costs, we ask that you vote through the Internet or by telephone, both of which are available 24 hours a day. To ensure that your vote is counted, please remember to submit your vote by 11:59 p.m. Eastern Time on Wednesday, May 23, 2018.</w:t>
      </w:r>
    </w:p>
    <w:p>
      <w:pPr>
        <w:spacing w:after="0" w:line="156" w:lineRule="exact"/>
        <w:rPr>
          <w:sz w:val="20"/>
          <w:szCs w:val="20"/>
          <w:color w:val="auto"/>
        </w:rPr>
      </w:pPr>
    </w:p>
    <w:p>
      <w:pPr>
        <w:ind w:left="980"/>
        <w:spacing w:after="0"/>
        <w:rPr>
          <w:sz w:val="20"/>
          <w:szCs w:val="20"/>
          <w:color w:val="auto"/>
        </w:rPr>
      </w:pPr>
      <w:r>
        <w:rPr>
          <w:rFonts w:ascii="Arial" w:cs="Arial" w:eastAsia="Arial" w:hAnsi="Arial"/>
          <w:sz w:val="16"/>
          <w:szCs w:val="16"/>
          <w:u w:val="single" w:color="auto"/>
          <w:color w:val="auto"/>
        </w:rPr>
        <w:t>To Vote in Person</w:t>
      </w:r>
      <w:r>
        <w:rPr>
          <w:rFonts w:ascii="Arial" w:cs="Arial" w:eastAsia="Arial" w:hAnsi="Arial"/>
          <w:sz w:val="16"/>
          <w:szCs w:val="16"/>
          <w:color w:val="auto"/>
        </w:rPr>
        <w:t>:</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If your shares are registered in your name, you must bring a valid photo identification and deliver your completed proxy card or ballot in person.</w:t>
      </w:r>
    </w:p>
    <w:p>
      <w:pPr>
        <w:spacing w:after="0" w:line="211" w:lineRule="exact"/>
        <w:rPr>
          <w:sz w:val="20"/>
          <w:szCs w:val="20"/>
          <w:color w:val="auto"/>
        </w:rPr>
      </w:pPr>
    </w:p>
    <w:p>
      <w:pPr>
        <w:ind w:right="240" w:firstLine="561"/>
        <w:spacing w:after="0" w:line="284" w:lineRule="auto"/>
        <w:rPr>
          <w:sz w:val="20"/>
          <w:szCs w:val="20"/>
          <w:color w:val="auto"/>
        </w:rPr>
      </w:pPr>
      <w:r>
        <w:rPr>
          <w:rFonts w:ascii="Arial" w:cs="Arial" w:eastAsia="Arial" w:hAnsi="Arial"/>
          <w:sz w:val="16"/>
          <w:szCs w:val="16"/>
          <w:color w:val="auto"/>
        </w:rPr>
        <w:t>If you hold your shares in "street name," you will need to bring a valid photo identification to the Annual Meeting and obtain a legal proxy from your bank, broker or other nominee to vote the shares that are held for your benefit, attach such legal proxy to your completed proxy card and deliver it in person.</w:t>
      </w:r>
    </w:p>
    <w:p>
      <w:pPr>
        <w:spacing w:after="0" w:line="152" w:lineRule="exact"/>
        <w:rPr>
          <w:sz w:val="20"/>
          <w:szCs w:val="20"/>
          <w:color w:val="auto"/>
        </w:rPr>
      </w:pPr>
    </w:p>
    <w:p>
      <w:pPr>
        <w:jc w:val="right"/>
        <w:spacing w:after="0"/>
        <w:tabs>
          <w:tab w:leader="none" w:pos="1880" w:val="left"/>
          <w:tab w:leader="none" w:pos="1640" w:val="left"/>
          <w:tab w:leader="none" w:pos="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16"/>
          <w:szCs w:val="16"/>
          <w:b w:val="1"/>
          <w:bCs w:val="1"/>
          <w:color w:val="auto"/>
        </w:rPr>
        <w:t>|</w:t>
      </w:r>
      <w:r>
        <w:rPr>
          <w:sz w:val="20"/>
          <w:szCs w:val="20"/>
          <w:color w:val="auto"/>
        </w:rPr>
        <w:tab/>
      </w:r>
      <w:r>
        <w:rPr>
          <w:rFonts w:ascii="Arial" w:cs="Arial" w:eastAsia="Arial" w:hAnsi="Arial"/>
          <w:sz w:val="16"/>
          <w:szCs w:val="16"/>
          <w:color w:val="auto"/>
        </w:rPr>
        <w:t>2018 Proxy Statement</w:t>
      </w:r>
      <w:r>
        <w:rPr>
          <w:sz w:val="20"/>
          <w:szCs w:val="20"/>
          <w:color w:val="auto"/>
        </w:rPr>
        <w:tab/>
      </w: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139700</wp:posOffset>
            </wp:positionV>
            <wp:extent cx="7263130" cy="203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 w:name="page10"/>
    <w:bookmarkEnd w:id="9"/>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0048E0"/>
        </w:rPr>
        <w:t>What vote is required for the proposals?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2"/>
                <w:szCs w:val="12"/>
                <w:color w:val="auto"/>
              </w:rPr>
            </w:pPr>
          </w:p>
        </w:tc>
        <w:tc>
          <w:tcPr>
            <w:tcW w:w="4380" w:type="dxa"/>
            <w:vAlign w:val="bottom"/>
          </w:tcPr>
          <w:p>
            <w:pPr>
              <w:spacing w:after="0"/>
              <w:rPr>
                <w:sz w:val="20"/>
                <w:szCs w:val="20"/>
                <w:color w:val="auto"/>
              </w:rPr>
            </w:pPr>
            <w:r>
              <w:rPr>
                <w:rFonts w:ascii="Arial" w:cs="Arial" w:eastAsia="Arial" w:hAnsi="Arial"/>
                <w:sz w:val="12"/>
                <w:szCs w:val="12"/>
                <w:b w:val="1"/>
                <w:bCs w:val="1"/>
                <w:color w:val="auto"/>
              </w:rPr>
              <w:t>Proposal</w:t>
            </w:r>
          </w:p>
        </w:tc>
        <w:tc>
          <w:tcPr>
            <w:tcW w:w="4760" w:type="dxa"/>
            <w:vAlign w:val="bottom"/>
            <w:gridSpan w:val="2"/>
          </w:tcPr>
          <w:p>
            <w:pPr>
              <w:ind w:left="380"/>
              <w:spacing w:after="0"/>
              <w:rPr>
                <w:sz w:val="20"/>
                <w:szCs w:val="20"/>
                <w:color w:val="auto"/>
              </w:rPr>
            </w:pPr>
            <w:r>
              <w:rPr>
                <w:rFonts w:ascii="Arial" w:cs="Arial" w:eastAsia="Arial" w:hAnsi="Arial"/>
                <w:sz w:val="12"/>
                <w:szCs w:val="12"/>
                <w:b w:val="1"/>
                <w:bCs w:val="1"/>
                <w:color w:val="auto"/>
              </w:rPr>
              <w:t>Description of Votes Needed</w:t>
            </w:r>
          </w:p>
        </w:tc>
      </w:tr>
      <w:tr>
        <w:trPr>
          <w:trHeight w:val="181"/>
        </w:trPr>
        <w:tc>
          <w:tcPr>
            <w:tcW w:w="1140" w:type="dxa"/>
            <w:vAlign w:val="bottom"/>
          </w:tcPr>
          <w:p>
            <w:pPr>
              <w:spacing w:after="0"/>
              <w:rPr>
                <w:sz w:val="15"/>
                <w:szCs w:val="15"/>
                <w:color w:val="auto"/>
              </w:rPr>
            </w:pPr>
          </w:p>
        </w:tc>
        <w:tc>
          <w:tcPr>
            <w:tcW w:w="4380" w:type="dxa"/>
            <w:vAlign w:val="bottom"/>
            <w:tcBorders>
              <w:top w:val="single" w:sz="8" w:color="auto"/>
            </w:tcBorders>
          </w:tcPr>
          <w:p>
            <w:pPr>
              <w:spacing w:after="0" w:line="181" w:lineRule="exact"/>
              <w:rPr>
                <w:sz w:val="20"/>
                <w:szCs w:val="20"/>
                <w:color w:val="auto"/>
              </w:rPr>
            </w:pPr>
            <w:r>
              <w:rPr>
                <w:rFonts w:ascii="Arial" w:cs="Arial" w:eastAsia="Arial" w:hAnsi="Arial"/>
                <w:sz w:val="16"/>
                <w:szCs w:val="16"/>
                <w:color w:val="auto"/>
              </w:rPr>
              <w:t>Election of Directors</w:t>
            </w:r>
          </w:p>
        </w:tc>
        <w:tc>
          <w:tcPr>
            <w:tcW w:w="380" w:type="dxa"/>
            <w:vAlign w:val="bottom"/>
          </w:tcPr>
          <w:p>
            <w:pPr>
              <w:spacing w:after="0"/>
              <w:rPr>
                <w:sz w:val="15"/>
                <w:szCs w:val="15"/>
                <w:color w:val="auto"/>
              </w:rPr>
            </w:pPr>
          </w:p>
        </w:tc>
        <w:tc>
          <w:tcPr>
            <w:tcW w:w="4380" w:type="dxa"/>
            <w:vAlign w:val="bottom"/>
            <w:tcBorders>
              <w:top w:val="single" w:sz="8" w:color="auto"/>
            </w:tcBorders>
          </w:tcPr>
          <w:p>
            <w:pPr>
              <w:spacing w:after="0" w:line="181" w:lineRule="exact"/>
              <w:rPr>
                <w:sz w:val="20"/>
                <w:szCs w:val="20"/>
                <w:color w:val="auto"/>
              </w:rPr>
            </w:pPr>
            <w:r>
              <w:rPr>
                <w:rFonts w:ascii="Arial" w:cs="Arial" w:eastAsia="Arial" w:hAnsi="Arial"/>
                <w:sz w:val="16"/>
                <w:szCs w:val="16"/>
                <w:color w:val="auto"/>
                <w:w w:val="97"/>
              </w:rPr>
              <w:t>The nine nominees for election as directors will be elected by a</w:t>
            </w:r>
          </w:p>
        </w:tc>
      </w:tr>
      <w:tr>
        <w:trPr>
          <w:trHeight w:val="197"/>
        </w:trPr>
        <w:tc>
          <w:tcPr>
            <w:tcW w:w="114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4760" w:type="dxa"/>
            <w:vAlign w:val="bottom"/>
            <w:gridSpan w:val="2"/>
          </w:tcPr>
          <w:p>
            <w:pPr>
              <w:ind w:left="380"/>
              <w:spacing w:after="0"/>
              <w:rPr>
                <w:sz w:val="20"/>
                <w:szCs w:val="20"/>
                <w:color w:val="auto"/>
              </w:rPr>
            </w:pPr>
            <w:r>
              <w:rPr>
                <w:rFonts w:ascii="Arial" w:cs="Arial" w:eastAsia="Arial" w:hAnsi="Arial"/>
                <w:sz w:val="16"/>
                <w:szCs w:val="16"/>
                <w:color w:val="auto"/>
                <w:w w:val="92"/>
              </w:rPr>
              <w:t>"plurality" of the votes cast at the Annual Meeting. This means that</w:t>
            </w:r>
          </w:p>
        </w:tc>
      </w:tr>
      <w:tr>
        <w:trPr>
          <w:trHeight w:val="197"/>
        </w:trPr>
        <w:tc>
          <w:tcPr>
            <w:tcW w:w="114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4760" w:type="dxa"/>
            <w:vAlign w:val="bottom"/>
            <w:gridSpan w:val="2"/>
          </w:tcPr>
          <w:p>
            <w:pPr>
              <w:ind w:left="380"/>
              <w:spacing w:after="0"/>
              <w:rPr>
                <w:sz w:val="20"/>
                <w:szCs w:val="20"/>
                <w:color w:val="auto"/>
              </w:rPr>
            </w:pPr>
            <w:r>
              <w:rPr>
                <w:rFonts w:ascii="Arial" w:cs="Arial" w:eastAsia="Arial" w:hAnsi="Arial"/>
                <w:sz w:val="16"/>
                <w:szCs w:val="16"/>
                <w:color w:val="auto"/>
                <w:w w:val="92"/>
              </w:rPr>
              <w:t>the nine nominees who receive the highest number of "FOR" votes</w:t>
            </w:r>
          </w:p>
        </w:tc>
      </w:tr>
      <w:tr>
        <w:trPr>
          <w:trHeight w:val="197"/>
        </w:trPr>
        <w:tc>
          <w:tcPr>
            <w:tcW w:w="114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4760" w:type="dxa"/>
            <w:vAlign w:val="bottom"/>
            <w:gridSpan w:val="2"/>
          </w:tcPr>
          <w:p>
            <w:pPr>
              <w:ind w:left="380"/>
              <w:spacing w:after="0"/>
              <w:rPr>
                <w:sz w:val="20"/>
                <w:szCs w:val="20"/>
                <w:color w:val="auto"/>
              </w:rPr>
            </w:pPr>
            <w:r>
              <w:rPr>
                <w:rFonts w:ascii="Arial" w:cs="Arial" w:eastAsia="Arial" w:hAnsi="Arial"/>
                <w:sz w:val="16"/>
                <w:szCs w:val="16"/>
                <w:color w:val="auto"/>
                <w:w w:val="90"/>
              </w:rPr>
              <w:t>will be elected as directors, even if those nominees do not receive a</w:t>
            </w:r>
          </w:p>
        </w:tc>
      </w:tr>
      <w:tr>
        <w:trPr>
          <w:trHeight w:val="197"/>
        </w:trPr>
        <w:tc>
          <w:tcPr>
            <w:tcW w:w="114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4760" w:type="dxa"/>
            <w:vAlign w:val="bottom"/>
            <w:gridSpan w:val="2"/>
          </w:tcPr>
          <w:p>
            <w:pPr>
              <w:ind w:left="380"/>
              <w:spacing w:after="0"/>
              <w:rPr>
                <w:sz w:val="20"/>
                <w:szCs w:val="20"/>
                <w:color w:val="auto"/>
              </w:rPr>
            </w:pPr>
            <w:r>
              <w:rPr>
                <w:rFonts w:ascii="Arial" w:cs="Arial" w:eastAsia="Arial" w:hAnsi="Arial"/>
                <w:sz w:val="16"/>
                <w:szCs w:val="16"/>
                <w:color w:val="auto"/>
                <w:w w:val="94"/>
              </w:rPr>
              <w:t>majority of the votes cast. "Withhold" votes will not be counted as</w:t>
            </w:r>
          </w:p>
        </w:tc>
      </w:tr>
      <w:tr>
        <w:trPr>
          <w:trHeight w:val="197"/>
        </w:trPr>
        <w:tc>
          <w:tcPr>
            <w:tcW w:w="114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4760" w:type="dxa"/>
            <w:vAlign w:val="bottom"/>
            <w:gridSpan w:val="2"/>
          </w:tcPr>
          <w:p>
            <w:pPr>
              <w:ind w:left="380"/>
              <w:spacing w:after="0"/>
              <w:rPr>
                <w:sz w:val="20"/>
                <w:szCs w:val="20"/>
                <w:color w:val="auto"/>
              </w:rPr>
            </w:pPr>
            <w:r>
              <w:rPr>
                <w:rFonts w:ascii="Arial" w:cs="Arial" w:eastAsia="Arial" w:hAnsi="Arial"/>
                <w:sz w:val="16"/>
                <w:szCs w:val="16"/>
                <w:color w:val="auto"/>
                <w:w w:val="97"/>
              </w:rPr>
              <w:t>votes cast either for or against the election of a director and will</w:t>
            </w:r>
          </w:p>
        </w:tc>
      </w:tr>
      <w:tr>
        <w:trPr>
          <w:trHeight w:val="197"/>
        </w:trPr>
        <w:tc>
          <w:tcPr>
            <w:tcW w:w="114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4760" w:type="dxa"/>
            <w:vAlign w:val="bottom"/>
            <w:gridSpan w:val="2"/>
          </w:tcPr>
          <w:p>
            <w:pPr>
              <w:ind w:left="380"/>
              <w:spacing w:after="0"/>
              <w:rPr>
                <w:sz w:val="20"/>
                <w:szCs w:val="20"/>
                <w:color w:val="auto"/>
              </w:rPr>
            </w:pPr>
            <w:r>
              <w:rPr>
                <w:rFonts w:ascii="Arial" w:cs="Arial" w:eastAsia="Arial" w:hAnsi="Arial"/>
                <w:sz w:val="16"/>
                <w:szCs w:val="16"/>
                <w:color w:val="auto"/>
                <w:w w:val="94"/>
              </w:rPr>
              <w:t>have no effect on the results of the election of directors, although</w:t>
            </w:r>
          </w:p>
        </w:tc>
      </w:tr>
      <w:tr>
        <w:trPr>
          <w:trHeight w:val="197"/>
        </w:trPr>
        <w:tc>
          <w:tcPr>
            <w:tcW w:w="114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4760" w:type="dxa"/>
            <w:vAlign w:val="bottom"/>
            <w:gridSpan w:val="2"/>
          </w:tcPr>
          <w:p>
            <w:pPr>
              <w:ind w:left="380"/>
              <w:spacing w:after="0"/>
              <w:rPr>
                <w:sz w:val="20"/>
                <w:szCs w:val="20"/>
                <w:color w:val="auto"/>
              </w:rPr>
            </w:pPr>
            <w:r>
              <w:rPr>
                <w:rFonts w:ascii="Arial" w:cs="Arial" w:eastAsia="Arial" w:hAnsi="Arial"/>
                <w:sz w:val="16"/>
                <w:szCs w:val="16"/>
                <w:color w:val="auto"/>
                <w:w w:val="93"/>
              </w:rPr>
              <w:t>they will be considered present for the purpose of determining the</w:t>
            </w:r>
          </w:p>
        </w:tc>
      </w:tr>
      <w:tr>
        <w:trPr>
          <w:trHeight w:val="197"/>
        </w:trPr>
        <w:tc>
          <w:tcPr>
            <w:tcW w:w="114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4760" w:type="dxa"/>
            <w:vAlign w:val="bottom"/>
            <w:gridSpan w:val="2"/>
          </w:tcPr>
          <w:p>
            <w:pPr>
              <w:ind w:left="380"/>
              <w:spacing w:after="0"/>
              <w:rPr>
                <w:sz w:val="20"/>
                <w:szCs w:val="20"/>
                <w:color w:val="auto"/>
              </w:rPr>
            </w:pPr>
            <w:r>
              <w:rPr>
                <w:rFonts w:ascii="Arial" w:cs="Arial" w:eastAsia="Arial" w:hAnsi="Arial"/>
                <w:sz w:val="16"/>
                <w:szCs w:val="16"/>
                <w:color w:val="auto"/>
              </w:rPr>
              <w:t>presence of a quorum. See page 7 of this proxy statement for</w:t>
            </w:r>
          </w:p>
        </w:tc>
      </w:tr>
      <w:tr>
        <w:trPr>
          <w:trHeight w:val="197"/>
        </w:trPr>
        <w:tc>
          <w:tcPr>
            <w:tcW w:w="114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4760" w:type="dxa"/>
            <w:vAlign w:val="bottom"/>
            <w:gridSpan w:val="2"/>
          </w:tcPr>
          <w:p>
            <w:pPr>
              <w:ind w:left="380"/>
              <w:spacing w:after="0"/>
              <w:rPr>
                <w:sz w:val="20"/>
                <w:szCs w:val="20"/>
                <w:color w:val="auto"/>
              </w:rPr>
            </w:pPr>
            <w:r>
              <w:rPr>
                <w:rFonts w:ascii="Arial" w:cs="Arial" w:eastAsia="Arial" w:hAnsi="Arial"/>
                <w:sz w:val="16"/>
                <w:szCs w:val="16"/>
                <w:color w:val="auto"/>
              </w:rPr>
              <w:t>additional information about our director resignation policy in</w:t>
            </w:r>
          </w:p>
        </w:tc>
      </w:tr>
      <w:tr>
        <w:trPr>
          <w:trHeight w:val="197"/>
        </w:trPr>
        <w:tc>
          <w:tcPr>
            <w:tcW w:w="114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4760" w:type="dxa"/>
            <w:vAlign w:val="bottom"/>
            <w:gridSpan w:val="2"/>
          </w:tcPr>
          <w:p>
            <w:pPr>
              <w:ind w:left="380"/>
              <w:spacing w:after="0"/>
              <w:rPr>
                <w:sz w:val="20"/>
                <w:szCs w:val="20"/>
                <w:color w:val="auto"/>
              </w:rPr>
            </w:pPr>
            <w:r>
              <w:rPr>
                <w:rFonts w:ascii="Arial" w:cs="Arial" w:eastAsia="Arial" w:hAnsi="Arial"/>
                <w:sz w:val="16"/>
                <w:szCs w:val="16"/>
                <w:color w:val="auto"/>
              </w:rPr>
              <w:t>uncontested elections.</w:t>
            </w:r>
          </w:p>
        </w:tc>
      </w:tr>
      <w:tr>
        <w:trPr>
          <w:trHeight w:val="197"/>
        </w:trPr>
        <w:tc>
          <w:tcPr>
            <w:tcW w:w="1140" w:type="dxa"/>
            <w:vAlign w:val="bottom"/>
          </w:tcPr>
          <w:p>
            <w:pPr>
              <w:spacing w:after="0"/>
              <w:rPr>
                <w:sz w:val="17"/>
                <w:szCs w:val="17"/>
                <w:color w:val="auto"/>
              </w:rPr>
            </w:pPr>
          </w:p>
        </w:tc>
        <w:tc>
          <w:tcPr>
            <w:tcW w:w="4380" w:type="dxa"/>
            <w:vAlign w:val="bottom"/>
          </w:tcPr>
          <w:p>
            <w:pPr>
              <w:spacing w:after="0"/>
              <w:rPr>
                <w:sz w:val="20"/>
                <w:szCs w:val="20"/>
                <w:color w:val="auto"/>
              </w:rPr>
            </w:pPr>
            <w:r>
              <w:rPr>
                <w:rFonts w:ascii="Arial" w:cs="Arial" w:eastAsia="Arial" w:hAnsi="Arial"/>
                <w:sz w:val="16"/>
                <w:szCs w:val="16"/>
                <w:color w:val="auto"/>
              </w:rPr>
              <w:t>Non-Binding, Advisory Vote on Executive Compensation</w:t>
            </w:r>
          </w:p>
        </w:tc>
        <w:tc>
          <w:tcPr>
            <w:tcW w:w="4760" w:type="dxa"/>
            <w:vAlign w:val="bottom"/>
            <w:gridSpan w:val="2"/>
          </w:tcPr>
          <w:p>
            <w:pPr>
              <w:ind w:left="380"/>
              <w:spacing w:after="0"/>
              <w:rPr>
                <w:sz w:val="20"/>
                <w:szCs w:val="20"/>
                <w:color w:val="auto"/>
              </w:rPr>
            </w:pPr>
            <w:r>
              <w:rPr>
                <w:rFonts w:ascii="Arial" w:cs="Arial" w:eastAsia="Arial" w:hAnsi="Arial"/>
                <w:sz w:val="16"/>
                <w:szCs w:val="16"/>
                <w:color w:val="auto"/>
                <w:w w:val="93"/>
              </w:rPr>
              <w:t>The affirmative vote of a majority of the votes cast on the proposal</w:t>
            </w:r>
          </w:p>
        </w:tc>
      </w:tr>
      <w:tr>
        <w:trPr>
          <w:trHeight w:val="197"/>
        </w:trPr>
        <w:tc>
          <w:tcPr>
            <w:tcW w:w="114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4760" w:type="dxa"/>
            <w:vAlign w:val="bottom"/>
            <w:gridSpan w:val="2"/>
          </w:tcPr>
          <w:p>
            <w:pPr>
              <w:ind w:left="380"/>
              <w:spacing w:after="0"/>
              <w:rPr>
                <w:sz w:val="20"/>
                <w:szCs w:val="20"/>
                <w:color w:val="auto"/>
              </w:rPr>
            </w:pPr>
            <w:r>
              <w:rPr>
                <w:rFonts w:ascii="Arial" w:cs="Arial" w:eastAsia="Arial" w:hAnsi="Arial"/>
                <w:sz w:val="16"/>
                <w:szCs w:val="16"/>
                <w:color w:val="auto"/>
                <w:w w:val="95"/>
              </w:rPr>
              <w:t>is required for the approval of the non-binding, advisory vote with</w:t>
            </w:r>
          </w:p>
        </w:tc>
      </w:tr>
      <w:tr>
        <w:trPr>
          <w:trHeight w:val="197"/>
        </w:trPr>
        <w:tc>
          <w:tcPr>
            <w:tcW w:w="114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4760" w:type="dxa"/>
            <w:vAlign w:val="bottom"/>
            <w:gridSpan w:val="2"/>
          </w:tcPr>
          <w:p>
            <w:pPr>
              <w:ind w:left="380"/>
              <w:spacing w:after="0"/>
              <w:rPr>
                <w:sz w:val="20"/>
                <w:szCs w:val="20"/>
                <w:color w:val="auto"/>
              </w:rPr>
            </w:pPr>
            <w:r>
              <w:rPr>
                <w:rFonts w:ascii="Arial" w:cs="Arial" w:eastAsia="Arial" w:hAnsi="Arial"/>
                <w:sz w:val="16"/>
                <w:szCs w:val="16"/>
                <w:color w:val="auto"/>
              </w:rPr>
              <w:t>respect to executive compensation.</w:t>
            </w:r>
          </w:p>
        </w:tc>
      </w:tr>
      <w:tr>
        <w:trPr>
          <w:trHeight w:val="197"/>
        </w:trPr>
        <w:tc>
          <w:tcPr>
            <w:tcW w:w="1140" w:type="dxa"/>
            <w:vAlign w:val="bottom"/>
          </w:tcPr>
          <w:p>
            <w:pPr>
              <w:spacing w:after="0"/>
              <w:rPr>
                <w:sz w:val="17"/>
                <w:szCs w:val="17"/>
                <w:color w:val="auto"/>
              </w:rPr>
            </w:pPr>
          </w:p>
        </w:tc>
        <w:tc>
          <w:tcPr>
            <w:tcW w:w="4380" w:type="dxa"/>
            <w:vAlign w:val="bottom"/>
          </w:tcPr>
          <w:p>
            <w:pPr>
              <w:spacing w:after="0"/>
              <w:rPr>
                <w:sz w:val="20"/>
                <w:szCs w:val="20"/>
                <w:color w:val="auto"/>
              </w:rPr>
            </w:pPr>
            <w:r>
              <w:rPr>
                <w:rFonts w:ascii="Arial" w:cs="Arial" w:eastAsia="Arial" w:hAnsi="Arial"/>
                <w:sz w:val="16"/>
                <w:szCs w:val="16"/>
                <w:color w:val="auto"/>
                <w:w w:val="93"/>
              </w:rPr>
              <w:t>Ratification of Independent Registered Certified Public Accounting</w:t>
            </w:r>
          </w:p>
        </w:tc>
        <w:tc>
          <w:tcPr>
            <w:tcW w:w="4760" w:type="dxa"/>
            <w:vAlign w:val="bottom"/>
            <w:gridSpan w:val="2"/>
          </w:tcPr>
          <w:p>
            <w:pPr>
              <w:ind w:left="380"/>
              <w:spacing w:after="0"/>
              <w:rPr>
                <w:sz w:val="20"/>
                <w:szCs w:val="20"/>
                <w:color w:val="auto"/>
              </w:rPr>
            </w:pPr>
            <w:r>
              <w:rPr>
                <w:rFonts w:ascii="Arial" w:cs="Arial" w:eastAsia="Arial" w:hAnsi="Arial"/>
                <w:sz w:val="16"/>
                <w:szCs w:val="16"/>
                <w:color w:val="auto"/>
                <w:w w:val="93"/>
              </w:rPr>
              <w:t>The affirmative vote of a majority of the votes cast on the proposal</w:t>
            </w:r>
          </w:p>
        </w:tc>
      </w:tr>
      <w:tr>
        <w:trPr>
          <w:trHeight w:val="197"/>
        </w:trPr>
        <w:tc>
          <w:tcPr>
            <w:tcW w:w="1140" w:type="dxa"/>
            <w:vAlign w:val="bottom"/>
          </w:tcPr>
          <w:p>
            <w:pPr>
              <w:spacing w:after="0"/>
              <w:rPr>
                <w:sz w:val="17"/>
                <w:szCs w:val="17"/>
                <w:color w:val="auto"/>
              </w:rPr>
            </w:pPr>
          </w:p>
        </w:tc>
        <w:tc>
          <w:tcPr>
            <w:tcW w:w="4380" w:type="dxa"/>
            <w:vAlign w:val="bottom"/>
          </w:tcPr>
          <w:p>
            <w:pPr>
              <w:ind w:left="160"/>
              <w:spacing w:after="0"/>
              <w:rPr>
                <w:sz w:val="20"/>
                <w:szCs w:val="20"/>
                <w:color w:val="auto"/>
              </w:rPr>
            </w:pPr>
            <w:r>
              <w:rPr>
                <w:rFonts w:ascii="Arial" w:cs="Arial" w:eastAsia="Arial" w:hAnsi="Arial"/>
                <w:sz w:val="16"/>
                <w:szCs w:val="16"/>
                <w:color w:val="auto"/>
              </w:rPr>
              <w:t>Firm</w:t>
            </w:r>
          </w:p>
        </w:tc>
        <w:tc>
          <w:tcPr>
            <w:tcW w:w="4760" w:type="dxa"/>
            <w:vAlign w:val="bottom"/>
            <w:gridSpan w:val="2"/>
          </w:tcPr>
          <w:p>
            <w:pPr>
              <w:ind w:left="380"/>
              <w:spacing w:after="0"/>
              <w:rPr>
                <w:sz w:val="20"/>
                <w:szCs w:val="20"/>
                <w:color w:val="auto"/>
              </w:rPr>
            </w:pPr>
            <w:r>
              <w:rPr>
                <w:rFonts w:ascii="Arial" w:cs="Arial" w:eastAsia="Arial" w:hAnsi="Arial"/>
                <w:sz w:val="16"/>
                <w:szCs w:val="16"/>
                <w:color w:val="auto"/>
                <w:w w:val="98"/>
              </w:rPr>
              <w:t>is required for the ratification of the appointment of PwC as our</w:t>
            </w:r>
          </w:p>
        </w:tc>
      </w:tr>
      <w:tr>
        <w:trPr>
          <w:trHeight w:val="197"/>
        </w:trPr>
        <w:tc>
          <w:tcPr>
            <w:tcW w:w="114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4760" w:type="dxa"/>
            <w:vAlign w:val="bottom"/>
            <w:gridSpan w:val="2"/>
          </w:tcPr>
          <w:p>
            <w:pPr>
              <w:ind w:left="380"/>
              <w:spacing w:after="0"/>
              <w:rPr>
                <w:sz w:val="20"/>
                <w:szCs w:val="20"/>
                <w:color w:val="auto"/>
              </w:rPr>
            </w:pPr>
            <w:r>
              <w:rPr>
                <w:rFonts w:ascii="Arial" w:cs="Arial" w:eastAsia="Arial" w:hAnsi="Arial"/>
                <w:sz w:val="16"/>
                <w:szCs w:val="16"/>
                <w:color w:val="auto"/>
                <w:w w:val="96"/>
              </w:rPr>
              <w:t>independent registered public accounting firm for the 2018 fiscal</w:t>
            </w:r>
          </w:p>
        </w:tc>
      </w:tr>
      <w:tr>
        <w:trPr>
          <w:trHeight w:val="205"/>
        </w:trPr>
        <w:tc>
          <w:tcPr>
            <w:tcW w:w="114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4760" w:type="dxa"/>
            <w:vAlign w:val="bottom"/>
            <w:gridSpan w:val="2"/>
          </w:tcPr>
          <w:p>
            <w:pPr>
              <w:ind w:left="380"/>
              <w:spacing w:after="0"/>
              <w:rPr>
                <w:sz w:val="20"/>
                <w:szCs w:val="20"/>
                <w:color w:val="auto"/>
              </w:rPr>
            </w:pPr>
            <w:r>
              <w:rPr>
                <w:rFonts w:ascii="Arial" w:cs="Arial" w:eastAsia="Arial" w:hAnsi="Arial"/>
                <w:sz w:val="16"/>
                <w:szCs w:val="16"/>
                <w:color w:val="auto"/>
              </w:rPr>
              <w:t>year.</w:t>
            </w:r>
          </w:p>
        </w:tc>
      </w:tr>
      <w:tr>
        <w:trPr>
          <w:trHeight w:val="395"/>
        </w:trPr>
        <w:tc>
          <w:tcPr>
            <w:tcW w:w="5520" w:type="dxa"/>
            <w:vAlign w:val="bottom"/>
            <w:gridSpan w:val="2"/>
          </w:tcPr>
          <w:p>
            <w:pPr>
              <w:spacing w:after="0"/>
              <w:rPr>
                <w:sz w:val="20"/>
                <w:szCs w:val="20"/>
                <w:color w:val="auto"/>
              </w:rPr>
            </w:pPr>
            <w:r>
              <w:rPr>
                <w:rFonts w:ascii="Arial" w:cs="Arial" w:eastAsia="Arial" w:hAnsi="Arial"/>
                <w:sz w:val="16"/>
                <w:szCs w:val="16"/>
                <w:b w:val="1"/>
                <w:bCs w:val="1"/>
                <w:color w:val="0048E0"/>
              </w:rPr>
              <w:t>How will my proxy holder vote?</w:t>
            </w:r>
          </w:p>
        </w:tc>
        <w:tc>
          <w:tcPr>
            <w:tcW w:w="380" w:type="dxa"/>
            <w:vAlign w:val="bottom"/>
          </w:tcPr>
          <w:p>
            <w:pPr>
              <w:spacing w:after="0"/>
              <w:rPr>
                <w:sz w:val="24"/>
                <w:szCs w:val="24"/>
                <w:color w:val="auto"/>
              </w:rPr>
            </w:pPr>
          </w:p>
        </w:tc>
        <w:tc>
          <w:tcPr>
            <w:tcW w:w="4380" w:type="dxa"/>
            <w:vAlign w:val="bottom"/>
          </w:tcPr>
          <w:p>
            <w:pPr>
              <w:spacing w:after="0"/>
              <w:rPr>
                <w:sz w:val="24"/>
                <w:szCs w:val="24"/>
                <w:color w:val="auto"/>
              </w:rPr>
            </w:pPr>
          </w:p>
        </w:tc>
      </w:tr>
    </w:tbl>
    <w:p>
      <w:pPr>
        <w:spacing w:after="0" w:line="190" w:lineRule="exact"/>
        <w:rPr>
          <w:sz w:val="20"/>
          <w:szCs w:val="20"/>
          <w:color w:val="auto"/>
        </w:rPr>
      </w:pPr>
    </w:p>
    <w:p>
      <w:pPr>
        <w:ind w:right="40" w:firstLine="558"/>
        <w:spacing w:after="0" w:line="266" w:lineRule="auto"/>
        <w:rPr>
          <w:sz w:val="20"/>
          <w:szCs w:val="20"/>
          <w:color w:val="auto"/>
        </w:rPr>
      </w:pPr>
      <w:r>
        <w:rPr>
          <w:rFonts w:ascii="Arial" w:cs="Arial" w:eastAsia="Arial" w:hAnsi="Arial"/>
          <w:sz w:val="16"/>
          <w:szCs w:val="16"/>
          <w:color w:val="auto"/>
        </w:rPr>
        <w:t>The enclosed proxy designates Michael J. Kasbar, our Chairman, President and Chief Executive Officer and Paul H. Stebbins, Chairman Emeritus, to hold your proxy and vote your shares. Messrs. Kasbar and Stebbins will vote all shares of our common stock represented by properly executed proxies received in time for the Annual Meeting in the manner specified by the holders of those shares. Messrs. Kasbar and Stebbins intend to vote all shares of our common stock represented by proxies that are properly executed by the record holder but that otherwise do not contain voting instructions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280" w:type="dxa"/>
            <w:vAlign w:val="bottom"/>
          </w:tcPr>
          <w:p>
            <w:pPr>
              <w:spacing w:after="0"/>
              <w:rPr>
                <w:sz w:val="12"/>
                <w:szCs w:val="12"/>
                <w:color w:val="auto"/>
              </w:rPr>
            </w:pPr>
          </w:p>
        </w:tc>
        <w:tc>
          <w:tcPr>
            <w:tcW w:w="688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Proposal</w:t>
            </w:r>
          </w:p>
        </w:tc>
        <w:tc>
          <w:tcPr>
            <w:tcW w:w="2180" w:type="dxa"/>
            <w:vAlign w:val="bottom"/>
            <w:vMerge w:val="restart"/>
          </w:tcPr>
          <w:p>
            <w:pPr>
              <w:jc w:val="center"/>
              <w:ind w:left="140"/>
              <w:spacing w:after="0"/>
              <w:rPr>
                <w:sz w:val="20"/>
                <w:szCs w:val="20"/>
                <w:color w:val="auto"/>
              </w:rPr>
            </w:pPr>
            <w:r>
              <w:rPr>
                <w:rFonts w:ascii="Arial" w:cs="Arial" w:eastAsia="Arial" w:hAnsi="Arial"/>
                <w:sz w:val="16"/>
                <w:szCs w:val="16"/>
                <w:b w:val="1"/>
                <w:bCs w:val="1"/>
                <w:color w:val="auto"/>
                <w:w w:val="92"/>
              </w:rPr>
              <w:t>FOR each Director Nominee</w:t>
            </w:r>
          </w:p>
        </w:tc>
        <w:tc>
          <w:tcPr>
            <w:tcW w:w="0" w:type="dxa"/>
            <w:vAlign w:val="bottom"/>
          </w:tcPr>
          <w:p>
            <w:pPr>
              <w:spacing w:after="0"/>
              <w:rPr>
                <w:sz w:val="1"/>
                <w:szCs w:val="1"/>
                <w:color w:val="auto"/>
              </w:rPr>
            </w:pPr>
          </w:p>
        </w:tc>
      </w:tr>
      <w:tr>
        <w:trPr>
          <w:trHeight w:val="197"/>
        </w:trPr>
        <w:tc>
          <w:tcPr>
            <w:tcW w:w="2280" w:type="dxa"/>
            <w:vAlign w:val="bottom"/>
          </w:tcPr>
          <w:p>
            <w:pPr>
              <w:spacing w:after="0"/>
              <w:rPr>
                <w:sz w:val="17"/>
                <w:szCs w:val="17"/>
                <w:color w:val="auto"/>
              </w:rPr>
            </w:pPr>
          </w:p>
        </w:tc>
        <w:tc>
          <w:tcPr>
            <w:tcW w:w="6880" w:type="dxa"/>
            <w:vAlign w:val="bottom"/>
          </w:tcPr>
          <w:p>
            <w:pPr>
              <w:spacing w:after="0"/>
              <w:rPr>
                <w:sz w:val="20"/>
                <w:szCs w:val="20"/>
                <w:color w:val="auto"/>
              </w:rPr>
            </w:pPr>
            <w:r>
              <w:rPr>
                <w:rFonts w:ascii="Arial" w:cs="Arial" w:eastAsia="Arial" w:hAnsi="Arial"/>
                <w:sz w:val="16"/>
                <w:szCs w:val="16"/>
                <w:color w:val="auto"/>
              </w:rPr>
              <w:t>Election of Directors</w:t>
            </w:r>
          </w:p>
        </w:tc>
        <w:tc>
          <w:tcPr>
            <w:tcW w:w="2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86"/>
        </w:trPr>
        <w:tc>
          <w:tcPr>
            <w:tcW w:w="2280" w:type="dxa"/>
            <w:vAlign w:val="bottom"/>
          </w:tcPr>
          <w:p>
            <w:pPr>
              <w:spacing w:after="0"/>
              <w:rPr>
                <w:sz w:val="24"/>
                <w:szCs w:val="24"/>
                <w:color w:val="auto"/>
              </w:rPr>
            </w:pPr>
          </w:p>
        </w:tc>
        <w:tc>
          <w:tcPr>
            <w:tcW w:w="6880" w:type="dxa"/>
            <w:vAlign w:val="bottom"/>
          </w:tcPr>
          <w:p>
            <w:pPr>
              <w:spacing w:after="0"/>
              <w:rPr>
                <w:sz w:val="20"/>
                <w:szCs w:val="20"/>
                <w:color w:val="auto"/>
              </w:rPr>
            </w:pPr>
            <w:r>
              <w:rPr>
                <w:rFonts w:ascii="Arial" w:cs="Arial" w:eastAsia="Arial" w:hAnsi="Arial"/>
                <w:sz w:val="16"/>
                <w:szCs w:val="16"/>
                <w:color w:val="auto"/>
              </w:rPr>
              <w:t>Non-Binding, Advisory Vote on Executive Compensation</w:t>
            </w:r>
          </w:p>
        </w:tc>
        <w:tc>
          <w:tcPr>
            <w:tcW w:w="2180" w:type="dxa"/>
            <w:vAlign w:val="bottom"/>
          </w:tcPr>
          <w:p>
            <w:pPr>
              <w:jc w:val="center"/>
              <w:ind w:left="160"/>
              <w:spacing w:after="0"/>
              <w:rPr>
                <w:sz w:val="20"/>
                <w:szCs w:val="20"/>
                <w:color w:val="auto"/>
              </w:rPr>
            </w:pPr>
            <w:r>
              <w:rPr>
                <w:rFonts w:ascii="Arial" w:cs="Arial" w:eastAsia="Arial" w:hAnsi="Arial"/>
                <w:sz w:val="16"/>
                <w:szCs w:val="16"/>
                <w:b w:val="1"/>
                <w:bCs w:val="1"/>
                <w:color w:val="auto"/>
              </w:rPr>
              <w:t>FOR</w:t>
            </w:r>
          </w:p>
        </w:tc>
        <w:tc>
          <w:tcPr>
            <w:tcW w:w="0" w:type="dxa"/>
            <w:vAlign w:val="bottom"/>
          </w:tcPr>
          <w:p>
            <w:pPr>
              <w:spacing w:after="0"/>
              <w:rPr>
                <w:sz w:val="1"/>
                <w:szCs w:val="1"/>
                <w:color w:val="auto"/>
              </w:rPr>
            </w:pPr>
          </w:p>
        </w:tc>
      </w:tr>
      <w:tr>
        <w:trPr>
          <w:trHeight w:val="395"/>
        </w:trPr>
        <w:tc>
          <w:tcPr>
            <w:tcW w:w="2280" w:type="dxa"/>
            <w:vAlign w:val="bottom"/>
          </w:tcPr>
          <w:p>
            <w:pPr>
              <w:spacing w:after="0"/>
              <w:rPr>
                <w:sz w:val="24"/>
                <w:szCs w:val="24"/>
                <w:color w:val="auto"/>
              </w:rPr>
            </w:pPr>
          </w:p>
        </w:tc>
        <w:tc>
          <w:tcPr>
            <w:tcW w:w="6880" w:type="dxa"/>
            <w:vAlign w:val="bottom"/>
          </w:tcPr>
          <w:p>
            <w:pPr>
              <w:spacing w:after="0"/>
              <w:rPr>
                <w:sz w:val="20"/>
                <w:szCs w:val="20"/>
                <w:color w:val="auto"/>
              </w:rPr>
            </w:pPr>
            <w:r>
              <w:rPr>
                <w:rFonts w:ascii="Arial" w:cs="Arial" w:eastAsia="Arial" w:hAnsi="Arial"/>
                <w:sz w:val="16"/>
                <w:szCs w:val="16"/>
                <w:color w:val="auto"/>
              </w:rPr>
              <w:t>Ratification of Independent Registered Certified Public Accounting Firm</w:t>
            </w:r>
          </w:p>
        </w:tc>
        <w:tc>
          <w:tcPr>
            <w:tcW w:w="2180" w:type="dxa"/>
            <w:vAlign w:val="bottom"/>
          </w:tcPr>
          <w:p>
            <w:pPr>
              <w:jc w:val="center"/>
              <w:ind w:left="160"/>
              <w:spacing w:after="0"/>
              <w:rPr>
                <w:sz w:val="20"/>
                <w:szCs w:val="20"/>
                <w:color w:val="auto"/>
              </w:rPr>
            </w:pPr>
            <w:r>
              <w:rPr>
                <w:rFonts w:ascii="Arial" w:cs="Arial" w:eastAsia="Arial" w:hAnsi="Arial"/>
                <w:sz w:val="16"/>
                <w:szCs w:val="16"/>
                <w:b w:val="1"/>
                <w:bCs w:val="1"/>
                <w:color w:val="auto"/>
              </w:rPr>
              <w:t>FOR</w:t>
            </w:r>
          </w:p>
        </w:tc>
        <w:tc>
          <w:tcPr>
            <w:tcW w:w="0" w:type="dxa"/>
            <w:vAlign w:val="bottom"/>
          </w:tcPr>
          <w:p>
            <w:pPr>
              <w:spacing w:after="0"/>
              <w:rPr>
                <w:sz w:val="1"/>
                <w:szCs w:val="1"/>
                <w:color w:val="auto"/>
              </w:rPr>
            </w:pPr>
          </w:p>
        </w:tc>
      </w:tr>
      <w:tr>
        <w:trPr>
          <w:trHeight w:val="395"/>
        </w:trPr>
        <w:tc>
          <w:tcPr>
            <w:tcW w:w="9160" w:type="dxa"/>
            <w:vAlign w:val="bottom"/>
            <w:gridSpan w:val="2"/>
          </w:tcPr>
          <w:p>
            <w:pPr>
              <w:spacing w:after="0"/>
              <w:rPr>
                <w:sz w:val="20"/>
                <w:szCs w:val="20"/>
                <w:color w:val="auto"/>
              </w:rPr>
            </w:pPr>
            <w:r>
              <w:rPr>
                <w:rFonts w:ascii="Arial" w:cs="Arial" w:eastAsia="Arial" w:hAnsi="Arial"/>
                <w:sz w:val="16"/>
                <w:szCs w:val="16"/>
                <w:b w:val="1"/>
                <w:bCs w:val="1"/>
                <w:color w:val="0048E0"/>
              </w:rPr>
              <w:t>What happens if additional matters are presented at the Annual Meeting?</w:t>
            </w: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ind w:right="400" w:firstLine="561"/>
        <w:spacing w:after="0" w:line="359" w:lineRule="auto"/>
        <w:rPr>
          <w:sz w:val="20"/>
          <w:szCs w:val="20"/>
          <w:color w:val="auto"/>
        </w:rPr>
      </w:pPr>
      <w:r>
        <w:rPr>
          <w:rFonts w:ascii="Arial" w:cs="Arial" w:eastAsia="Arial" w:hAnsi="Arial"/>
          <w:sz w:val="14"/>
          <w:szCs w:val="14"/>
          <w:color w:val="auto"/>
        </w:rPr>
        <w:t>Other than the items of business described above, we are not aware of any other business to be acted upon at the Annual Meeting. If you grant a proxy to the proxy holders named in the attached proxy card, such persons will vote in accordance with the recommendation of our Board, "FOR" or "AGAINST" such other matters.</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b w:val="1"/>
          <w:bCs w:val="1"/>
          <w:color w:val="0048E0"/>
        </w:rPr>
        <w:t>Can I change my vote after I have voted?</w:t>
      </w:r>
    </w:p>
    <w:p>
      <w:pPr>
        <w:spacing w:after="0" w:line="215" w:lineRule="exact"/>
        <w:rPr>
          <w:sz w:val="20"/>
          <w:szCs w:val="20"/>
          <w:color w:val="auto"/>
        </w:rPr>
      </w:pPr>
    </w:p>
    <w:p>
      <w:pPr>
        <w:ind w:right="420" w:firstLine="558"/>
        <w:spacing w:after="0" w:line="262" w:lineRule="auto"/>
        <w:rPr>
          <w:sz w:val="20"/>
          <w:szCs w:val="20"/>
          <w:color w:val="auto"/>
        </w:rPr>
      </w:pPr>
      <w:r>
        <w:rPr>
          <w:rFonts w:ascii="Arial" w:cs="Arial" w:eastAsia="Arial" w:hAnsi="Arial"/>
          <w:sz w:val="16"/>
          <w:szCs w:val="16"/>
          <w:color w:val="auto"/>
        </w:rPr>
        <w:t>Voting by telephone, over the Internet or by mailing a proxy card does not preclude a shareholder from voting in person at the Annual Meeting. A shareholder may revoke a proxy, whether</w:t>
      </w:r>
    </w:p>
    <w:p>
      <w:pPr>
        <w:jc w:val="right"/>
        <w:spacing w:after="0"/>
        <w:tabs>
          <w:tab w:leader="none" w:pos="1880" w:val="left"/>
          <w:tab w:leader="none" w:pos="1640" w:val="left"/>
          <w:tab w:leader="none" w:pos="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3"/>
          <w:szCs w:val="33"/>
          <w:b w:val="1"/>
          <w:bCs w:val="1"/>
          <w:color w:val="auto"/>
          <w:vertAlign w:val="subscript"/>
        </w:rPr>
        <w:t>|</w:t>
      </w:r>
      <w:r>
        <w:rPr>
          <w:sz w:val="20"/>
          <w:szCs w:val="20"/>
          <w:color w:val="auto"/>
        </w:rPr>
        <w:tab/>
      </w:r>
      <w:r>
        <w:rPr>
          <w:rFonts w:ascii="Arial" w:cs="Arial" w:eastAsia="Arial" w:hAnsi="Arial"/>
          <w:sz w:val="16"/>
          <w:szCs w:val="16"/>
          <w:color w:val="auto"/>
        </w:rPr>
        <w:t>2018 Proxy Statement</w:t>
      </w:r>
      <w:r>
        <w:rPr>
          <w:sz w:val="20"/>
          <w:szCs w:val="20"/>
          <w:color w:val="auto"/>
        </w:rPr>
        <w:tab/>
      </w: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133350</wp:posOffset>
            </wp:positionV>
            <wp:extent cx="7263130" cy="203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 w:name="page11"/>
    <w:bookmarkEnd w:id="10"/>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submitted via telephone, the Internet or mail, at any time prior to its exercise by (i) filing with our Corporate Secretary a duly executed revocation of proxy, (ii) properly submitting, either by telephone, mail or Internet, a proxy to our Corporate Secretary bearing a later date or (iii) appearing at the Annual Meeting and voting in person. Attendance at the meeting will not itself constitute revocation of a proxy.</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0048E0"/>
        </w:rPr>
        <w:t>If I plan to attend the Annual Meeting, should I still vote by proxy?</w:t>
      </w:r>
    </w:p>
    <w:p>
      <w:pPr>
        <w:spacing w:after="0" w:line="215" w:lineRule="exact"/>
        <w:rPr>
          <w:sz w:val="20"/>
          <w:szCs w:val="20"/>
          <w:color w:val="auto"/>
        </w:rPr>
      </w:pPr>
    </w:p>
    <w:p>
      <w:pPr>
        <w:ind w:firstLine="555"/>
        <w:spacing w:after="0" w:line="284" w:lineRule="auto"/>
        <w:rPr>
          <w:sz w:val="20"/>
          <w:szCs w:val="20"/>
          <w:color w:val="auto"/>
        </w:rPr>
      </w:pPr>
      <w:r>
        <w:rPr>
          <w:rFonts w:ascii="Arial" w:cs="Arial" w:eastAsia="Arial" w:hAnsi="Arial"/>
          <w:sz w:val="16"/>
          <w:szCs w:val="16"/>
          <w:color w:val="auto"/>
        </w:rPr>
        <w:t>Yes. Casting your vote in advance does not affect your right to attend the Annual Meeting. If you vote in advance and also attend the Annual Meeting, you do not need to vote again at the Annual Meeting unless you want to change your vote.</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0048E0"/>
        </w:rPr>
        <w:t>What do I need to bring with me in order to attend the Annual Meeting?</w:t>
      </w:r>
    </w:p>
    <w:p>
      <w:pPr>
        <w:spacing w:after="0" w:line="215" w:lineRule="exact"/>
        <w:rPr>
          <w:sz w:val="20"/>
          <w:szCs w:val="20"/>
          <w:color w:val="auto"/>
        </w:rPr>
      </w:pPr>
    </w:p>
    <w:p>
      <w:pPr>
        <w:ind w:right="240" w:firstLine="561"/>
        <w:spacing w:after="0" w:line="284" w:lineRule="auto"/>
        <w:rPr>
          <w:sz w:val="20"/>
          <w:szCs w:val="20"/>
          <w:color w:val="auto"/>
        </w:rPr>
      </w:pPr>
      <w:r>
        <w:rPr>
          <w:rFonts w:ascii="Arial" w:cs="Arial" w:eastAsia="Arial" w:hAnsi="Arial"/>
          <w:sz w:val="16"/>
          <w:szCs w:val="16"/>
          <w:color w:val="auto"/>
        </w:rPr>
        <w:t>If you are a shareholder of record, you will need to bring with you to the Annual Meeting any proxy card that is sent to you and valid photo identification. Otherwise, you will be admitted only upon other verification of record ownership at the admission counter.</w:t>
      </w:r>
    </w:p>
    <w:p>
      <w:pPr>
        <w:spacing w:after="0" w:line="156" w:lineRule="exact"/>
        <w:rPr>
          <w:sz w:val="20"/>
          <w:szCs w:val="20"/>
          <w:color w:val="auto"/>
        </w:rPr>
      </w:pPr>
    </w:p>
    <w:p>
      <w:pPr>
        <w:ind w:firstLine="561"/>
        <w:spacing w:after="0" w:line="315" w:lineRule="auto"/>
        <w:rPr>
          <w:sz w:val="20"/>
          <w:szCs w:val="20"/>
          <w:color w:val="auto"/>
        </w:rPr>
      </w:pPr>
      <w:r>
        <w:rPr>
          <w:rFonts w:ascii="Arial" w:cs="Arial" w:eastAsia="Arial" w:hAnsi="Arial"/>
          <w:sz w:val="14"/>
          <w:szCs w:val="14"/>
          <w:color w:val="auto"/>
        </w:rPr>
        <w:t xml:space="preserve">If you are the beneficial owner of shares held in street name, bring with you to the Annual Meeting your most recent brokerage statement or a letter from your bank, broker, trustee, agent or other record holder indicating that you beneficially owned shares of our common stock on March 19, 2018 and valid photo identification. We can use that to verify your beneficial ownership of common stock and admit you to the Annual Meeting. </w:t>
      </w:r>
      <w:r>
        <w:rPr>
          <w:rFonts w:ascii="Arial" w:cs="Arial" w:eastAsia="Arial" w:hAnsi="Arial"/>
          <w:sz w:val="14"/>
          <w:szCs w:val="14"/>
          <w:i w:val="1"/>
          <w:iCs w:val="1"/>
          <w:color w:val="auto"/>
        </w:rPr>
        <w:t>If you intend to vote at the Annual Meeting, you also will need to bring to the Annual</w:t>
      </w:r>
      <w:r>
        <w:rPr>
          <w:rFonts w:ascii="Arial" w:cs="Arial" w:eastAsia="Arial" w:hAnsi="Arial"/>
          <w:sz w:val="14"/>
          <w:szCs w:val="14"/>
          <w:color w:val="auto"/>
        </w:rPr>
        <w:t xml:space="preserve"> </w:t>
      </w:r>
      <w:r>
        <w:rPr>
          <w:rFonts w:ascii="Arial" w:cs="Arial" w:eastAsia="Arial" w:hAnsi="Arial"/>
          <w:sz w:val="14"/>
          <w:szCs w:val="14"/>
          <w:i w:val="1"/>
          <w:iCs w:val="1"/>
          <w:color w:val="auto"/>
        </w:rPr>
        <w:t>Meeting a legal proxy from your bank, broker, trustee, agent or other holder of record that authorizes you to vote the shares that the record holder holds for you in its name.</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0048E0"/>
        </w:rPr>
        <w:t>Where can I find voting results of the Annual Meeting?</w:t>
      </w:r>
    </w:p>
    <w:p>
      <w:pPr>
        <w:spacing w:after="0" w:line="215" w:lineRule="exact"/>
        <w:rPr>
          <w:sz w:val="20"/>
          <w:szCs w:val="20"/>
          <w:color w:val="auto"/>
        </w:rPr>
      </w:pPr>
    </w:p>
    <w:p>
      <w:pPr>
        <w:ind w:right="160" w:firstLine="558"/>
        <w:spacing w:after="0" w:line="284" w:lineRule="auto"/>
        <w:rPr>
          <w:sz w:val="20"/>
          <w:szCs w:val="20"/>
          <w:color w:val="auto"/>
        </w:rPr>
      </w:pPr>
      <w:r>
        <w:rPr>
          <w:rFonts w:ascii="Arial" w:cs="Arial" w:eastAsia="Arial" w:hAnsi="Arial"/>
          <w:sz w:val="16"/>
          <w:szCs w:val="16"/>
          <w:color w:val="auto"/>
        </w:rPr>
        <w:t>We will announce the results for the proposals voted upon at the Annual Meeting and publish final detailed voting results in a Form 8-K filed with the SEC within four business days after the Annual Meeting.</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0048E0"/>
        </w:rPr>
        <w:t>How can I nominate directors at an Annual Meeting?</w:t>
      </w:r>
    </w:p>
    <w:p>
      <w:pPr>
        <w:spacing w:after="0" w:line="215" w:lineRule="exact"/>
        <w:rPr>
          <w:sz w:val="20"/>
          <w:szCs w:val="20"/>
          <w:color w:val="auto"/>
        </w:rPr>
      </w:pPr>
    </w:p>
    <w:p>
      <w:pPr>
        <w:ind w:right="20" w:firstLine="561"/>
        <w:spacing w:after="0" w:line="283" w:lineRule="auto"/>
        <w:rPr>
          <w:sz w:val="20"/>
          <w:szCs w:val="20"/>
          <w:color w:val="auto"/>
        </w:rPr>
      </w:pPr>
      <w:r>
        <w:rPr>
          <w:rFonts w:ascii="Arial" w:cs="Arial" w:eastAsia="Arial" w:hAnsi="Arial"/>
          <w:sz w:val="15"/>
          <w:szCs w:val="15"/>
          <w:color w:val="auto"/>
        </w:rPr>
        <w:t>Our By-Laws provide that a shareholder wishing to nominate a director at a shareholders' meeting must deliver written notice to our Corporate Secretary that meets the procedural and disclosure requirements set forth in our By-Laws, including disclosure of: (i) the relationship between the nominating shareholder and the underlying beneficial owner, if any, and such parties' stock holdings and derivative positions in our securities; (ii) information we deem appropriate to ascertain the nominee's qualifications to serve on the Board, including disclosure of compensation arrangements between the nominee, the nominating shareholder and the underlying beneficial owner, if any; and (iii) any other information required to comply with the proxy rules and applicable law. These requirements are more fully described in Article I, Section 7 of our By-Laws, a copy of which will be provided without charge to any shareholder upon written request to our Corporate Secretary.</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0048E0"/>
        </w:rPr>
        <w:t>What was the deadline to nominate a director for the Annual Meeting?</w:t>
      </w:r>
    </w:p>
    <w:p>
      <w:pPr>
        <w:spacing w:after="0" w:line="215" w:lineRule="exact"/>
        <w:rPr>
          <w:sz w:val="20"/>
          <w:szCs w:val="20"/>
          <w:color w:val="auto"/>
        </w:rPr>
      </w:pPr>
    </w:p>
    <w:p>
      <w:pPr>
        <w:ind w:firstLine="552"/>
        <w:spacing w:after="0" w:line="266" w:lineRule="auto"/>
        <w:rPr>
          <w:sz w:val="20"/>
          <w:szCs w:val="20"/>
          <w:color w:val="auto"/>
        </w:rPr>
      </w:pPr>
      <w:r>
        <w:rPr>
          <w:rFonts w:ascii="Arial" w:cs="Arial" w:eastAsia="Arial" w:hAnsi="Arial"/>
          <w:sz w:val="16"/>
          <w:szCs w:val="16"/>
          <w:color w:val="auto"/>
        </w:rPr>
        <w:t>According to the advance notice provisions contained in our By-Laws, any shareholder who intended to nominate a director at the Annual Meeting was required to deliver a notice to our Corporate Secretary at World Fuel Services Corporation, 9800 Northwest 41st Street, Miami, FL 33178 not less than 90 days (February 26, 2018) nor more than 120 days (January 25, 2018) prior to the anniversary date of the 2017 annual meeting of shareholders (May 25, 2018). A nomination not made in accordance with the procedures set forth in our By-Laws is void.</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0048E0"/>
        </w:rPr>
        <w:t>Who should I call with other questions?</w:t>
      </w:r>
    </w:p>
    <w:p>
      <w:pPr>
        <w:spacing w:after="0" w:line="215" w:lineRule="exact"/>
        <w:rPr>
          <w:sz w:val="20"/>
          <w:szCs w:val="20"/>
          <w:color w:val="auto"/>
        </w:rPr>
      </w:pPr>
    </w:p>
    <w:p>
      <w:pPr>
        <w:ind w:right="240" w:firstLine="561"/>
        <w:spacing w:after="0" w:line="279" w:lineRule="auto"/>
        <w:rPr>
          <w:sz w:val="20"/>
          <w:szCs w:val="20"/>
          <w:color w:val="auto"/>
        </w:rPr>
      </w:pPr>
      <w:r>
        <w:rPr>
          <w:rFonts w:ascii="Arial" w:cs="Arial" w:eastAsia="Arial" w:hAnsi="Arial"/>
          <w:sz w:val="15"/>
          <w:szCs w:val="15"/>
          <w:color w:val="auto"/>
        </w:rPr>
        <w:t>If you have additional questions about this proxy statement or the Annual Meeting or would like additional copies of this proxy statement or our annual report, please contact: World Fuel Services Corporation at 9800 Northwest 41st Street, Miami, Florida 33178, Attention: Corporate Secretary, Telephone: (305) 428-8000.</w:t>
      </w:r>
    </w:p>
    <w:p>
      <w:pPr>
        <w:spacing w:after="0" w:line="1" w:lineRule="exact"/>
        <w:rPr>
          <w:sz w:val="20"/>
          <w:szCs w:val="20"/>
          <w:color w:val="auto"/>
        </w:rPr>
      </w:pPr>
    </w:p>
    <w:p>
      <w:pPr>
        <w:jc w:val="right"/>
        <w:spacing w:after="0"/>
        <w:tabs>
          <w:tab w:leader="none" w:pos="1880" w:val="left"/>
          <w:tab w:leader="none" w:pos="1640" w:val="left"/>
          <w:tab w:leader="none" w:pos="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3"/>
          <w:szCs w:val="33"/>
          <w:b w:val="1"/>
          <w:bCs w:val="1"/>
          <w:color w:val="auto"/>
          <w:vertAlign w:val="subscript"/>
        </w:rPr>
        <w:t>|</w:t>
      </w:r>
      <w:r>
        <w:rPr>
          <w:sz w:val="20"/>
          <w:szCs w:val="20"/>
          <w:color w:val="auto"/>
        </w:rPr>
        <w:tab/>
      </w:r>
      <w:r>
        <w:rPr>
          <w:rFonts w:ascii="Arial" w:cs="Arial" w:eastAsia="Arial" w:hAnsi="Arial"/>
          <w:sz w:val="16"/>
          <w:szCs w:val="16"/>
          <w:color w:val="auto"/>
        </w:rPr>
        <w:t>2018 Proxy Statement</w:t>
      </w:r>
      <w:r>
        <w:rPr>
          <w:sz w:val="20"/>
          <w:szCs w:val="20"/>
          <w:color w:val="auto"/>
        </w:rPr>
        <w:tab/>
      </w: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133350</wp:posOffset>
            </wp:positionV>
            <wp:extent cx="7263130" cy="203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 w:name="page12"/>
    <w:bookmarkEnd w:id="11"/>
    <w:p>
      <w:pPr>
        <w:ind w:left="1"/>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7" w:lineRule="exact"/>
        <w:rPr>
          <w:sz w:val="20"/>
          <w:szCs w:val="20"/>
          <w:color w:val="auto"/>
        </w:rPr>
      </w:pPr>
    </w:p>
    <w:p>
      <w:pPr>
        <w:ind w:left="581" w:hanging="581"/>
        <w:spacing w:after="0"/>
        <w:tabs>
          <w:tab w:leader="none" w:pos="581" w:val="left"/>
        </w:tabs>
        <w:numPr>
          <w:ilvl w:val="0"/>
          <w:numId w:val="10"/>
        </w:numPr>
        <w:rPr>
          <w:rFonts w:ascii="Arial" w:cs="Arial" w:eastAsia="Arial" w:hAnsi="Arial"/>
          <w:sz w:val="16"/>
          <w:szCs w:val="16"/>
          <w:b w:val="1"/>
          <w:bCs w:val="1"/>
          <w:color w:val="0048E0"/>
        </w:rPr>
      </w:pPr>
      <w:r>
        <w:rPr>
          <w:rFonts w:ascii="Arial" w:cs="Arial" w:eastAsia="Arial" w:hAnsi="Arial"/>
          <w:sz w:val="16"/>
          <w:szCs w:val="16"/>
          <w:b w:val="1"/>
          <w:bCs w:val="1"/>
          <w:color w:val="0048E0"/>
        </w:rPr>
        <w:t>PROPOSAL NO. 1—ELECTION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258685" cy="158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8685" cy="15875"/>
                    </a:xfrm>
                    <a:prstGeom prst="rect">
                      <a:avLst/>
                    </a:prstGeom>
                    <a:noFill/>
                  </pic:spPr>
                </pic:pic>
              </a:graphicData>
            </a:graphic>
          </wp:anchor>
        </w:drawing>
      </w:r>
    </w:p>
    <w:p>
      <w:pPr>
        <w:spacing w:after="0" w:line="219" w:lineRule="exact"/>
        <w:rPr>
          <w:sz w:val="20"/>
          <w:szCs w:val="20"/>
          <w:color w:val="auto"/>
        </w:rPr>
      </w:pPr>
    </w:p>
    <w:p>
      <w:pPr>
        <w:ind w:left="1" w:right="180" w:firstLine="561"/>
        <w:spacing w:after="0" w:line="284" w:lineRule="auto"/>
        <w:rPr>
          <w:sz w:val="20"/>
          <w:szCs w:val="20"/>
          <w:color w:val="auto"/>
        </w:rPr>
      </w:pPr>
      <w:r>
        <w:rPr>
          <w:rFonts w:ascii="Arial" w:cs="Arial" w:eastAsia="Arial" w:hAnsi="Arial"/>
          <w:sz w:val="16"/>
          <w:szCs w:val="16"/>
          <w:color w:val="auto"/>
        </w:rPr>
        <w:t>Nine individuals have been nominated to serve as our directors for the ensuing year and until their successors shall have been duly elected and qualified. All nominees are presently directors.</w:t>
      </w:r>
    </w:p>
    <w:p>
      <w:pPr>
        <w:spacing w:after="0" w:line="156" w:lineRule="exact"/>
        <w:rPr>
          <w:sz w:val="20"/>
          <w:szCs w:val="20"/>
          <w:color w:val="auto"/>
        </w:rPr>
      </w:pPr>
    </w:p>
    <w:p>
      <w:pPr>
        <w:ind w:left="1" w:right="140" w:firstLine="558"/>
        <w:spacing w:after="0" w:line="285" w:lineRule="auto"/>
        <w:rPr>
          <w:sz w:val="20"/>
          <w:szCs w:val="20"/>
          <w:color w:val="auto"/>
        </w:rPr>
      </w:pPr>
      <w:r>
        <w:rPr>
          <w:rFonts w:ascii="Arial" w:cs="Arial" w:eastAsia="Arial" w:hAnsi="Arial"/>
          <w:sz w:val="15"/>
          <w:szCs w:val="15"/>
          <w:color w:val="auto"/>
        </w:rPr>
        <w:t>The persons named as proxies in the accompanying proxy card have advised management that unless authority is withheld in the proxy, they intend to vote for the election of the individuals listed as nominees in the table below. We do not contemplate that any nominee named in the table will be unable or will decline to serve. However, if any nominee is unable to serve or declines to serve, the persons named in the accompanying proxy card may vote for another person, or persons, in their discretion, unless our Board of Directors chooses to reduce the number of directors serving on the Board. In accordance with our By-Laws, the Board may consist of four to ten directors, and the Board may increase or decrease the number of directors by amending our By-Laws. The Board presently consists of nine directors.</w:t>
      </w:r>
    </w:p>
    <w:p>
      <w:pPr>
        <w:spacing w:after="0" w:line="156"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Director Resignation Policy</w:t>
      </w:r>
    </w:p>
    <w:p>
      <w:pPr>
        <w:spacing w:after="0" w:line="215" w:lineRule="exact"/>
        <w:rPr>
          <w:sz w:val="20"/>
          <w:szCs w:val="20"/>
          <w:color w:val="auto"/>
        </w:rPr>
      </w:pPr>
    </w:p>
    <w:p>
      <w:pPr>
        <w:ind w:left="1" w:right="180" w:firstLine="558"/>
        <w:spacing w:after="0" w:line="302" w:lineRule="auto"/>
        <w:rPr>
          <w:sz w:val="20"/>
          <w:szCs w:val="20"/>
          <w:color w:val="auto"/>
        </w:rPr>
      </w:pPr>
      <w:r>
        <w:rPr>
          <w:rFonts w:ascii="Arial" w:cs="Arial" w:eastAsia="Arial" w:hAnsi="Arial"/>
          <w:sz w:val="14"/>
          <w:szCs w:val="14"/>
          <w:color w:val="auto"/>
        </w:rPr>
        <w:t>We have adopted a director resignation policy for the election of directors in an uncontested election, which is generally defined as an election in which the number of nominees does not exceed the number of directors to be elected at the meeting. In uncontested elections of directors, such as this election, any director nominee who receives a greater number of votes "withheld" from his or her election than votes "for" his or her election must promptly tender his or her resignation for consideration by the Governance Committee. The Governance Committee will recommend to the Board whether the Board should accept or reject the resignation or whether other action should be taken. The Board will publicly disclose its decision regarding the tendered resignation within 90 days after certification of the election results. The director whose resignation is under consideration will not participate in the recommendation of the Governance Committee or deliberations of the Board with respect to his or her resignation. If a director's resignation is not accepted by the Board, the director will continue to serve until the next annual meeting of shareholders or until his or her successor is duly elected and qualified, or his or her earlier resignation or removal. A copy of our director resignation policy, included in our Corporate Governance Principles, is available on our website at www.wfscorp.com. Our website and information contained on our website are not part of this proxy statement and are not incorporated by reference in this proxy statement.</w:t>
      </w:r>
    </w:p>
    <w:p>
      <w:pPr>
        <w:spacing w:after="0" w:line="146"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Director Nominees</w:t>
      </w:r>
    </w:p>
    <w:p>
      <w:pPr>
        <w:spacing w:after="0" w:line="215" w:lineRule="exact"/>
        <w:rPr>
          <w:sz w:val="20"/>
          <w:szCs w:val="20"/>
          <w:color w:val="auto"/>
        </w:rPr>
      </w:pPr>
    </w:p>
    <w:p>
      <w:pPr>
        <w:ind w:left="1" w:right="40" w:firstLine="558"/>
        <w:spacing w:after="0" w:line="264" w:lineRule="auto"/>
        <w:rPr>
          <w:sz w:val="20"/>
          <w:szCs w:val="20"/>
          <w:color w:val="auto"/>
        </w:rPr>
      </w:pPr>
      <w:r>
        <w:rPr>
          <w:rFonts w:ascii="Arial" w:cs="Arial" w:eastAsia="Arial" w:hAnsi="Arial"/>
          <w:sz w:val="16"/>
          <w:szCs w:val="16"/>
          <w:color w:val="auto"/>
        </w:rPr>
        <w:t>We believe that each of our nominees possesses the experience, skills and qualities to fully perform his duties as a director and to contribute to our success. In addition, each of our nominees is being nominated because they each possess the highest standards of personal integrity, are accomplished in their field, have an understanding of the interests and issues that are important to our shareholders and are able to dedicate sufficient time to fulfilling their obligations as a director. Our nominees as a group complement each other and each other's respective experiences, skills and qualities. For an additional discussion of the nomination process, see "The Governance Committee and Nominating Subcommittee" beginning on page 19 of this proxy statement.</w:t>
      </w:r>
    </w:p>
    <w:p>
      <w:pPr>
        <w:spacing w:after="0" w:line="172" w:lineRule="exact"/>
        <w:rPr>
          <w:sz w:val="20"/>
          <w:szCs w:val="20"/>
          <w:color w:val="auto"/>
        </w:rPr>
      </w:pPr>
    </w:p>
    <w:p>
      <w:pPr>
        <w:ind w:left="1" w:right="100" w:firstLine="558"/>
        <w:spacing w:after="0" w:line="262" w:lineRule="auto"/>
        <w:rPr>
          <w:sz w:val="20"/>
          <w:szCs w:val="20"/>
          <w:color w:val="auto"/>
        </w:rPr>
      </w:pPr>
      <w:r>
        <w:rPr>
          <w:rFonts w:ascii="Arial" w:cs="Arial" w:eastAsia="Arial" w:hAnsi="Arial"/>
          <w:sz w:val="16"/>
          <w:szCs w:val="16"/>
          <w:color w:val="auto"/>
        </w:rPr>
        <w:t>The following table sets forth certain information with respect to each nominee for election to the Board. The biographies of each of the nominees and directors contain information regarding the individual's service as a director, business experience, director positions held currently or within the last</w:t>
      </w:r>
    </w:p>
    <w:p>
      <w:pPr>
        <w:jc w:val="right"/>
        <w:spacing w:after="0"/>
        <w:tabs>
          <w:tab w:leader="none" w:pos="1880" w:val="left"/>
          <w:tab w:leader="none" w:pos="1640" w:val="left"/>
          <w:tab w:leader="none" w:pos="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3"/>
          <w:szCs w:val="33"/>
          <w:b w:val="1"/>
          <w:bCs w:val="1"/>
          <w:color w:val="auto"/>
          <w:vertAlign w:val="subscript"/>
        </w:rPr>
        <w:t>|</w:t>
      </w:r>
      <w:r>
        <w:rPr>
          <w:sz w:val="20"/>
          <w:szCs w:val="20"/>
          <w:color w:val="auto"/>
        </w:rPr>
        <w:tab/>
      </w:r>
      <w:r>
        <w:rPr>
          <w:rFonts w:ascii="Arial" w:cs="Arial" w:eastAsia="Arial" w:hAnsi="Arial"/>
          <w:sz w:val="16"/>
          <w:szCs w:val="16"/>
          <w:color w:val="auto"/>
        </w:rPr>
        <w:t>2018 Proxy Statement</w:t>
      </w:r>
      <w:r>
        <w:rPr>
          <w:sz w:val="20"/>
          <w:szCs w:val="20"/>
          <w:color w:val="auto"/>
        </w:rPr>
        <w:tab/>
      </w: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7263130" cy="203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1"/>
          </w:cols>
          <w:pgMar w:left="239" w:top="131" w:right="239" w:bottom="1440" w:gutter="0" w:footer="0" w:header="0"/>
        </w:sectPr>
      </w:pPr>
    </w:p>
    <w:bookmarkStart w:id="12" w:name="page13"/>
    <w:bookmarkEnd w:id="12"/>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five years, and the experience, qualifications, attributes or skills that led to the conclusion that the individual should serve as our director.</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520" w:type="dxa"/>
            <w:vAlign w:val="bottom"/>
            <w:gridSpan w:val="2"/>
          </w:tcPr>
          <w:p>
            <w:pPr>
              <w:spacing w:after="0"/>
              <w:rPr>
                <w:sz w:val="20"/>
                <w:szCs w:val="20"/>
                <w:color w:val="auto"/>
              </w:rPr>
            </w:pPr>
            <w:r>
              <w:rPr>
                <w:rFonts w:ascii="Arial" w:cs="Arial" w:eastAsia="Arial" w:hAnsi="Arial"/>
                <w:sz w:val="16"/>
                <w:szCs w:val="16"/>
                <w:b w:val="1"/>
                <w:bCs w:val="1"/>
                <w:color w:val="auto"/>
              </w:rPr>
              <w:t>MICHAEL J.</w:t>
            </w:r>
          </w:p>
        </w:tc>
        <w:tc>
          <w:tcPr>
            <w:tcW w:w="9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0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KASBAR</w:t>
            </w:r>
          </w:p>
        </w:tc>
        <w:tc>
          <w:tcPr>
            <w:tcW w:w="9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500" w:type="dxa"/>
            <w:vAlign w:val="bottom"/>
          </w:tcPr>
          <w:p>
            <w:pPr>
              <w:spacing w:after="0" w:line="182" w:lineRule="exact"/>
              <w:rPr>
                <w:sz w:val="20"/>
                <w:szCs w:val="20"/>
                <w:color w:val="auto"/>
              </w:rPr>
            </w:pPr>
            <w:r>
              <w:rPr>
                <w:rFonts w:ascii="Arial" w:cs="Arial" w:eastAsia="Arial" w:hAnsi="Arial"/>
                <w:sz w:val="16"/>
                <w:szCs w:val="16"/>
                <w:b w:val="1"/>
                <w:bCs w:val="1"/>
                <w:i w:val="1"/>
                <w:iCs w:val="1"/>
                <w:color w:val="auto"/>
                <w:w w:val="95"/>
              </w:rPr>
              <w:t>Chairman, President</w:t>
            </w:r>
          </w:p>
        </w:tc>
        <w:tc>
          <w:tcPr>
            <w:tcW w:w="9880" w:type="dxa"/>
            <w:vAlign w:val="bottom"/>
          </w:tcPr>
          <w:p>
            <w:pPr>
              <w:ind w:left="160"/>
              <w:spacing w:after="0" w:line="182" w:lineRule="exact"/>
              <w:rPr>
                <w:sz w:val="20"/>
                <w:szCs w:val="20"/>
                <w:color w:val="auto"/>
              </w:rPr>
            </w:pPr>
            <w:r>
              <w:rPr>
                <w:rFonts w:ascii="Arial" w:cs="Arial" w:eastAsia="Arial" w:hAnsi="Arial"/>
                <w:sz w:val="16"/>
                <w:szCs w:val="16"/>
                <w:color w:val="auto"/>
                <w:w w:val="92"/>
              </w:rPr>
              <w:t>Mr. Kasbar has served as Chairman of the Board since May 2014 and has served as our President and Chief Executive Officer since January 2012.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500" w:type="dxa"/>
            <w:vAlign w:val="bottom"/>
          </w:tcPr>
          <w:p>
            <w:pPr>
              <w:ind w:left="140"/>
              <w:spacing w:after="0"/>
              <w:rPr>
                <w:sz w:val="20"/>
                <w:szCs w:val="20"/>
                <w:color w:val="auto"/>
              </w:rPr>
            </w:pPr>
            <w:r>
              <w:rPr>
                <w:rFonts w:ascii="Arial" w:cs="Arial" w:eastAsia="Arial" w:hAnsi="Arial"/>
                <w:sz w:val="16"/>
                <w:szCs w:val="16"/>
                <w:b w:val="1"/>
                <w:bCs w:val="1"/>
                <w:i w:val="1"/>
                <w:iCs w:val="1"/>
                <w:color w:val="auto"/>
                <w:w w:val="88"/>
              </w:rPr>
              <w:t>and Chief Executive</w:t>
            </w:r>
          </w:p>
        </w:tc>
        <w:tc>
          <w:tcPr>
            <w:tcW w:w="9880" w:type="dxa"/>
            <w:vAlign w:val="bottom"/>
          </w:tcPr>
          <w:p>
            <w:pPr>
              <w:ind w:left="160"/>
              <w:spacing w:after="0"/>
              <w:rPr>
                <w:sz w:val="20"/>
                <w:szCs w:val="20"/>
                <w:color w:val="auto"/>
              </w:rPr>
            </w:pPr>
            <w:r>
              <w:rPr>
                <w:rFonts w:ascii="Arial" w:cs="Arial" w:eastAsia="Arial" w:hAnsi="Arial"/>
                <w:sz w:val="16"/>
                <w:szCs w:val="16"/>
                <w:color w:val="auto"/>
                <w:w w:val="94"/>
              </w:rPr>
              <w:t>From July 2002 to December 2011, he served as our President and Chief Operating Officer. From January 1995 to July 2002, he served as Chief</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500" w:type="dxa"/>
            <w:vAlign w:val="bottom"/>
          </w:tcPr>
          <w:p>
            <w:pPr>
              <w:ind w:left="140"/>
              <w:spacing w:after="0"/>
              <w:rPr>
                <w:sz w:val="20"/>
                <w:szCs w:val="20"/>
                <w:color w:val="auto"/>
              </w:rPr>
            </w:pPr>
            <w:r>
              <w:rPr>
                <w:rFonts w:ascii="Arial" w:cs="Arial" w:eastAsia="Arial" w:hAnsi="Arial"/>
                <w:sz w:val="16"/>
                <w:szCs w:val="16"/>
                <w:b w:val="1"/>
                <w:bCs w:val="1"/>
                <w:i w:val="1"/>
                <w:iCs w:val="1"/>
                <w:color w:val="auto"/>
              </w:rPr>
              <w:t>Officer</w:t>
            </w:r>
          </w:p>
        </w:tc>
        <w:tc>
          <w:tcPr>
            <w:tcW w:w="9880" w:type="dxa"/>
            <w:vAlign w:val="bottom"/>
          </w:tcPr>
          <w:p>
            <w:pPr>
              <w:ind w:left="160"/>
              <w:spacing w:after="0"/>
              <w:rPr>
                <w:sz w:val="20"/>
                <w:szCs w:val="20"/>
                <w:color w:val="auto"/>
              </w:rPr>
            </w:pPr>
            <w:r>
              <w:rPr>
                <w:rFonts w:ascii="Arial" w:cs="Arial" w:eastAsia="Arial" w:hAnsi="Arial"/>
                <w:sz w:val="16"/>
                <w:szCs w:val="16"/>
                <w:color w:val="auto"/>
                <w:w w:val="91"/>
              </w:rPr>
              <w:t>Executive Officer of World Fuel Services Americas, Inc. (formerly Trans-Tec Services, Inc.), at the time our principal subsidiary engaged in the marine</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500" w:type="dxa"/>
            <w:vAlign w:val="bottom"/>
          </w:tcPr>
          <w:p>
            <w:pPr>
              <w:ind w:left="140"/>
              <w:spacing w:after="0"/>
              <w:rPr>
                <w:sz w:val="20"/>
                <w:szCs w:val="20"/>
                <w:color w:val="auto"/>
              </w:rPr>
            </w:pPr>
            <w:r>
              <w:rPr>
                <w:rFonts w:ascii="Arial" w:cs="Arial" w:eastAsia="Arial" w:hAnsi="Arial"/>
                <w:sz w:val="16"/>
                <w:szCs w:val="16"/>
                <w:b w:val="1"/>
                <w:bCs w:val="1"/>
                <w:color w:val="auto"/>
              </w:rPr>
              <w:t>Age: 61</w:t>
            </w:r>
          </w:p>
        </w:tc>
        <w:tc>
          <w:tcPr>
            <w:tcW w:w="9880" w:type="dxa"/>
            <w:vAlign w:val="bottom"/>
          </w:tcPr>
          <w:p>
            <w:pPr>
              <w:ind w:left="160"/>
              <w:spacing w:after="0"/>
              <w:rPr>
                <w:sz w:val="20"/>
                <w:szCs w:val="20"/>
                <w:color w:val="auto"/>
              </w:rPr>
            </w:pPr>
            <w:r>
              <w:rPr>
                <w:rFonts w:ascii="Arial" w:cs="Arial" w:eastAsia="Arial" w:hAnsi="Arial"/>
                <w:sz w:val="16"/>
                <w:szCs w:val="16"/>
                <w:color w:val="auto"/>
                <w:w w:val="92"/>
              </w:rPr>
              <w:t>fuel services business. From September 1985 to December 1994, Mr. Kasbar was an officer, shareholder and director of Trans-Tec Services, Inc., a</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500" w:type="dxa"/>
            <w:vAlign w:val="bottom"/>
          </w:tcPr>
          <w:p>
            <w:pPr>
              <w:ind w:left="140"/>
              <w:spacing w:after="0"/>
              <w:rPr>
                <w:sz w:val="20"/>
                <w:szCs w:val="20"/>
                <w:color w:val="auto"/>
              </w:rPr>
            </w:pPr>
            <w:r>
              <w:rPr>
                <w:rFonts w:ascii="Arial" w:cs="Arial" w:eastAsia="Arial" w:hAnsi="Arial"/>
                <w:sz w:val="16"/>
                <w:szCs w:val="16"/>
                <w:b w:val="1"/>
                <w:bCs w:val="1"/>
                <w:color w:val="auto"/>
              </w:rPr>
              <w:t>Director Since:</w:t>
            </w:r>
          </w:p>
        </w:tc>
        <w:tc>
          <w:tcPr>
            <w:tcW w:w="9880" w:type="dxa"/>
            <w:vAlign w:val="bottom"/>
          </w:tcPr>
          <w:p>
            <w:pPr>
              <w:ind w:left="160"/>
              <w:spacing w:after="0"/>
              <w:rPr>
                <w:sz w:val="20"/>
                <w:szCs w:val="20"/>
                <w:color w:val="auto"/>
              </w:rPr>
            </w:pPr>
            <w:r>
              <w:rPr>
                <w:rFonts w:ascii="Arial" w:cs="Arial" w:eastAsia="Arial" w:hAnsi="Arial"/>
                <w:sz w:val="16"/>
                <w:szCs w:val="16"/>
                <w:color w:val="auto"/>
                <w:w w:val="90"/>
              </w:rPr>
              <w:t>global marine fuel services company, and its affiliated companies. Mr. Kasbar co-founded Trans-Tec Services, Inc. in 1985 and has extensive executive</w:t>
            </w:r>
          </w:p>
        </w:tc>
        <w:tc>
          <w:tcPr>
            <w:tcW w:w="0" w:type="dxa"/>
            <w:vAlign w:val="bottom"/>
          </w:tcPr>
          <w:p>
            <w:pPr>
              <w:spacing w:after="0"/>
              <w:rPr>
                <w:sz w:val="1"/>
                <w:szCs w:val="1"/>
                <w:color w:val="auto"/>
              </w:rPr>
            </w:pPr>
          </w:p>
        </w:tc>
      </w:tr>
      <w:tr>
        <w:trPr>
          <w:trHeight w:val="201"/>
        </w:trPr>
        <w:tc>
          <w:tcPr>
            <w:tcW w:w="1520" w:type="dxa"/>
            <w:vAlign w:val="bottom"/>
            <w:gridSpan w:val="2"/>
          </w:tcPr>
          <w:p>
            <w:pPr>
              <w:ind w:left="160"/>
              <w:spacing w:after="0"/>
              <w:rPr>
                <w:sz w:val="20"/>
                <w:szCs w:val="20"/>
                <w:color w:val="auto"/>
              </w:rPr>
            </w:pPr>
            <w:r>
              <w:rPr>
                <w:rFonts w:ascii="Arial" w:cs="Arial" w:eastAsia="Arial" w:hAnsi="Arial"/>
                <w:sz w:val="16"/>
                <w:szCs w:val="16"/>
                <w:b w:val="1"/>
                <w:bCs w:val="1"/>
                <w:color w:val="auto"/>
              </w:rPr>
              <w:t>1995</w:t>
            </w:r>
          </w:p>
        </w:tc>
        <w:tc>
          <w:tcPr>
            <w:tcW w:w="9880" w:type="dxa"/>
            <w:vAlign w:val="bottom"/>
          </w:tcPr>
          <w:p>
            <w:pPr>
              <w:ind w:left="160"/>
              <w:spacing w:after="0"/>
              <w:rPr>
                <w:sz w:val="20"/>
                <w:szCs w:val="20"/>
                <w:color w:val="auto"/>
              </w:rPr>
            </w:pPr>
            <w:r>
              <w:rPr>
                <w:rFonts w:ascii="Arial" w:cs="Arial" w:eastAsia="Arial" w:hAnsi="Arial"/>
                <w:sz w:val="16"/>
                <w:szCs w:val="16"/>
                <w:color w:val="auto"/>
                <w:w w:val="90"/>
              </w:rPr>
              <w:t>experience in the fuel services business. Mr. Kasbar is also a member of the Business Roundtable. Mr. Kasbar is the first cousin of our director, Richard</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9880" w:type="dxa"/>
            <w:vAlign w:val="bottom"/>
          </w:tcPr>
          <w:p>
            <w:pPr>
              <w:ind w:left="160"/>
              <w:spacing w:after="0"/>
              <w:rPr>
                <w:sz w:val="20"/>
                <w:szCs w:val="20"/>
                <w:color w:val="auto"/>
              </w:rPr>
            </w:pPr>
            <w:r>
              <w:rPr>
                <w:rFonts w:ascii="Arial" w:cs="Arial" w:eastAsia="Arial" w:hAnsi="Arial"/>
                <w:sz w:val="16"/>
                <w:szCs w:val="16"/>
                <w:color w:val="auto"/>
              </w:rPr>
              <w:t>A. Kassar.</w:t>
            </w: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880" w:type="dxa"/>
            <w:vAlign w:val="bottom"/>
          </w:tcPr>
          <w:p>
            <w:pPr>
              <w:ind w:left="160"/>
              <w:spacing w:after="0"/>
              <w:rPr>
                <w:sz w:val="20"/>
                <w:szCs w:val="20"/>
                <w:color w:val="auto"/>
              </w:rPr>
            </w:pPr>
            <w:r>
              <w:rPr>
                <w:rFonts w:ascii="Arial" w:cs="Arial" w:eastAsia="Arial" w:hAnsi="Arial"/>
                <w:sz w:val="16"/>
                <w:szCs w:val="16"/>
                <w:i w:val="1"/>
                <w:iCs w:val="1"/>
                <w:color w:val="auto"/>
                <w:w w:val="95"/>
              </w:rPr>
              <w:t>Mr. Kasbar brings to the Board a unique understanding of our strategies and operations through over 20 years of service with us and 30 years of</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9880" w:type="dxa"/>
            <w:vAlign w:val="bottom"/>
          </w:tcPr>
          <w:p>
            <w:pPr>
              <w:ind w:left="160"/>
              <w:spacing w:after="0"/>
              <w:rPr>
                <w:sz w:val="20"/>
                <w:szCs w:val="20"/>
                <w:color w:val="auto"/>
              </w:rPr>
            </w:pPr>
            <w:r>
              <w:rPr>
                <w:rFonts w:ascii="Arial" w:cs="Arial" w:eastAsia="Arial" w:hAnsi="Arial"/>
                <w:sz w:val="16"/>
                <w:szCs w:val="16"/>
                <w:i w:val="1"/>
                <w:iCs w:val="1"/>
                <w:color w:val="auto"/>
              </w:rPr>
              <w:t>experience in the fuel services business.</w:t>
            </w:r>
          </w:p>
        </w:tc>
        <w:tc>
          <w:tcPr>
            <w:tcW w:w="0" w:type="dxa"/>
            <w:vAlign w:val="bottom"/>
          </w:tcPr>
          <w:p>
            <w:pPr>
              <w:spacing w:after="0"/>
              <w:rPr>
                <w:sz w:val="1"/>
                <w:szCs w:val="1"/>
                <w:color w:val="auto"/>
              </w:rPr>
            </w:pPr>
          </w:p>
        </w:tc>
      </w:tr>
      <w:tr>
        <w:trPr>
          <w:trHeight w:val="395"/>
        </w:trPr>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KEN BAKSHI</w:t>
            </w:r>
          </w:p>
        </w:tc>
        <w:tc>
          <w:tcPr>
            <w:tcW w:w="9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1520" w:type="dxa"/>
            <w:vAlign w:val="bottom"/>
            <w:gridSpan w:val="2"/>
          </w:tcPr>
          <w:p>
            <w:pPr>
              <w:spacing w:after="0" w:line="178" w:lineRule="exact"/>
              <w:rPr>
                <w:sz w:val="20"/>
                <w:szCs w:val="20"/>
                <w:color w:val="auto"/>
              </w:rPr>
            </w:pPr>
            <w:r>
              <w:rPr>
                <w:rFonts w:ascii="Arial" w:cs="Arial" w:eastAsia="Arial" w:hAnsi="Arial"/>
                <w:sz w:val="16"/>
                <w:szCs w:val="16"/>
                <w:b w:val="1"/>
                <w:bCs w:val="1"/>
                <w:i w:val="1"/>
                <w:iCs w:val="1"/>
                <w:color w:val="auto"/>
              </w:rPr>
              <w:t>Director</w:t>
            </w:r>
          </w:p>
        </w:tc>
        <w:tc>
          <w:tcPr>
            <w:tcW w:w="9880" w:type="dxa"/>
            <w:vAlign w:val="bottom"/>
          </w:tcPr>
          <w:p>
            <w:pPr>
              <w:ind w:left="160"/>
              <w:spacing w:after="0" w:line="178" w:lineRule="exact"/>
              <w:rPr>
                <w:sz w:val="20"/>
                <w:szCs w:val="20"/>
                <w:color w:val="auto"/>
              </w:rPr>
            </w:pPr>
            <w:r>
              <w:rPr>
                <w:rFonts w:ascii="Arial" w:cs="Arial" w:eastAsia="Arial" w:hAnsi="Arial"/>
                <w:sz w:val="16"/>
                <w:szCs w:val="16"/>
                <w:color w:val="auto"/>
                <w:w w:val="94"/>
              </w:rPr>
              <w:t>Mr. Bakshi has served as our director since 2002. Since June 2003, Mr. Bakshi has also been managing partner of Trishul Capital Group LLC and</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500" w:type="dxa"/>
            <w:vAlign w:val="bottom"/>
          </w:tcPr>
          <w:p>
            <w:pPr>
              <w:ind w:left="140"/>
              <w:spacing w:after="0"/>
              <w:rPr>
                <w:sz w:val="20"/>
                <w:szCs w:val="20"/>
                <w:color w:val="auto"/>
              </w:rPr>
            </w:pPr>
            <w:r>
              <w:rPr>
                <w:rFonts w:ascii="Arial" w:cs="Arial" w:eastAsia="Arial" w:hAnsi="Arial"/>
                <w:sz w:val="16"/>
                <w:szCs w:val="16"/>
                <w:b w:val="1"/>
                <w:bCs w:val="1"/>
                <w:color w:val="auto"/>
              </w:rPr>
              <w:t>Age: 68</w:t>
            </w:r>
          </w:p>
        </w:tc>
        <w:tc>
          <w:tcPr>
            <w:tcW w:w="9880" w:type="dxa"/>
            <w:vAlign w:val="bottom"/>
          </w:tcPr>
          <w:p>
            <w:pPr>
              <w:ind w:left="160"/>
              <w:spacing w:after="0"/>
              <w:rPr>
                <w:sz w:val="20"/>
                <w:szCs w:val="20"/>
                <w:color w:val="auto"/>
              </w:rPr>
            </w:pPr>
            <w:r>
              <w:rPr>
                <w:rFonts w:ascii="Arial" w:cs="Arial" w:eastAsia="Arial" w:hAnsi="Arial"/>
                <w:sz w:val="16"/>
                <w:szCs w:val="16"/>
                <w:color w:val="auto"/>
                <w:w w:val="93"/>
              </w:rPr>
              <w:t>Trishul Advisory Group LLC, two privately-owned equity investment and consulting companies. From July 2013 to June 2015, Mr. Bakshi served as</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500" w:type="dxa"/>
            <w:vAlign w:val="bottom"/>
            <w:vMerge w:val="restart"/>
          </w:tcPr>
          <w:p>
            <w:pPr>
              <w:ind w:left="140"/>
              <w:spacing w:after="0"/>
              <w:rPr>
                <w:sz w:val="20"/>
                <w:szCs w:val="20"/>
                <w:color w:val="auto"/>
              </w:rPr>
            </w:pPr>
            <w:r>
              <w:rPr>
                <w:rFonts w:ascii="Arial" w:cs="Arial" w:eastAsia="Arial" w:hAnsi="Arial"/>
                <w:sz w:val="16"/>
                <w:szCs w:val="16"/>
                <w:b w:val="1"/>
                <w:bCs w:val="1"/>
                <w:color w:val="auto"/>
              </w:rPr>
              <w:t>Director Since:</w:t>
            </w:r>
          </w:p>
        </w:tc>
        <w:tc>
          <w:tcPr>
            <w:tcW w:w="9880" w:type="dxa"/>
            <w:vAlign w:val="bottom"/>
          </w:tcPr>
          <w:p>
            <w:pPr>
              <w:ind w:left="160"/>
              <w:spacing w:after="0"/>
              <w:rPr>
                <w:sz w:val="20"/>
                <w:szCs w:val="20"/>
                <w:color w:val="auto"/>
              </w:rPr>
            </w:pPr>
            <w:r>
              <w:rPr>
                <w:rFonts w:ascii="Arial" w:cs="Arial" w:eastAsia="Arial" w:hAnsi="Arial"/>
                <w:sz w:val="16"/>
                <w:szCs w:val="16"/>
                <w:color w:val="auto"/>
                <w:w w:val="97"/>
              </w:rPr>
              <w:t>Executive Chairman of the board of directors of Amala Inc., a skin care products company. Prior to that, from April 2008 to July 2013, he was</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9880" w:type="dxa"/>
            <w:vAlign w:val="bottom"/>
          </w:tcPr>
          <w:p>
            <w:pPr>
              <w:ind w:left="160"/>
              <w:spacing w:after="0"/>
              <w:rPr>
                <w:sz w:val="20"/>
                <w:szCs w:val="20"/>
                <w:color w:val="auto"/>
              </w:rPr>
            </w:pPr>
            <w:r>
              <w:rPr>
                <w:rFonts w:ascii="Arial" w:cs="Arial" w:eastAsia="Arial" w:hAnsi="Arial"/>
                <w:sz w:val="16"/>
                <w:szCs w:val="16"/>
                <w:color w:val="auto"/>
                <w:w w:val="95"/>
              </w:rPr>
              <w:t>Chairman of the board of directors and Chief Executive Officer of Amala Inc. From March 2006 through June 2009, he was Vice Chairman of the</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500" w:type="dxa"/>
            <w:vAlign w:val="bottom"/>
          </w:tcPr>
          <w:p>
            <w:pPr>
              <w:ind w:left="140"/>
              <w:spacing w:after="0"/>
              <w:rPr>
                <w:sz w:val="20"/>
                <w:szCs w:val="20"/>
                <w:color w:val="auto"/>
              </w:rPr>
            </w:pPr>
            <w:r>
              <w:rPr>
                <w:rFonts w:ascii="Arial" w:cs="Arial" w:eastAsia="Arial" w:hAnsi="Arial"/>
                <w:sz w:val="16"/>
                <w:szCs w:val="16"/>
                <w:b w:val="1"/>
                <w:bCs w:val="1"/>
                <w:color w:val="auto"/>
                <w:w w:val="97"/>
              </w:rPr>
              <w:t>2002 Committees:</w:t>
            </w:r>
          </w:p>
        </w:tc>
        <w:tc>
          <w:tcPr>
            <w:tcW w:w="9880" w:type="dxa"/>
            <w:vAlign w:val="bottom"/>
          </w:tcPr>
          <w:p>
            <w:pPr>
              <w:ind w:left="160"/>
              <w:spacing w:after="0"/>
              <w:rPr>
                <w:sz w:val="20"/>
                <w:szCs w:val="20"/>
                <w:color w:val="auto"/>
              </w:rPr>
            </w:pPr>
            <w:r>
              <w:rPr>
                <w:rFonts w:ascii="Arial" w:cs="Arial" w:eastAsia="Arial" w:hAnsi="Arial"/>
                <w:sz w:val="16"/>
                <w:szCs w:val="16"/>
                <w:color w:val="auto"/>
                <w:w w:val="91"/>
              </w:rPr>
              <w:t>board of directors of Row 2 Technologies, a software development firm he co-founded, and from December 2002 to February 2006, he was employed</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9880" w:type="dxa"/>
            <w:vAlign w:val="bottom"/>
          </w:tcPr>
          <w:p>
            <w:pPr>
              <w:ind w:left="160"/>
              <w:spacing w:after="0"/>
              <w:rPr>
                <w:sz w:val="20"/>
                <w:szCs w:val="20"/>
                <w:color w:val="auto"/>
              </w:rPr>
            </w:pPr>
            <w:r>
              <w:rPr>
                <w:rFonts w:ascii="Arial" w:cs="Arial" w:eastAsia="Arial" w:hAnsi="Arial"/>
                <w:sz w:val="16"/>
                <w:szCs w:val="16"/>
                <w:color w:val="auto"/>
                <w:w w:val="95"/>
              </w:rPr>
              <w:t>by Row 2 Technologies as Chief Executive Officer. From July 2000 to December 2002, he was employed as Executive Vice President and Chief</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500" w:type="dxa"/>
            <w:vAlign w:val="bottom"/>
          </w:tcPr>
          <w:p>
            <w:pPr>
              <w:ind w:left="300"/>
              <w:spacing w:after="0"/>
              <w:rPr>
                <w:sz w:val="20"/>
                <w:szCs w:val="20"/>
                <w:color w:val="auto"/>
              </w:rPr>
            </w:pPr>
            <w:r>
              <w:rPr>
                <w:rFonts w:ascii="Arial" w:cs="Arial" w:eastAsia="Arial" w:hAnsi="Arial"/>
                <w:sz w:val="16"/>
                <w:szCs w:val="16"/>
                <w:color w:val="auto"/>
                <w:w w:val="96"/>
              </w:rPr>
              <w:t>•   Compensation</w:t>
            </w:r>
          </w:p>
        </w:tc>
        <w:tc>
          <w:tcPr>
            <w:tcW w:w="9880" w:type="dxa"/>
            <w:vAlign w:val="bottom"/>
          </w:tcPr>
          <w:p>
            <w:pPr>
              <w:ind w:left="160"/>
              <w:spacing w:after="0"/>
              <w:rPr>
                <w:sz w:val="20"/>
                <w:szCs w:val="20"/>
                <w:color w:val="auto"/>
              </w:rPr>
            </w:pPr>
            <w:r>
              <w:rPr>
                <w:rFonts w:ascii="Arial" w:cs="Arial" w:eastAsia="Arial" w:hAnsi="Arial"/>
                <w:sz w:val="16"/>
                <w:szCs w:val="16"/>
                <w:color w:val="auto"/>
                <w:w w:val="91"/>
              </w:rPr>
              <w:t>Operating Officer of Vistaar, Inc., an incubator of business-to-business internet based marketplaces. From 1998 to 2000, Mr. Bakshi served as Senior</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500" w:type="dxa"/>
            <w:vAlign w:val="bottom"/>
          </w:tcPr>
          <w:p>
            <w:pPr>
              <w:ind w:left="580"/>
              <w:spacing w:after="0"/>
              <w:rPr>
                <w:sz w:val="20"/>
                <w:szCs w:val="20"/>
                <w:color w:val="auto"/>
              </w:rPr>
            </w:pPr>
            <w:r>
              <w:rPr>
                <w:rFonts w:ascii="Arial" w:cs="Arial" w:eastAsia="Arial" w:hAnsi="Arial"/>
                <w:sz w:val="16"/>
                <w:szCs w:val="16"/>
                <w:color w:val="auto"/>
              </w:rPr>
              <w:t>(Chairman)</w:t>
            </w:r>
          </w:p>
        </w:tc>
        <w:tc>
          <w:tcPr>
            <w:tcW w:w="9880" w:type="dxa"/>
            <w:vAlign w:val="bottom"/>
          </w:tcPr>
          <w:p>
            <w:pPr>
              <w:ind w:left="160"/>
              <w:spacing w:after="0"/>
              <w:rPr>
                <w:sz w:val="20"/>
                <w:szCs w:val="20"/>
                <w:color w:val="auto"/>
              </w:rPr>
            </w:pPr>
            <w:r>
              <w:rPr>
                <w:rFonts w:ascii="Arial" w:cs="Arial" w:eastAsia="Arial" w:hAnsi="Arial"/>
                <w:sz w:val="16"/>
                <w:szCs w:val="16"/>
                <w:color w:val="auto"/>
                <w:w w:val="97"/>
              </w:rPr>
              <w:t>Vice-President of Wyeth (formerly known as American Home Products Corp.), a NYSE company. Prior to 1998, Mr. Bakshi served in various</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9880" w:type="dxa"/>
            <w:vAlign w:val="bottom"/>
          </w:tcPr>
          <w:p>
            <w:pPr>
              <w:ind w:left="160"/>
              <w:spacing w:after="0"/>
              <w:rPr>
                <w:sz w:val="20"/>
                <w:szCs w:val="20"/>
                <w:color w:val="auto"/>
              </w:rPr>
            </w:pPr>
            <w:r>
              <w:rPr>
                <w:rFonts w:ascii="Arial" w:cs="Arial" w:eastAsia="Arial" w:hAnsi="Arial"/>
                <w:sz w:val="16"/>
                <w:szCs w:val="16"/>
                <w:color w:val="auto"/>
                <w:w w:val="92"/>
              </w:rPr>
              <w:t>capacities with American Home Products Corp. and American Cyanamid Company, which was acquired by American Home Products Corp. in 1994.</w:t>
            </w:r>
          </w:p>
        </w:tc>
        <w:tc>
          <w:tcPr>
            <w:tcW w:w="0" w:type="dxa"/>
            <w:vAlign w:val="bottom"/>
          </w:tcPr>
          <w:p>
            <w:pPr>
              <w:spacing w:after="0"/>
              <w:rPr>
                <w:sz w:val="1"/>
                <w:szCs w:val="1"/>
                <w:color w:val="auto"/>
              </w:rPr>
            </w:pPr>
          </w:p>
        </w:tc>
      </w:tr>
    </w:tbl>
    <w:p>
      <w:pPr>
        <w:ind w:left="600" w:hanging="273"/>
        <w:spacing w:after="0"/>
        <w:tabs>
          <w:tab w:leader="none" w:pos="6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Nominating</w:t>
      </w:r>
    </w:p>
    <w:p>
      <w:pPr>
        <w:spacing w:after="0" w:line="13" w:lineRule="exact"/>
        <w:rPr>
          <w:rFonts w:ascii="Arial" w:cs="Arial" w:eastAsia="Arial" w:hAnsi="Arial"/>
          <w:sz w:val="16"/>
          <w:szCs w:val="16"/>
          <w:color w:val="auto"/>
        </w:rPr>
      </w:pPr>
    </w:p>
    <w:p>
      <w:pPr>
        <w:ind w:left="600"/>
        <w:spacing w:after="0"/>
        <w:rPr>
          <w:rFonts w:ascii="Arial" w:cs="Arial" w:eastAsia="Arial" w:hAnsi="Arial"/>
          <w:sz w:val="16"/>
          <w:szCs w:val="16"/>
          <w:color w:val="auto"/>
        </w:rPr>
      </w:pPr>
      <w:r>
        <w:rPr>
          <w:rFonts w:ascii="Arial" w:cs="Arial" w:eastAsia="Arial" w:hAnsi="Arial"/>
          <w:sz w:val="14"/>
          <w:szCs w:val="14"/>
          <w:color w:val="auto"/>
        </w:rPr>
        <w:t xml:space="preserve">Subcommittee  </w:t>
      </w:r>
      <w:r>
        <w:rPr>
          <w:rFonts w:ascii="Arial" w:cs="Arial" w:eastAsia="Arial" w:hAnsi="Arial"/>
          <w:sz w:val="14"/>
          <w:szCs w:val="14"/>
          <w:i w:val="1"/>
          <w:iCs w:val="1"/>
          <w:color w:val="auto"/>
        </w:rPr>
        <w:t>Mr. Bakshi brings to the Board extensive experience in private equity investments, management consulting and technology and significant executive</w:t>
      </w:r>
    </w:p>
    <w:p>
      <w:pPr>
        <w:spacing w:after="0" w:line="36" w:lineRule="exact"/>
        <w:rPr>
          <w:rFonts w:ascii="Arial" w:cs="Arial" w:eastAsia="Arial" w:hAnsi="Arial"/>
          <w:sz w:val="16"/>
          <w:szCs w:val="16"/>
          <w:color w:val="auto"/>
        </w:rPr>
      </w:pPr>
    </w:p>
    <w:p>
      <w:pPr>
        <w:ind w:left="600"/>
        <w:spacing w:after="0"/>
        <w:rPr>
          <w:rFonts w:ascii="Arial" w:cs="Arial" w:eastAsia="Arial" w:hAnsi="Arial"/>
          <w:sz w:val="16"/>
          <w:szCs w:val="16"/>
          <w:color w:val="auto"/>
        </w:rPr>
      </w:pPr>
      <w:r>
        <w:rPr>
          <w:rFonts w:ascii="Arial" w:cs="Arial" w:eastAsia="Arial" w:hAnsi="Arial"/>
          <w:sz w:val="16"/>
          <w:szCs w:val="16"/>
          <w:color w:val="auto"/>
        </w:rPr>
        <w:t>(Chairman)</w:t>
      </w:r>
      <w:r>
        <w:rPr>
          <w:rFonts w:ascii="Arial" w:cs="Arial" w:eastAsia="Arial" w:hAnsi="Arial"/>
          <w:sz w:val="14"/>
          <w:szCs w:val="14"/>
          <w:i w:val="1"/>
          <w:iCs w:val="1"/>
          <w:color w:val="auto"/>
        </w:rPr>
        <w:t>experience running operating units within large multinational publicly-traded corporations.</w:t>
      </w:r>
    </w:p>
    <w:p>
      <w:pPr>
        <w:spacing w:after="0" w:line="203" w:lineRule="exact"/>
        <w:rPr>
          <w:rFonts w:ascii="Arial" w:cs="Arial" w:eastAsia="Arial" w:hAnsi="Arial"/>
          <w:sz w:val="16"/>
          <w:szCs w:val="16"/>
          <w:color w:val="auto"/>
        </w:rPr>
      </w:pPr>
    </w:p>
    <w:p>
      <w:pPr>
        <w:ind w:left="600" w:hanging="273"/>
        <w:spacing w:after="0"/>
        <w:tabs>
          <w:tab w:leader="none" w:pos="6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Governance</w:t>
      </w:r>
    </w:p>
    <w:p>
      <w:pPr>
        <w:spacing w:after="0" w:line="210" w:lineRule="exact"/>
        <w:rPr>
          <w:rFonts w:ascii="Arial" w:cs="Arial" w:eastAsia="Arial" w:hAnsi="Arial"/>
          <w:sz w:val="16"/>
          <w:szCs w:val="16"/>
          <w:color w:val="auto"/>
        </w:rPr>
      </w:pPr>
    </w:p>
    <w:p>
      <w:pPr>
        <w:ind w:left="600" w:right="10080" w:hanging="273"/>
        <w:spacing w:after="0" w:line="297" w:lineRule="auto"/>
        <w:tabs>
          <w:tab w:leader="none" w:pos="6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Technology and Operations</w:t>
      </w:r>
    </w:p>
    <w:p>
      <w:pPr>
        <w:spacing w:after="0" w:line="2" w:lineRule="exact"/>
        <w:rPr>
          <w:sz w:val="20"/>
          <w:szCs w:val="20"/>
          <w:color w:val="auto"/>
        </w:rPr>
      </w:pPr>
    </w:p>
    <w:p>
      <w:pPr>
        <w:jc w:val="right"/>
        <w:spacing w:after="0"/>
        <w:tabs>
          <w:tab w:leader="none" w:pos="1880" w:val="left"/>
          <w:tab w:leader="none" w:pos="1640" w:val="left"/>
          <w:tab w:leader="none" w:pos="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3"/>
          <w:szCs w:val="33"/>
          <w:b w:val="1"/>
          <w:bCs w:val="1"/>
          <w:color w:val="auto"/>
          <w:vertAlign w:val="subscript"/>
        </w:rPr>
        <w:t>|</w:t>
      </w:r>
      <w:r>
        <w:rPr>
          <w:sz w:val="20"/>
          <w:szCs w:val="20"/>
          <w:color w:val="auto"/>
        </w:rPr>
        <w:tab/>
      </w:r>
      <w:r>
        <w:rPr>
          <w:rFonts w:ascii="Arial" w:cs="Arial" w:eastAsia="Arial" w:hAnsi="Arial"/>
          <w:sz w:val="16"/>
          <w:szCs w:val="16"/>
          <w:color w:val="auto"/>
        </w:rPr>
        <w:t>2018 Proxy Statement</w:t>
      </w:r>
      <w:r>
        <w:rPr>
          <w:sz w:val="20"/>
          <w:szCs w:val="20"/>
          <w:color w:val="auto"/>
        </w:rPr>
        <w:tab/>
      </w: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133350</wp:posOffset>
            </wp:positionV>
            <wp:extent cx="7263130" cy="203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84"/>
        </w:trPr>
        <w:tc>
          <w:tcPr>
            <w:tcW w:w="1140" w:type="dxa"/>
            <w:vAlign w:val="bottom"/>
            <w:tcBorders>
              <w:bottom w:val="single" w:sz="8" w:color="0000EE"/>
            </w:tcBorders>
            <w:gridSpan w:val="2"/>
          </w:tcPr>
          <w:p>
            <w:pPr>
              <w:spacing w:after="0"/>
              <w:rPr>
                <w:rFonts w:ascii="Arial" w:cs="Arial" w:eastAsia="Arial" w:hAnsi="Arial"/>
                <w:sz w:val="16"/>
                <w:szCs w:val="16"/>
                <w:color w:val="0000EE"/>
                <w:w w:val="88"/>
              </w:rPr>
            </w:pPr>
            <w:hyperlink w:anchor="page5">
              <w:r>
                <w:rPr>
                  <w:rFonts w:ascii="Arial" w:cs="Arial" w:eastAsia="Arial" w:hAnsi="Arial"/>
                  <w:sz w:val="16"/>
                  <w:szCs w:val="16"/>
                  <w:color w:val="0000EE"/>
                  <w:w w:val="88"/>
                </w:rPr>
                <w:t>Table of Contents</w:t>
              </w:r>
            </w:hyperlink>
          </w:p>
        </w:tc>
        <w:tc>
          <w:tcPr>
            <w:tcW w:w="220" w:type="dxa"/>
            <w:vAlign w:val="bottom"/>
          </w:tcPr>
          <w:p>
            <w:pPr>
              <w:spacing w:after="0"/>
              <w:rPr>
                <w:sz w:val="16"/>
                <w:szCs w:val="16"/>
                <w:color w:val="auto"/>
              </w:rPr>
            </w:pPr>
          </w:p>
        </w:tc>
        <w:tc>
          <w:tcPr>
            <w:tcW w:w="10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9"/>
        </w:trPr>
        <w:tc>
          <w:tcPr>
            <w:tcW w:w="1360" w:type="dxa"/>
            <w:vAlign w:val="bottom"/>
            <w:gridSpan w:val="3"/>
          </w:tcPr>
          <w:p>
            <w:pPr>
              <w:spacing w:after="0"/>
              <w:rPr>
                <w:sz w:val="20"/>
                <w:szCs w:val="20"/>
                <w:color w:val="auto"/>
              </w:rPr>
            </w:pPr>
            <w:r>
              <w:rPr>
                <w:rFonts w:ascii="Arial" w:cs="Arial" w:eastAsia="Arial" w:hAnsi="Arial"/>
                <w:sz w:val="16"/>
                <w:szCs w:val="16"/>
                <w:b w:val="1"/>
                <w:bCs w:val="1"/>
                <w:color w:val="auto"/>
              </w:rPr>
              <w:t>JORGE L.</w:t>
            </w:r>
          </w:p>
        </w:tc>
        <w:tc>
          <w:tcPr>
            <w:tcW w:w="10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340" w:type="dxa"/>
            <w:vAlign w:val="bottom"/>
            <w:tcBorders>
              <w:bottom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BENITEZ</w:t>
            </w:r>
          </w:p>
        </w:tc>
        <w:tc>
          <w:tcPr>
            <w:tcW w:w="10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340" w:type="dxa"/>
            <w:vAlign w:val="bottom"/>
            <w:gridSpan w:val="2"/>
          </w:tcPr>
          <w:p>
            <w:pPr>
              <w:spacing w:after="0" w:line="178" w:lineRule="exact"/>
              <w:rPr>
                <w:sz w:val="20"/>
                <w:szCs w:val="20"/>
                <w:color w:val="auto"/>
              </w:rPr>
            </w:pPr>
            <w:r>
              <w:rPr>
                <w:rFonts w:ascii="Arial" w:cs="Arial" w:eastAsia="Arial" w:hAnsi="Arial"/>
                <w:sz w:val="16"/>
                <w:szCs w:val="16"/>
                <w:b w:val="1"/>
                <w:bCs w:val="1"/>
                <w:i w:val="1"/>
                <w:iCs w:val="1"/>
                <w:color w:val="auto"/>
              </w:rPr>
              <w:t>Director</w:t>
            </w:r>
          </w:p>
        </w:tc>
        <w:tc>
          <w:tcPr>
            <w:tcW w:w="10000" w:type="dxa"/>
            <w:vAlign w:val="bottom"/>
          </w:tcPr>
          <w:p>
            <w:pPr>
              <w:ind w:left="160"/>
              <w:spacing w:after="0" w:line="178" w:lineRule="exact"/>
              <w:rPr>
                <w:sz w:val="20"/>
                <w:szCs w:val="20"/>
                <w:color w:val="auto"/>
              </w:rPr>
            </w:pPr>
            <w:r>
              <w:rPr>
                <w:rFonts w:ascii="Arial" w:cs="Arial" w:eastAsia="Arial" w:hAnsi="Arial"/>
                <w:sz w:val="16"/>
                <w:szCs w:val="16"/>
                <w:color w:val="auto"/>
                <w:w w:val="90"/>
              </w:rPr>
              <w:t>Mr. Benitez has served as our director since January 2015. Mr. Benitez retired from Accenture plc in September 2014 after more than 33 years of service,</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340" w:type="dxa"/>
            <w:vAlign w:val="bottom"/>
            <w:gridSpan w:val="2"/>
          </w:tcPr>
          <w:p>
            <w:pPr>
              <w:ind w:left="140"/>
              <w:spacing w:after="0"/>
              <w:rPr>
                <w:sz w:val="20"/>
                <w:szCs w:val="20"/>
                <w:color w:val="auto"/>
              </w:rPr>
            </w:pPr>
            <w:r>
              <w:rPr>
                <w:rFonts w:ascii="Arial" w:cs="Arial" w:eastAsia="Arial" w:hAnsi="Arial"/>
                <w:sz w:val="16"/>
                <w:szCs w:val="16"/>
                <w:b w:val="1"/>
                <w:bCs w:val="1"/>
                <w:color w:val="auto"/>
              </w:rPr>
              <w:t>Age: 58</w:t>
            </w:r>
          </w:p>
        </w:tc>
        <w:tc>
          <w:tcPr>
            <w:tcW w:w="10000" w:type="dxa"/>
            <w:vAlign w:val="bottom"/>
          </w:tcPr>
          <w:p>
            <w:pPr>
              <w:ind w:left="160"/>
              <w:spacing w:after="0"/>
              <w:rPr>
                <w:sz w:val="20"/>
                <w:szCs w:val="20"/>
                <w:color w:val="auto"/>
              </w:rPr>
            </w:pPr>
            <w:r>
              <w:rPr>
                <w:rFonts w:ascii="Arial" w:cs="Arial" w:eastAsia="Arial" w:hAnsi="Arial"/>
                <w:sz w:val="16"/>
                <w:szCs w:val="16"/>
                <w:color w:val="auto"/>
                <w:w w:val="96"/>
              </w:rPr>
              <w:t>the last three years of which Mr. Benitez served as Chief Executive Officer of North America, where he had primary responsibility for Accenture's</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34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Director Since:</w:t>
            </w:r>
          </w:p>
        </w:tc>
        <w:tc>
          <w:tcPr>
            <w:tcW w:w="10000" w:type="dxa"/>
            <w:vAlign w:val="bottom"/>
          </w:tcPr>
          <w:p>
            <w:pPr>
              <w:ind w:left="160"/>
              <w:spacing w:after="0"/>
              <w:rPr>
                <w:sz w:val="20"/>
                <w:szCs w:val="20"/>
                <w:color w:val="auto"/>
              </w:rPr>
            </w:pPr>
            <w:r>
              <w:rPr>
                <w:rFonts w:ascii="Arial" w:cs="Arial" w:eastAsia="Arial" w:hAnsi="Arial"/>
                <w:sz w:val="16"/>
                <w:szCs w:val="16"/>
                <w:color w:val="auto"/>
                <w:w w:val="92"/>
              </w:rPr>
              <w:t>business and operations in North America. From September 2006 to August 2011, Mr. Benitez served as Chief Operating Officer, Products Operating</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0000" w:type="dxa"/>
            <w:vAlign w:val="bottom"/>
          </w:tcPr>
          <w:p>
            <w:pPr>
              <w:ind w:left="160"/>
              <w:spacing w:after="0"/>
              <w:rPr>
                <w:sz w:val="20"/>
                <w:szCs w:val="20"/>
                <w:color w:val="auto"/>
              </w:rPr>
            </w:pPr>
            <w:r>
              <w:rPr>
                <w:rFonts w:ascii="Arial" w:cs="Arial" w:eastAsia="Arial" w:hAnsi="Arial"/>
                <w:sz w:val="16"/>
                <w:szCs w:val="16"/>
                <w:color w:val="auto"/>
                <w:w w:val="89"/>
              </w:rPr>
              <w:t>Group, the largest of Accenture's five operating groups, where he was responsible for executing the business strategy and ensuring operational excellence</w:t>
            </w:r>
          </w:p>
        </w:tc>
        <w:tc>
          <w:tcPr>
            <w:tcW w:w="0" w:type="dxa"/>
            <w:vAlign w:val="bottom"/>
          </w:tcPr>
          <w:p>
            <w:pPr>
              <w:spacing w:after="0"/>
              <w:rPr>
                <w:sz w:val="1"/>
                <w:szCs w:val="1"/>
                <w:color w:val="auto"/>
              </w:rPr>
            </w:pPr>
          </w:p>
        </w:tc>
      </w:tr>
      <w:tr>
        <w:trPr>
          <w:trHeight w:val="197"/>
        </w:trPr>
        <w:tc>
          <w:tcPr>
            <w:tcW w:w="1140" w:type="dxa"/>
            <w:vAlign w:val="bottom"/>
            <w:gridSpan w:val="2"/>
          </w:tcPr>
          <w:p>
            <w:pPr>
              <w:ind w:left="160"/>
              <w:spacing w:after="0"/>
              <w:rPr>
                <w:sz w:val="20"/>
                <w:szCs w:val="20"/>
                <w:color w:val="auto"/>
              </w:rPr>
            </w:pPr>
            <w:r>
              <w:rPr>
                <w:rFonts w:ascii="Arial" w:cs="Arial" w:eastAsia="Arial" w:hAnsi="Arial"/>
                <w:sz w:val="16"/>
                <w:szCs w:val="16"/>
                <w:b w:val="1"/>
                <w:bCs w:val="1"/>
                <w:color w:val="auto"/>
              </w:rPr>
              <w:t>2015</w:t>
            </w:r>
          </w:p>
        </w:tc>
        <w:tc>
          <w:tcPr>
            <w:tcW w:w="220" w:type="dxa"/>
            <w:vAlign w:val="bottom"/>
          </w:tcPr>
          <w:p>
            <w:pPr>
              <w:spacing w:after="0"/>
              <w:rPr>
                <w:sz w:val="17"/>
                <w:szCs w:val="17"/>
                <w:color w:val="auto"/>
              </w:rPr>
            </w:pPr>
          </w:p>
        </w:tc>
        <w:tc>
          <w:tcPr>
            <w:tcW w:w="10000" w:type="dxa"/>
            <w:vAlign w:val="bottom"/>
          </w:tcPr>
          <w:p>
            <w:pPr>
              <w:ind w:left="160"/>
              <w:spacing w:after="0"/>
              <w:rPr>
                <w:sz w:val="20"/>
                <w:szCs w:val="20"/>
                <w:color w:val="auto"/>
              </w:rPr>
            </w:pPr>
            <w:r>
              <w:rPr>
                <w:rFonts w:ascii="Arial" w:cs="Arial" w:eastAsia="Arial" w:hAnsi="Arial"/>
                <w:sz w:val="16"/>
                <w:szCs w:val="16"/>
                <w:color w:val="auto"/>
                <w:w w:val="95"/>
              </w:rPr>
              <w:t>across a wide set of consumer industry groups, including: automotive; air, freight and travel services; industrial equipment; and infrastructure and</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340" w:type="dxa"/>
            <w:vAlign w:val="bottom"/>
            <w:gridSpan w:val="2"/>
          </w:tcPr>
          <w:p>
            <w:pPr>
              <w:ind w:left="140"/>
              <w:spacing w:after="0"/>
              <w:rPr>
                <w:sz w:val="20"/>
                <w:szCs w:val="20"/>
                <w:color w:val="auto"/>
              </w:rPr>
            </w:pPr>
            <w:r>
              <w:rPr>
                <w:rFonts w:ascii="Arial" w:cs="Arial" w:eastAsia="Arial" w:hAnsi="Arial"/>
                <w:sz w:val="16"/>
                <w:szCs w:val="16"/>
                <w:b w:val="1"/>
                <w:bCs w:val="1"/>
                <w:color w:val="auto"/>
              </w:rPr>
              <w:t>Committees:</w:t>
            </w:r>
          </w:p>
        </w:tc>
        <w:tc>
          <w:tcPr>
            <w:tcW w:w="10000" w:type="dxa"/>
            <w:vAlign w:val="bottom"/>
          </w:tcPr>
          <w:p>
            <w:pPr>
              <w:ind w:left="160"/>
              <w:spacing w:after="0"/>
              <w:rPr>
                <w:sz w:val="20"/>
                <w:szCs w:val="20"/>
                <w:color w:val="auto"/>
              </w:rPr>
            </w:pPr>
            <w:r>
              <w:rPr>
                <w:rFonts w:ascii="Arial" w:cs="Arial" w:eastAsia="Arial" w:hAnsi="Arial"/>
                <w:sz w:val="16"/>
                <w:szCs w:val="16"/>
                <w:color w:val="auto"/>
                <w:w w:val="93"/>
              </w:rPr>
              <w:t>transportation services. Prior to that, Mr. Benitez held various senior leadership roles and other positions since joining Accenture in 1981. Mr. Benitez</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0" w:type="dxa"/>
            <w:vAlign w:val="bottom"/>
          </w:tcPr>
          <w:p>
            <w:pPr>
              <w:ind w:left="160"/>
              <w:spacing w:after="0"/>
              <w:rPr>
                <w:sz w:val="20"/>
                <w:szCs w:val="20"/>
                <w:color w:val="auto"/>
              </w:rPr>
            </w:pPr>
            <w:r>
              <w:rPr>
                <w:rFonts w:ascii="Arial" w:cs="Arial" w:eastAsia="Arial" w:hAnsi="Arial"/>
                <w:sz w:val="16"/>
                <w:szCs w:val="16"/>
                <w:color w:val="auto"/>
              </w:rPr>
              <w:t>now serves as a director and member of the risk and compliance committee of Fifth Third Bancorp, a Nasdaq company.</w:t>
            </w:r>
          </w:p>
        </w:tc>
        <w:tc>
          <w:tcPr>
            <w:tcW w:w="0" w:type="dxa"/>
            <w:vAlign w:val="bottom"/>
          </w:tcPr>
          <w:p>
            <w:pPr>
              <w:spacing w:after="0"/>
              <w:rPr>
                <w:sz w:val="1"/>
                <w:szCs w:val="1"/>
                <w:color w:val="auto"/>
              </w:rPr>
            </w:pPr>
          </w:p>
        </w:tc>
      </w:tr>
    </w:tbl>
    <w:p>
      <w:pPr>
        <w:ind w:left="600" w:hanging="273"/>
        <w:spacing w:after="0"/>
        <w:tabs>
          <w:tab w:leader="none" w:pos="6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Governance</w:t>
      </w:r>
    </w:p>
    <w:p>
      <w:pPr>
        <w:spacing w:after="0" w:line="13" w:lineRule="exact"/>
        <w:rPr>
          <w:sz w:val="20"/>
          <w:szCs w:val="20"/>
          <w:color w:val="auto"/>
        </w:rPr>
      </w:pPr>
    </w:p>
    <w:p>
      <w:pPr>
        <w:ind w:left="1520"/>
        <w:spacing w:after="0"/>
        <w:rPr>
          <w:sz w:val="20"/>
          <w:szCs w:val="20"/>
          <w:color w:val="auto"/>
        </w:rPr>
      </w:pPr>
      <w:r>
        <w:rPr>
          <w:rFonts w:ascii="Arial" w:cs="Arial" w:eastAsia="Arial" w:hAnsi="Arial"/>
          <w:sz w:val="14"/>
          <w:szCs w:val="14"/>
          <w:i w:val="1"/>
          <w:iCs w:val="1"/>
          <w:color w:val="auto"/>
        </w:rPr>
        <w:t>Mr. Benitez brings to the Board his extensive experience developing and executing business strategies across a range of industries, particularly air, freight</w:t>
      </w:r>
    </w:p>
    <w:p>
      <w:pPr>
        <w:spacing w:after="0" w:line="36" w:lineRule="exact"/>
        <w:rPr>
          <w:sz w:val="20"/>
          <w:szCs w:val="20"/>
          <w:color w:val="auto"/>
        </w:rPr>
      </w:pPr>
    </w:p>
    <w:p>
      <w:pPr>
        <w:ind w:left="600" w:hanging="273"/>
        <w:spacing w:after="0"/>
        <w:tabs>
          <w:tab w:leader="none" w:pos="600" w:val="left"/>
        </w:tabs>
        <w:numPr>
          <w:ilvl w:val="0"/>
          <w:numId w:val="13"/>
        </w:numPr>
        <w:rPr>
          <w:rFonts w:ascii="Arial" w:cs="Arial" w:eastAsia="Arial" w:hAnsi="Arial"/>
          <w:sz w:val="15"/>
          <w:szCs w:val="15"/>
          <w:color w:val="auto"/>
        </w:rPr>
      </w:pPr>
      <w:r>
        <w:rPr>
          <w:rFonts w:ascii="Arial" w:cs="Arial" w:eastAsia="Arial" w:hAnsi="Arial"/>
          <w:sz w:val="15"/>
          <w:szCs w:val="15"/>
          <w:color w:val="auto"/>
        </w:rPr>
        <w:t xml:space="preserve">Technology  </w:t>
      </w:r>
      <w:r>
        <w:rPr>
          <w:rFonts w:ascii="Arial" w:cs="Arial" w:eastAsia="Arial" w:hAnsi="Arial"/>
          <w:sz w:val="15"/>
          <w:szCs w:val="15"/>
          <w:i w:val="1"/>
          <w:iCs w:val="1"/>
          <w:color w:val="auto"/>
        </w:rPr>
        <w:t>and travel and transportation services, as well as significant executive experience running operating units within a large multinational publicly-traded</w:t>
      </w:r>
    </w:p>
    <w:p>
      <w:pPr>
        <w:spacing w:after="0" w:line="24" w:lineRule="exact"/>
        <w:rPr>
          <w:rFonts w:ascii="Arial" w:cs="Arial" w:eastAsia="Arial" w:hAnsi="Arial"/>
          <w:sz w:val="15"/>
          <w:szCs w:val="15"/>
          <w:color w:val="auto"/>
        </w:rPr>
      </w:pPr>
    </w:p>
    <w:p>
      <w:pPr>
        <w:ind w:left="600" w:right="9100"/>
        <w:spacing w:after="0" w:line="257" w:lineRule="auto"/>
        <w:rPr>
          <w:rFonts w:ascii="Arial" w:cs="Arial" w:eastAsia="Arial" w:hAnsi="Arial"/>
          <w:sz w:val="15"/>
          <w:szCs w:val="15"/>
          <w:color w:val="auto"/>
        </w:rPr>
      </w:pPr>
      <w:r>
        <w:rPr>
          <w:rFonts w:ascii="Arial" w:cs="Arial" w:eastAsia="Arial" w:hAnsi="Arial"/>
          <w:sz w:val="16"/>
          <w:szCs w:val="16"/>
          <w:color w:val="auto"/>
        </w:rPr>
        <w:t xml:space="preserve">and </w:t>
      </w:r>
      <w:r>
        <w:rPr>
          <w:rFonts w:ascii="Arial" w:cs="Arial" w:eastAsia="Arial" w:hAnsi="Arial"/>
          <w:sz w:val="16"/>
          <w:szCs w:val="16"/>
          <w:i w:val="1"/>
          <w:iCs w:val="1"/>
          <w:color w:val="auto"/>
        </w:rPr>
        <w:t>corporation.</w:t>
      </w:r>
      <w:r>
        <w:rPr>
          <w:rFonts w:ascii="Arial" w:cs="Arial" w:eastAsia="Arial" w:hAnsi="Arial"/>
          <w:sz w:val="16"/>
          <w:szCs w:val="16"/>
          <w:color w:val="auto"/>
        </w:rPr>
        <w:t xml:space="preserve"> Operations</w:t>
      </w:r>
    </w:p>
    <w:p>
      <w:pPr>
        <w:ind w:left="600"/>
        <w:spacing w:after="0"/>
        <w:rPr>
          <w:rFonts w:ascii="Arial" w:cs="Arial" w:eastAsia="Arial" w:hAnsi="Arial"/>
          <w:sz w:val="15"/>
          <w:szCs w:val="15"/>
          <w:color w:val="auto"/>
        </w:rPr>
      </w:pPr>
      <w:r>
        <w:rPr>
          <w:rFonts w:ascii="Arial" w:cs="Arial" w:eastAsia="Arial" w:hAnsi="Arial"/>
          <w:sz w:val="16"/>
          <w:szCs w:val="16"/>
          <w:color w:val="auto"/>
        </w:rPr>
        <w:t>(Chairman)</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360" w:type="dxa"/>
            <w:vAlign w:val="bottom"/>
            <w:gridSpan w:val="2"/>
          </w:tcPr>
          <w:p>
            <w:pPr>
              <w:spacing w:after="0"/>
              <w:rPr>
                <w:sz w:val="20"/>
                <w:szCs w:val="20"/>
                <w:color w:val="auto"/>
              </w:rPr>
            </w:pPr>
            <w:r>
              <w:rPr>
                <w:rFonts w:ascii="Arial" w:cs="Arial" w:eastAsia="Arial" w:hAnsi="Arial"/>
                <w:sz w:val="16"/>
                <w:szCs w:val="16"/>
                <w:b w:val="1"/>
                <w:bCs w:val="1"/>
                <w:color w:val="auto"/>
              </w:rPr>
              <w:t>STEPHEN J.</w:t>
            </w:r>
          </w:p>
        </w:tc>
        <w:tc>
          <w:tcPr>
            <w:tcW w:w="10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34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GOLD</w:t>
            </w:r>
          </w:p>
        </w:tc>
        <w:tc>
          <w:tcPr>
            <w:tcW w:w="10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340" w:type="dxa"/>
            <w:vAlign w:val="bottom"/>
          </w:tcPr>
          <w:p>
            <w:pPr>
              <w:spacing w:after="0" w:line="178" w:lineRule="exact"/>
              <w:rPr>
                <w:sz w:val="20"/>
                <w:szCs w:val="20"/>
                <w:color w:val="auto"/>
              </w:rPr>
            </w:pPr>
            <w:r>
              <w:rPr>
                <w:rFonts w:ascii="Arial" w:cs="Arial" w:eastAsia="Arial" w:hAnsi="Arial"/>
                <w:sz w:val="16"/>
                <w:szCs w:val="16"/>
                <w:b w:val="1"/>
                <w:bCs w:val="1"/>
                <w:i w:val="1"/>
                <w:iCs w:val="1"/>
                <w:color w:val="auto"/>
              </w:rPr>
              <w:t>Director</w:t>
            </w:r>
          </w:p>
        </w:tc>
        <w:tc>
          <w:tcPr>
            <w:tcW w:w="10040" w:type="dxa"/>
            <w:vAlign w:val="bottom"/>
          </w:tcPr>
          <w:p>
            <w:pPr>
              <w:ind w:left="160"/>
              <w:spacing w:after="0" w:line="178" w:lineRule="exact"/>
              <w:rPr>
                <w:sz w:val="20"/>
                <w:szCs w:val="20"/>
                <w:color w:val="auto"/>
              </w:rPr>
            </w:pPr>
            <w:r>
              <w:rPr>
                <w:rFonts w:ascii="Arial" w:cs="Arial" w:eastAsia="Arial" w:hAnsi="Arial"/>
                <w:sz w:val="16"/>
                <w:szCs w:val="16"/>
                <w:color w:val="auto"/>
                <w:w w:val="93"/>
              </w:rPr>
              <w:t>Mr. Gold has served as our director since October 2017. Mr. Gold has more than 30 years of information systems management experience. He most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340" w:type="dxa"/>
            <w:vAlign w:val="bottom"/>
          </w:tcPr>
          <w:p>
            <w:pPr>
              <w:ind w:left="140"/>
              <w:spacing w:after="0"/>
              <w:rPr>
                <w:sz w:val="20"/>
                <w:szCs w:val="20"/>
                <w:color w:val="auto"/>
              </w:rPr>
            </w:pPr>
            <w:r>
              <w:rPr>
                <w:rFonts w:ascii="Arial" w:cs="Arial" w:eastAsia="Arial" w:hAnsi="Arial"/>
                <w:sz w:val="16"/>
                <w:szCs w:val="16"/>
                <w:b w:val="1"/>
                <w:bCs w:val="1"/>
                <w:color w:val="auto"/>
              </w:rPr>
              <w:t>Age: 59</w:t>
            </w:r>
          </w:p>
        </w:tc>
        <w:tc>
          <w:tcPr>
            <w:tcW w:w="10040" w:type="dxa"/>
            <w:vAlign w:val="bottom"/>
          </w:tcPr>
          <w:p>
            <w:pPr>
              <w:ind w:left="160"/>
              <w:spacing w:after="0"/>
              <w:rPr>
                <w:sz w:val="20"/>
                <w:szCs w:val="20"/>
                <w:color w:val="auto"/>
              </w:rPr>
            </w:pPr>
            <w:r>
              <w:rPr>
                <w:rFonts w:ascii="Arial" w:cs="Arial" w:eastAsia="Arial" w:hAnsi="Arial"/>
                <w:sz w:val="16"/>
                <w:szCs w:val="16"/>
                <w:color w:val="auto"/>
                <w:w w:val="92"/>
              </w:rPr>
              <w:t>recently served as Executive Vice President Technology and Operations Innovation, Chief Information Officer for CVS Health Corporation ("CVS") from</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340" w:type="dxa"/>
            <w:vAlign w:val="bottom"/>
            <w:vMerge w:val="restart"/>
          </w:tcPr>
          <w:p>
            <w:pPr>
              <w:ind w:left="140"/>
              <w:spacing w:after="0"/>
              <w:rPr>
                <w:sz w:val="20"/>
                <w:szCs w:val="20"/>
                <w:color w:val="auto"/>
              </w:rPr>
            </w:pPr>
            <w:r>
              <w:rPr>
                <w:rFonts w:ascii="Arial" w:cs="Arial" w:eastAsia="Arial" w:hAnsi="Arial"/>
                <w:sz w:val="16"/>
                <w:szCs w:val="16"/>
                <w:b w:val="1"/>
                <w:bCs w:val="1"/>
                <w:color w:val="auto"/>
              </w:rPr>
              <w:t>Director Since:</w:t>
            </w:r>
          </w:p>
        </w:tc>
        <w:tc>
          <w:tcPr>
            <w:tcW w:w="10040" w:type="dxa"/>
            <w:vAlign w:val="bottom"/>
          </w:tcPr>
          <w:p>
            <w:pPr>
              <w:ind w:left="160"/>
              <w:spacing w:after="0"/>
              <w:rPr>
                <w:sz w:val="20"/>
                <w:szCs w:val="20"/>
                <w:color w:val="auto"/>
              </w:rPr>
            </w:pPr>
            <w:r>
              <w:rPr>
                <w:rFonts w:ascii="Arial" w:cs="Arial" w:eastAsia="Arial" w:hAnsi="Arial"/>
                <w:sz w:val="16"/>
                <w:szCs w:val="16"/>
                <w:color w:val="auto"/>
                <w:w w:val="92"/>
              </w:rPr>
              <w:t>July 2012 to December 2017. Mr. Gold was CVS' senior technology executive and had responsibility for all information systems and technology, digital</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10040" w:type="dxa"/>
            <w:vAlign w:val="bottom"/>
          </w:tcPr>
          <w:p>
            <w:pPr>
              <w:ind w:left="160"/>
              <w:spacing w:after="0"/>
              <w:rPr>
                <w:sz w:val="20"/>
                <w:szCs w:val="20"/>
                <w:color w:val="auto"/>
              </w:rPr>
            </w:pPr>
            <w:r>
              <w:rPr>
                <w:rFonts w:ascii="Arial" w:cs="Arial" w:eastAsia="Arial" w:hAnsi="Arial"/>
                <w:sz w:val="16"/>
                <w:szCs w:val="16"/>
                <w:color w:val="auto"/>
                <w:w w:val="92"/>
              </w:rPr>
              <w:t>business operations, and client service operations. Prior to CVS, Mr. Gold served as Senior Vice President and Chief Information Officer for Avaya, Inc.</w:t>
            </w:r>
          </w:p>
        </w:tc>
        <w:tc>
          <w:tcPr>
            <w:tcW w:w="0" w:type="dxa"/>
            <w:vAlign w:val="bottom"/>
          </w:tcPr>
          <w:p>
            <w:pPr>
              <w:spacing w:after="0"/>
              <w:rPr>
                <w:sz w:val="1"/>
                <w:szCs w:val="1"/>
                <w:color w:val="auto"/>
              </w:rPr>
            </w:pPr>
          </w:p>
        </w:tc>
      </w:tr>
      <w:tr>
        <w:trPr>
          <w:trHeight w:val="197"/>
        </w:trPr>
        <w:tc>
          <w:tcPr>
            <w:tcW w:w="1360" w:type="dxa"/>
            <w:vAlign w:val="bottom"/>
            <w:gridSpan w:val="2"/>
          </w:tcPr>
          <w:p>
            <w:pPr>
              <w:ind w:left="160"/>
              <w:spacing w:after="0"/>
              <w:rPr>
                <w:sz w:val="20"/>
                <w:szCs w:val="20"/>
                <w:color w:val="auto"/>
              </w:rPr>
            </w:pPr>
            <w:r>
              <w:rPr>
                <w:rFonts w:ascii="Arial" w:cs="Arial" w:eastAsia="Arial" w:hAnsi="Arial"/>
                <w:sz w:val="16"/>
                <w:szCs w:val="16"/>
                <w:b w:val="1"/>
                <w:bCs w:val="1"/>
                <w:color w:val="auto"/>
              </w:rPr>
              <w:t>2017</w:t>
            </w:r>
          </w:p>
        </w:tc>
        <w:tc>
          <w:tcPr>
            <w:tcW w:w="10040" w:type="dxa"/>
            <w:vAlign w:val="bottom"/>
          </w:tcPr>
          <w:p>
            <w:pPr>
              <w:ind w:left="160"/>
              <w:spacing w:after="0"/>
              <w:rPr>
                <w:sz w:val="20"/>
                <w:szCs w:val="20"/>
                <w:color w:val="auto"/>
              </w:rPr>
            </w:pPr>
            <w:r>
              <w:rPr>
                <w:rFonts w:ascii="Arial" w:cs="Arial" w:eastAsia="Arial" w:hAnsi="Arial"/>
                <w:sz w:val="16"/>
                <w:szCs w:val="16"/>
                <w:color w:val="auto"/>
                <w:w w:val="94"/>
              </w:rPr>
              <w:t>from April 2010 to July 2012, where he was responsible for guiding all aspects of the company's technology strategy, as well as leading IT business</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340" w:type="dxa"/>
            <w:vAlign w:val="bottom"/>
          </w:tcPr>
          <w:p>
            <w:pPr>
              <w:ind w:left="140"/>
              <w:spacing w:after="0"/>
              <w:rPr>
                <w:sz w:val="20"/>
                <w:szCs w:val="20"/>
                <w:color w:val="auto"/>
              </w:rPr>
            </w:pPr>
            <w:r>
              <w:rPr>
                <w:rFonts w:ascii="Arial" w:cs="Arial" w:eastAsia="Arial" w:hAnsi="Arial"/>
                <w:sz w:val="16"/>
                <w:szCs w:val="16"/>
                <w:b w:val="1"/>
                <w:bCs w:val="1"/>
                <w:color w:val="auto"/>
              </w:rPr>
              <w:t>Committees:</w:t>
            </w:r>
          </w:p>
        </w:tc>
        <w:tc>
          <w:tcPr>
            <w:tcW w:w="10040" w:type="dxa"/>
            <w:vAlign w:val="bottom"/>
          </w:tcPr>
          <w:p>
            <w:pPr>
              <w:ind w:left="160"/>
              <w:spacing w:after="0"/>
              <w:rPr>
                <w:sz w:val="20"/>
                <w:szCs w:val="20"/>
                <w:color w:val="auto"/>
              </w:rPr>
            </w:pPr>
            <w:r>
              <w:rPr>
                <w:rFonts w:ascii="Arial" w:cs="Arial" w:eastAsia="Arial" w:hAnsi="Arial"/>
                <w:sz w:val="16"/>
                <w:szCs w:val="16"/>
                <w:color w:val="auto"/>
                <w:w w:val="95"/>
              </w:rPr>
              <w:t>operations and systems globally. Prior to joining Avaya, Mr. Gold was the Executive Vice President, Chief Information Officer and Corporate Chief</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40" w:type="dxa"/>
            <w:vAlign w:val="bottom"/>
          </w:tcPr>
          <w:p>
            <w:pPr>
              <w:ind w:left="160"/>
              <w:spacing w:after="0"/>
              <w:rPr>
                <w:sz w:val="20"/>
                <w:szCs w:val="20"/>
                <w:color w:val="auto"/>
              </w:rPr>
            </w:pPr>
            <w:r>
              <w:rPr>
                <w:rFonts w:ascii="Arial" w:cs="Arial" w:eastAsia="Arial" w:hAnsi="Arial"/>
                <w:sz w:val="16"/>
                <w:szCs w:val="16"/>
                <w:color w:val="auto"/>
              </w:rPr>
              <w:t>Technology Officer for GSI Commerce, Inc. from January 2005 to April 2010.</w:t>
            </w:r>
          </w:p>
        </w:tc>
        <w:tc>
          <w:tcPr>
            <w:tcW w:w="0" w:type="dxa"/>
            <w:vAlign w:val="bottom"/>
          </w:tcPr>
          <w:p>
            <w:pPr>
              <w:spacing w:after="0"/>
              <w:rPr>
                <w:sz w:val="1"/>
                <w:szCs w:val="1"/>
                <w:color w:val="auto"/>
              </w:rPr>
            </w:pPr>
          </w:p>
        </w:tc>
      </w:tr>
    </w:tbl>
    <w:p>
      <w:pPr>
        <w:ind w:left="600" w:hanging="273"/>
        <w:spacing w:after="0"/>
        <w:tabs>
          <w:tab w:leader="none" w:pos="6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Governance</w:t>
      </w:r>
    </w:p>
    <w:p>
      <w:pPr>
        <w:spacing w:after="0" w:line="13" w:lineRule="exact"/>
        <w:rPr>
          <w:sz w:val="20"/>
          <w:szCs w:val="20"/>
          <w:color w:val="auto"/>
        </w:rPr>
      </w:pPr>
    </w:p>
    <w:p>
      <w:pPr>
        <w:ind w:left="1520"/>
        <w:spacing w:after="0"/>
        <w:rPr>
          <w:sz w:val="20"/>
          <w:szCs w:val="20"/>
          <w:color w:val="auto"/>
        </w:rPr>
      </w:pPr>
      <w:r>
        <w:rPr>
          <w:rFonts w:ascii="Arial" w:cs="Arial" w:eastAsia="Arial" w:hAnsi="Arial"/>
          <w:sz w:val="16"/>
          <w:szCs w:val="16"/>
          <w:i w:val="1"/>
          <w:iCs w:val="1"/>
          <w:color w:val="auto"/>
        </w:rPr>
        <w:t>Mr. Gold brings to the Board significant experience in technology, information systems management and cybersecurity.</w:t>
      </w:r>
    </w:p>
    <w:p>
      <w:pPr>
        <w:spacing w:after="0" w:line="13" w:lineRule="exact"/>
        <w:rPr>
          <w:sz w:val="20"/>
          <w:szCs w:val="20"/>
          <w:color w:val="auto"/>
        </w:rPr>
      </w:pPr>
    </w:p>
    <w:p>
      <w:pPr>
        <w:ind w:left="600" w:right="10080" w:hanging="273"/>
        <w:spacing w:after="0" w:line="294" w:lineRule="auto"/>
        <w:tabs>
          <w:tab w:leader="none" w:pos="6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Technology and Operations</w:t>
      </w:r>
    </w:p>
    <w:p>
      <w:pPr>
        <w:jc w:val="right"/>
        <w:spacing w:after="0"/>
        <w:tabs>
          <w:tab w:leader="none" w:pos="1880" w:val="left"/>
          <w:tab w:leader="none" w:pos="1640" w:val="left"/>
          <w:tab w:leader="none" w:pos="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3"/>
          <w:szCs w:val="33"/>
          <w:b w:val="1"/>
          <w:bCs w:val="1"/>
          <w:color w:val="auto"/>
          <w:vertAlign w:val="subscript"/>
        </w:rPr>
        <w:t>|</w:t>
      </w:r>
      <w:r>
        <w:rPr>
          <w:sz w:val="20"/>
          <w:szCs w:val="20"/>
          <w:color w:val="auto"/>
        </w:rPr>
        <w:tab/>
      </w:r>
      <w:r>
        <w:rPr>
          <w:rFonts w:ascii="Arial" w:cs="Arial" w:eastAsia="Arial" w:hAnsi="Arial"/>
          <w:sz w:val="16"/>
          <w:szCs w:val="16"/>
          <w:color w:val="auto"/>
        </w:rPr>
        <w:t>2018 Proxy Statement</w:t>
      </w:r>
      <w:r>
        <w:rPr>
          <w:sz w:val="20"/>
          <w:szCs w:val="20"/>
          <w:color w:val="auto"/>
        </w:rPr>
        <w:tab/>
      </w: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133350</wp:posOffset>
            </wp:positionV>
            <wp:extent cx="7263130" cy="203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84"/>
        </w:trPr>
        <w:tc>
          <w:tcPr>
            <w:tcW w:w="1140" w:type="dxa"/>
            <w:vAlign w:val="bottom"/>
            <w:tcBorders>
              <w:bottom w:val="single" w:sz="8" w:color="0000EE"/>
            </w:tcBorders>
            <w:gridSpan w:val="3"/>
          </w:tcPr>
          <w:p>
            <w:pPr>
              <w:spacing w:after="0"/>
              <w:rPr>
                <w:rFonts w:ascii="Arial" w:cs="Arial" w:eastAsia="Arial" w:hAnsi="Arial"/>
                <w:sz w:val="16"/>
                <w:szCs w:val="16"/>
                <w:color w:val="0000EE"/>
                <w:w w:val="88"/>
              </w:rPr>
            </w:pPr>
            <w:hyperlink w:anchor="page5">
              <w:r>
                <w:rPr>
                  <w:rFonts w:ascii="Arial" w:cs="Arial" w:eastAsia="Arial" w:hAnsi="Arial"/>
                  <w:sz w:val="16"/>
                  <w:szCs w:val="16"/>
                  <w:color w:val="0000EE"/>
                  <w:w w:val="88"/>
                </w:rPr>
                <w:t>Table of Contents</w:t>
              </w:r>
            </w:hyperlink>
          </w:p>
        </w:tc>
        <w:tc>
          <w:tcPr>
            <w:tcW w:w="380" w:type="dxa"/>
            <w:vAlign w:val="bottom"/>
          </w:tcPr>
          <w:p>
            <w:pPr>
              <w:spacing w:after="0"/>
              <w:rPr>
                <w:sz w:val="16"/>
                <w:szCs w:val="16"/>
                <w:color w:val="auto"/>
              </w:rPr>
            </w:pPr>
          </w:p>
        </w:tc>
        <w:tc>
          <w:tcPr>
            <w:tcW w:w="9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9"/>
        </w:trPr>
        <w:tc>
          <w:tcPr>
            <w:tcW w:w="1520" w:type="dxa"/>
            <w:vAlign w:val="bottom"/>
            <w:gridSpan w:val="4"/>
          </w:tcPr>
          <w:p>
            <w:pPr>
              <w:spacing w:after="0"/>
              <w:rPr>
                <w:sz w:val="20"/>
                <w:szCs w:val="20"/>
                <w:color w:val="auto"/>
              </w:rPr>
            </w:pPr>
            <w:r>
              <w:rPr>
                <w:rFonts w:ascii="Arial" w:cs="Arial" w:eastAsia="Arial" w:hAnsi="Arial"/>
                <w:sz w:val="16"/>
                <w:szCs w:val="16"/>
                <w:b w:val="1"/>
                <w:bCs w:val="1"/>
                <w:color w:val="auto"/>
              </w:rPr>
              <w:t>RICHARD A.</w:t>
            </w:r>
          </w:p>
        </w:tc>
        <w:tc>
          <w:tcPr>
            <w:tcW w:w="9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00" w:type="dxa"/>
            <w:vAlign w:val="bottom"/>
            <w:tcBorders>
              <w:bottom w:val="single" w:sz="8" w:color="auto"/>
            </w:tcBorders>
            <w:gridSpan w:val="3"/>
          </w:tcPr>
          <w:p>
            <w:pPr>
              <w:ind w:left="140"/>
              <w:spacing w:after="0"/>
              <w:rPr>
                <w:sz w:val="20"/>
                <w:szCs w:val="20"/>
                <w:color w:val="auto"/>
              </w:rPr>
            </w:pPr>
            <w:r>
              <w:rPr>
                <w:rFonts w:ascii="Arial" w:cs="Arial" w:eastAsia="Arial" w:hAnsi="Arial"/>
                <w:sz w:val="16"/>
                <w:szCs w:val="16"/>
                <w:b w:val="1"/>
                <w:bCs w:val="1"/>
                <w:color w:val="auto"/>
              </w:rPr>
              <w:t>KASSAR</w:t>
            </w:r>
          </w:p>
        </w:tc>
        <w:tc>
          <w:tcPr>
            <w:tcW w:w="9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60" w:type="dxa"/>
            <w:vAlign w:val="bottom"/>
          </w:tcPr>
          <w:p>
            <w:pPr>
              <w:spacing w:after="0" w:line="178" w:lineRule="exact"/>
              <w:rPr>
                <w:sz w:val="20"/>
                <w:szCs w:val="20"/>
                <w:color w:val="auto"/>
              </w:rPr>
            </w:pPr>
            <w:r>
              <w:rPr>
                <w:rFonts w:ascii="Arial" w:cs="Arial" w:eastAsia="Arial" w:hAnsi="Arial"/>
                <w:sz w:val="16"/>
                <w:szCs w:val="16"/>
                <w:b w:val="1"/>
                <w:bCs w:val="1"/>
                <w:i w:val="1"/>
                <w:iCs w:val="1"/>
                <w:color w:val="auto"/>
                <w:w w:val="87"/>
              </w:rPr>
              <w:t>Director</w:t>
            </w:r>
          </w:p>
        </w:tc>
        <w:tc>
          <w:tcPr>
            <w:tcW w:w="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900" w:type="dxa"/>
            <w:vAlign w:val="bottom"/>
          </w:tcPr>
          <w:p>
            <w:pPr>
              <w:ind w:left="160"/>
              <w:spacing w:after="0" w:line="178" w:lineRule="exact"/>
              <w:rPr>
                <w:sz w:val="20"/>
                <w:szCs w:val="20"/>
                <w:color w:val="auto"/>
              </w:rPr>
            </w:pPr>
            <w:r>
              <w:rPr>
                <w:rFonts w:ascii="Arial" w:cs="Arial" w:eastAsia="Arial" w:hAnsi="Arial"/>
                <w:sz w:val="16"/>
                <w:szCs w:val="16"/>
                <w:color w:val="auto"/>
                <w:w w:val="90"/>
              </w:rPr>
              <w:t>Mr. Kassar has served as our director since 2002. Mr. Kassar is the Chief Financial Officer of Freshpet Company, a Nasdaq company [FRPT] since July</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500" w:type="dxa"/>
            <w:vAlign w:val="bottom"/>
            <w:gridSpan w:val="3"/>
          </w:tcPr>
          <w:p>
            <w:pPr>
              <w:ind w:left="140"/>
              <w:spacing w:after="0"/>
              <w:rPr>
                <w:sz w:val="20"/>
                <w:szCs w:val="20"/>
                <w:color w:val="auto"/>
              </w:rPr>
            </w:pPr>
            <w:r>
              <w:rPr>
                <w:rFonts w:ascii="Arial" w:cs="Arial" w:eastAsia="Arial" w:hAnsi="Arial"/>
                <w:sz w:val="16"/>
                <w:szCs w:val="16"/>
                <w:b w:val="1"/>
                <w:bCs w:val="1"/>
                <w:color w:val="auto"/>
              </w:rPr>
              <w:t>Age: 70</w:t>
            </w:r>
          </w:p>
        </w:tc>
        <w:tc>
          <w:tcPr>
            <w:tcW w:w="9900" w:type="dxa"/>
            <w:vAlign w:val="bottom"/>
          </w:tcPr>
          <w:p>
            <w:pPr>
              <w:ind w:left="160"/>
              <w:spacing w:after="0"/>
              <w:rPr>
                <w:sz w:val="20"/>
                <w:szCs w:val="20"/>
                <w:color w:val="auto"/>
              </w:rPr>
            </w:pPr>
            <w:r>
              <w:rPr>
                <w:rFonts w:ascii="Arial" w:cs="Arial" w:eastAsia="Arial" w:hAnsi="Arial"/>
                <w:sz w:val="16"/>
                <w:szCs w:val="16"/>
                <w:color w:val="auto"/>
                <w:w w:val="96"/>
              </w:rPr>
              <w:t>2014 and is currently a principal of Go7Brands, LLC, a brand management company, where he also serves as Senior Vice-President and Chief</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500" w:type="dxa"/>
            <w:vAlign w:val="bottom"/>
            <w:gridSpan w:val="3"/>
            <w:vMerge w:val="restart"/>
          </w:tcPr>
          <w:p>
            <w:pPr>
              <w:ind w:left="140"/>
              <w:spacing w:after="0"/>
              <w:rPr>
                <w:sz w:val="20"/>
                <w:szCs w:val="20"/>
                <w:color w:val="auto"/>
              </w:rPr>
            </w:pPr>
            <w:r>
              <w:rPr>
                <w:rFonts w:ascii="Arial" w:cs="Arial" w:eastAsia="Arial" w:hAnsi="Arial"/>
                <w:sz w:val="16"/>
                <w:szCs w:val="16"/>
                <w:b w:val="1"/>
                <w:bCs w:val="1"/>
                <w:color w:val="auto"/>
              </w:rPr>
              <w:t>Director Since:</w:t>
            </w:r>
          </w:p>
        </w:tc>
        <w:tc>
          <w:tcPr>
            <w:tcW w:w="9900" w:type="dxa"/>
            <w:vAlign w:val="bottom"/>
          </w:tcPr>
          <w:p>
            <w:pPr>
              <w:ind w:left="160"/>
              <w:spacing w:after="0"/>
              <w:rPr>
                <w:sz w:val="20"/>
                <w:szCs w:val="20"/>
                <w:color w:val="auto"/>
              </w:rPr>
            </w:pPr>
            <w:r>
              <w:rPr>
                <w:rFonts w:ascii="Arial" w:cs="Arial" w:eastAsia="Arial" w:hAnsi="Arial"/>
                <w:sz w:val="16"/>
                <w:szCs w:val="16"/>
                <w:color w:val="auto"/>
                <w:w w:val="91"/>
              </w:rPr>
              <w:t>Financial Officer. Previously, Mr. Kassar had served as President of Freshpet Company from January 2011 to July 2014 and as Chief Executive Officer</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500" w:type="dxa"/>
            <w:vAlign w:val="bottom"/>
            <w:gridSpan w:val="3"/>
            <w:vMerge w:val="continue"/>
          </w:tcPr>
          <w:p>
            <w:pPr>
              <w:spacing w:after="0"/>
              <w:rPr>
                <w:sz w:val="16"/>
                <w:szCs w:val="16"/>
                <w:color w:val="auto"/>
              </w:rPr>
            </w:pPr>
          </w:p>
        </w:tc>
        <w:tc>
          <w:tcPr>
            <w:tcW w:w="9900" w:type="dxa"/>
            <w:vAlign w:val="bottom"/>
          </w:tcPr>
          <w:p>
            <w:pPr>
              <w:ind w:left="160"/>
              <w:spacing w:after="0"/>
              <w:rPr>
                <w:sz w:val="20"/>
                <w:szCs w:val="20"/>
                <w:color w:val="auto"/>
              </w:rPr>
            </w:pPr>
            <w:r>
              <w:rPr>
                <w:rFonts w:ascii="Arial" w:cs="Arial" w:eastAsia="Arial" w:hAnsi="Arial"/>
                <w:sz w:val="16"/>
                <w:szCs w:val="16"/>
                <w:color w:val="auto"/>
                <w:w w:val="91"/>
              </w:rPr>
              <w:t>from October 2006 to December 2010. From February 2002 to July 2006, Mr. Kassar was the Senior Vice President and Chief Financial Officer of The</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500" w:type="dxa"/>
            <w:vAlign w:val="bottom"/>
            <w:gridSpan w:val="3"/>
          </w:tcPr>
          <w:p>
            <w:pPr>
              <w:ind w:left="140"/>
              <w:spacing w:after="0"/>
              <w:rPr>
                <w:sz w:val="20"/>
                <w:szCs w:val="20"/>
                <w:color w:val="auto"/>
              </w:rPr>
            </w:pPr>
            <w:r>
              <w:rPr>
                <w:rFonts w:ascii="Arial" w:cs="Arial" w:eastAsia="Arial" w:hAnsi="Arial"/>
                <w:sz w:val="16"/>
                <w:szCs w:val="16"/>
                <w:b w:val="1"/>
                <w:bCs w:val="1"/>
                <w:color w:val="auto"/>
                <w:w w:val="97"/>
              </w:rPr>
              <w:t>2002 Committees:</w:t>
            </w:r>
          </w:p>
        </w:tc>
        <w:tc>
          <w:tcPr>
            <w:tcW w:w="9900" w:type="dxa"/>
            <w:vAlign w:val="bottom"/>
          </w:tcPr>
          <w:p>
            <w:pPr>
              <w:ind w:left="160"/>
              <w:spacing w:after="0"/>
              <w:rPr>
                <w:sz w:val="20"/>
                <w:szCs w:val="20"/>
                <w:color w:val="auto"/>
              </w:rPr>
            </w:pPr>
            <w:r>
              <w:rPr>
                <w:rFonts w:ascii="Arial" w:cs="Arial" w:eastAsia="Arial" w:hAnsi="Arial"/>
                <w:sz w:val="16"/>
                <w:szCs w:val="16"/>
                <w:color w:val="auto"/>
                <w:w w:val="93"/>
              </w:rPr>
              <w:t>Meow Mix Company, a cat food company. From May 2001 to January 2002, he was self-employed as a consultant to venture capital firms, advising</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900" w:type="dxa"/>
            <w:vAlign w:val="bottom"/>
          </w:tcPr>
          <w:p>
            <w:pPr>
              <w:ind w:left="160"/>
              <w:spacing w:after="0"/>
              <w:rPr>
                <w:sz w:val="20"/>
                <w:szCs w:val="20"/>
                <w:color w:val="auto"/>
              </w:rPr>
            </w:pPr>
            <w:r>
              <w:rPr>
                <w:rFonts w:ascii="Arial" w:cs="Arial" w:eastAsia="Arial" w:hAnsi="Arial"/>
                <w:sz w:val="16"/>
                <w:szCs w:val="16"/>
                <w:color w:val="auto"/>
                <w:w w:val="95"/>
              </w:rPr>
              <w:t>them primarily on the acquisition of consumer brands. From December 1999 to May 2001, Mr. Kassar was employed as Co-President and Chief</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60" w:type="dxa"/>
            <w:vAlign w:val="bottom"/>
          </w:tcPr>
          <w:p>
            <w:pPr>
              <w:ind w:left="300"/>
              <w:spacing w:after="0"/>
              <w:rPr>
                <w:sz w:val="20"/>
                <w:szCs w:val="20"/>
                <w:color w:val="auto"/>
              </w:rPr>
            </w:pPr>
            <w:r>
              <w:rPr>
                <w:rFonts w:ascii="Arial" w:cs="Arial" w:eastAsia="Arial" w:hAnsi="Arial"/>
                <w:sz w:val="16"/>
                <w:szCs w:val="16"/>
                <w:color w:val="auto"/>
              </w:rPr>
              <w:t>•</w:t>
            </w:r>
          </w:p>
        </w:tc>
        <w:tc>
          <w:tcPr>
            <w:tcW w:w="940" w:type="dxa"/>
            <w:vAlign w:val="bottom"/>
            <w:gridSpan w:val="2"/>
          </w:tcPr>
          <w:p>
            <w:pPr>
              <w:ind w:left="20"/>
              <w:spacing w:after="0"/>
              <w:rPr>
                <w:sz w:val="20"/>
                <w:szCs w:val="20"/>
                <w:color w:val="auto"/>
              </w:rPr>
            </w:pPr>
            <w:r>
              <w:rPr>
                <w:rFonts w:ascii="Arial" w:cs="Arial" w:eastAsia="Arial" w:hAnsi="Arial"/>
                <w:sz w:val="16"/>
                <w:szCs w:val="16"/>
                <w:color w:val="auto"/>
              </w:rPr>
              <w:t>Audit</w:t>
            </w:r>
          </w:p>
        </w:tc>
        <w:tc>
          <w:tcPr>
            <w:tcW w:w="9900" w:type="dxa"/>
            <w:vAlign w:val="bottom"/>
          </w:tcPr>
          <w:p>
            <w:pPr>
              <w:ind w:left="160"/>
              <w:spacing w:after="0"/>
              <w:rPr>
                <w:sz w:val="20"/>
                <w:szCs w:val="20"/>
                <w:color w:val="auto"/>
              </w:rPr>
            </w:pPr>
            <w:r>
              <w:rPr>
                <w:rFonts w:ascii="Arial" w:cs="Arial" w:eastAsia="Arial" w:hAnsi="Arial"/>
                <w:sz w:val="16"/>
                <w:szCs w:val="16"/>
                <w:color w:val="auto"/>
                <w:w w:val="92"/>
              </w:rPr>
              <w:t>Financial Officer of Global Household Brands, a manufacturer of household products. From 1986 to December 1999, he was employed by Chock Full</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900" w:type="dxa"/>
            <w:vAlign w:val="bottom"/>
          </w:tcPr>
          <w:p>
            <w:pPr>
              <w:ind w:left="160"/>
              <w:spacing w:after="0"/>
              <w:rPr>
                <w:sz w:val="20"/>
                <w:szCs w:val="20"/>
                <w:color w:val="auto"/>
              </w:rPr>
            </w:pPr>
            <w:r>
              <w:rPr>
                <w:rFonts w:ascii="Arial" w:cs="Arial" w:eastAsia="Arial" w:hAnsi="Arial"/>
                <w:sz w:val="16"/>
                <w:szCs w:val="16"/>
                <w:color w:val="auto"/>
                <w:w w:val="91"/>
              </w:rPr>
              <w:t>O'Nuts, a coffee company, in various positions, and most recently served as Senior Vice President and Chief Operating Officer. Mr. Kassar also served</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60" w:type="dxa"/>
            <w:vAlign w:val="bottom"/>
          </w:tcPr>
          <w:p>
            <w:pPr>
              <w:ind w:left="300"/>
              <w:spacing w:after="0"/>
              <w:rPr>
                <w:sz w:val="20"/>
                <w:szCs w:val="20"/>
                <w:color w:val="auto"/>
              </w:rPr>
            </w:pPr>
            <w:r>
              <w:rPr>
                <w:rFonts w:ascii="Arial" w:cs="Arial" w:eastAsia="Arial" w:hAnsi="Arial"/>
                <w:sz w:val="16"/>
                <w:szCs w:val="16"/>
                <w:color w:val="auto"/>
              </w:rPr>
              <w:t>•</w:t>
            </w:r>
          </w:p>
        </w:tc>
        <w:tc>
          <w:tcPr>
            <w:tcW w:w="940" w:type="dxa"/>
            <w:vAlign w:val="bottom"/>
            <w:gridSpan w:val="2"/>
          </w:tcPr>
          <w:p>
            <w:pPr>
              <w:ind w:left="20"/>
              <w:spacing w:after="0"/>
              <w:rPr>
                <w:sz w:val="20"/>
                <w:szCs w:val="20"/>
                <w:color w:val="auto"/>
              </w:rPr>
            </w:pPr>
            <w:r>
              <w:rPr>
                <w:rFonts w:ascii="Arial" w:cs="Arial" w:eastAsia="Arial" w:hAnsi="Arial"/>
                <w:sz w:val="16"/>
                <w:szCs w:val="16"/>
                <w:color w:val="auto"/>
                <w:w w:val="87"/>
              </w:rPr>
              <w:t>Compensation</w:t>
            </w:r>
          </w:p>
        </w:tc>
        <w:tc>
          <w:tcPr>
            <w:tcW w:w="9900" w:type="dxa"/>
            <w:vAlign w:val="bottom"/>
          </w:tcPr>
          <w:p>
            <w:pPr>
              <w:ind w:left="160"/>
              <w:spacing w:after="0"/>
              <w:rPr>
                <w:sz w:val="20"/>
                <w:szCs w:val="20"/>
                <w:color w:val="auto"/>
              </w:rPr>
            </w:pPr>
            <w:r>
              <w:rPr>
                <w:rFonts w:ascii="Arial" w:cs="Arial" w:eastAsia="Arial" w:hAnsi="Arial"/>
                <w:sz w:val="16"/>
                <w:szCs w:val="16"/>
                <w:color w:val="auto"/>
                <w:w w:val="93"/>
              </w:rPr>
              <w:t>as a director, member of the compensation committee and chairman of the audit committee of Vaughan Foods, Inc., a Nasdaq company until March</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900" w:type="dxa"/>
            <w:vAlign w:val="bottom"/>
          </w:tcPr>
          <w:p>
            <w:pPr>
              <w:ind w:left="160"/>
              <w:spacing w:after="0"/>
              <w:rPr>
                <w:sz w:val="20"/>
                <w:szCs w:val="20"/>
                <w:color w:val="auto"/>
              </w:rPr>
            </w:pPr>
            <w:r>
              <w:rPr>
                <w:rFonts w:ascii="Arial" w:cs="Arial" w:eastAsia="Arial" w:hAnsi="Arial"/>
                <w:sz w:val="16"/>
                <w:szCs w:val="16"/>
                <w:color w:val="auto"/>
                <w:w w:val="91"/>
              </w:rPr>
              <w:t>2010, which was sold in October 2011. Until March 2010, Mr. Kassar also served as a director, member of the compensation committee and chairman</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60" w:type="dxa"/>
            <w:vAlign w:val="bottom"/>
          </w:tcPr>
          <w:p>
            <w:pPr>
              <w:ind w:left="300"/>
              <w:spacing w:after="0"/>
              <w:rPr>
                <w:sz w:val="20"/>
                <w:szCs w:val="20"/>
                <w:color w:val="auto"/>
              </w:rPr>
            </w:pPr>
            <w:r>
              <w:rPr>
                <w:rFonts w:ascii="Arial" w:cs="Arial" w:eastAsia="Arial" w:hAnsi="Arial"/>
                <w:sz w:val="16"/>
                <w:szCs w:val="16"/>
                <w:color w:val="auto"/>
              </w:rPr>
              <w:t>•</w:t>
            </w:r>
          </w:p>
        </w:tc>
        <w:tc>
          <w:tcPr>
            <w:tcW w:w="940" w:type="dxa"/>
            <w:vAlign w:val="bottom"/>
            <w:gridSpan w:val="2"/>
          </w:tcPr>
          <w:p>
            <w:pPr>
              <w:ind w:left="20"/>
              <w:spacing w:after="0"/>
              <w:rPr>
                <w:sz w:val="20"/>
                <w:szCs w:val="20"/>
                <w:color w:val="auto"/>
              </w:rPr>
            </w:pPr>
            <w:r>
              <w:rPr>
                <w:rFonts w:ascii="Arial" w:cs="Arial" w:eastAsia="Arial" w:hAnsi="Arial"/>
                <w:sz w:val="16"/>
                <w:szCs w:val="16"/>
                <w:color w:val="auto"/>
              </w:rPr>
              <w:t>Governance</w:t>
            </w:r>
          </w:p>
        </w:tc>
        <w:tc>
          <w:tcPr>
            <w:tcW w:w="9900" w:type="dxa"/>
            <w:vAlign w:val="bottom"/>
          </w:tcPr>
          <w:p>
            <w:pPr>
              <w:ind w:left="160"/>
              <w:spacing w:after="0"/>
              <w:rPr>
                <w:sz w:val="20"/>
                <w:szCs w:val="20"/>
                <w:color w:val="auto"/>
              </w:rPr>
            </w:pPr>
            <w:r>
              <w:rPr>
                <w:rFonts w:ascii="Arial" w:cs="Arial" w:eastAsia="Arial" w:hAnsi="Arial"/>
                <w:sz w:val="16"/>
                <w:szCs w:val="16"/>
                <w:color w:val="auto"/>
                <w:w w:val="95"/>
              </w:rPr>
              <w:t>of the audit committee of Velocity Express, Inc., a Nasdaq company until August 2009, which was sold in November 2009. Mr. Kassar is the first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900" w:type="dxa"/>
            <w:vAlign w:val="bottom"/>
          </w:tcPr>
          <w:p>
            <w:pPr>
              <w:ind w:left="160"/>
              <w:spacing w:after="0"/>
              <w:rPr>
                <w:sz w:val="20"/>
                <w:szCs w:val="20"/>
                <w:color w:val="auto"/>
              </w:rPr>
            </w:pPr>
            <w:r>
              <w:rPr>
                <w:rFonts w:ascii="Arial" w:cs="Arial" w:eastAsia="Arial" w:hAnsi="Arial"/>
                <w:sz w:val="16"/>
                <w:szCs w:val="16"/>
                <w:color w:val="auto"/>
              </w:rPr>
              <w:t>cousin of Michael J. Kasbar, our Chairman, President and Chief Executive Officer.</w:t>
            </w:r>
          </w:p>
        </w:tc>
        <w:tc>
          <w:tcPr>
            <w:tcW w:w="0" w:type="dxa"/>
            <w:vAlign w:val="bottom"/>
          </w:tcPr>
          <w:p>
            <w:pPr>
              <w:spacing w:after="0"/>
              <w:rPr>
                <w:sz w:val="1"/>
                <w:szCs w:val="1"/>
                <w:color w:val="auto"/>
              </w:rPr>
            </w:pPr>
          </w:p>
        </w:tc>
      </w:tr>
    </w:tbl>
    <w:p>
      <w:pPr>
        <w:ind w:left="600" w:hanging="273"/>
        <w:spacing w:after="0"/>
        <w:tabs>
          <w:tab w:leader="none" w:pos="6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Technology</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480" w:type="dxa"/>
            <w:vAlign w:val="bottom"/>
          </w:tcPr>
          <w:p>
            <w:pPr>
              <w:ind w:left="600"/>
              <w:spacing w:after="0"/>
              <w:rPr>
                <w:sz w:val="20"/>
                <w:szCs w:val="20"/>
                <w:color w:val="auto"/>
              </w:rPr>
            </w:pPr>
            <w:r>
              <w:rPr>
                <w:rFonts w:ascii="Arial" w:cs="Arial" w:eastAsia="Arial" w:hAnsi="Arial"/>
                <w:sz w:val="16"/>
                <w:szCs w:val="16"/>
                <w:color w:val="auto"/>
              </w:rPr>
              <w:t>and</w:t>
            </w:r>
          </w:p>
        </w:tc>
        <w:tc>
          <w:tcPr>
            <w:tcW w:w="9940" w:type="dxa"/>
            <w:vAlign w:val="bottom"/>
          </w:tcPr>
          <w:p>
            <w:pPr>
              <w:ind w:left="200"/>
              <w:spacing w:after="0"/>
              <w:rPr>
                <w:sz w:val="20"/>
                <w:szCs w:val="20"/>
                <w:color w:val="auto"/>
              </w:rPr>
            </w:pPr>
            <w:r>
              <w:rPr>
                <w:rFonts w:ascii="Arial" w:cs="Arial" w:eastAsia="Arial" w:hAnsi="Arial"/>
                <w:sz w:val="16"/>
                <w:szCs w:val="16"/>
                <w:i w:val="1"/>
                <w:iCs w:val="1"/>
                <w:color w:val="auto"/>
                <w:w w:val="90"/>
              </w:rPr>
              <w:t>Mr. Kassar brings to the Board his extensive executive experience in brand management, consumer products and corporate finance and has significant</w:t>
            </w:r>
          </w:p>
        </w:tc>
      </w:tr>
      <w:tr>
        <w:trPr>
          <w:trHeight w:val="205"/>
        </w:trPr>
        <w:tc>
          <w:tcPr>
            <w:tcW w:w="1480" w:type="dxa"/>
            <w:vAlign w:val="bottom"/>
          </w:tcPr>
          <w:p>
            <w:pPr>
              <w:ind w:left="600"/>
              <w:spacing w:after="0"/>
              <w:rPr>
                <w:sz w:val="20"/>
                <w:szCs w:val="20"/>
                <w:color w:val="auto"/>
              </w:rPr>
            </w:pPr>
            <w:r>
              <w:rPr>
                <w:rFonts w:ascii="Arial" w:cs="Arial" w:eastAsia="Arial" w:hAnsi="Arial"/>
                <w:sz w:val="16"/>
                <w:szCs w:val="16"/>
                <w:color w:val="auto"/>
              </w:rPr>
              <w:t>Operations</w:t>
            </w:r>
          </w:p>
        </w:tc>
        <w:tc>
          <w:tcPr>
            <w:tcW w:w="9940" w:type="dxa"/>
            <w:vAlign w:val="bottom"/>
          </w:tcPr>
          <w:p>
            <w:pPr>
              <w:ind w:left="200"/>
              <w:spacing w:after="0"/>
              <w:rPr>
                <w:sz w:val="20"/>
                <w:szCs w:val="20"/>
                <w:color w:val="auto"/>
              </w:rPr>
            </w:pPr>
            <w:r>
              <w:rPr>
                <w:rFonts w:ascii="Arial" w:cs="Arial" w:eastAsia="Arial" w:hAnsi="Arial"/>
                <w:sz w:val="16"/>
                <w:szCs w:val="16"/>
                <w:i w:val="1"/>
                <w:iCs w:val="1"/>
                <w:color w:val="auto"/>
              </w:rPr>
              <w:t>experience as a senior finance executive.</w:t>
            </w:r>
          </w:p>
        </w:tc>
      </w:tr>
      <w:tr>
        <w:trPr>
          <w:trHeight w:val="432"/>
        </w:trPr>
        <w:tc>
          <w:tcPr>
            <w:tcW w:w="1480" w:type="dxa"/>
            <w:vAlign w:val="bottom"/>
          </w:tcPr>
          <w:p>
            <w:pPr>
              <w:spacing w:after="0"/>
              <w:rPr>
                <w:sz w:val="24"/>
                <w:szCs w:val="24"/>
                <w:color w:val="auto"/>
              </w:rPr>
            </w:pPr>
          </w:p>
        </w:tc>
        <w:tc>
          <w:tcPr>
            <w:tcW w:w="9940" w:type="dxa"/>
            <w:vAlign w:val="bottom"/>
          </w:tcPr>
          <w:p>
            <w:pPr>
              <w:ind w:left="5500"/>
              <w:spacing w:after="0"/>
              <w:rPr>
                <w:sz w:val="20"/>
                <w:szCs w:val="20"/>
                <w:color w:val="auto"/>
              </w:rPr>
            </w:pPr>
            <w:r>
              <w:rPr>
                <w:rFonts w:ascii="Arial" w:cs="Arial" w:eastAsia="Arial" w:hAnsi="Arial"/>
                <w:sz w:val="16"/>
                <w:szCs w:val="16"/>
                <w:b w:val="1"/>
                <w:bCs w:val="1"/>
                <w:color w:val="0048E0"/>
                <w:w w:val="95"/>
              </w:rPr>
              <w:t xml:space="preserve">World Fuel Services Corporation   </w:t>
            </w:r>
            <w:r>
              <w:rPr>
                <w:rFonts w:ascii="Arial" w:cs="Arial" w:eastAsia="Arial" w:hAnsi="Arial"/>
                <w:sz w:val="32"/>
                <w:szCs w:val="32"/>
                <w:b w:val="1"/>
                <w:bCs w:val="1"/>
                <w:color w:val="000000"/>
                <w:w w:val="95"/>
                <w:vertAlign w:val="subscript"/>
              </w:rPr>
              <w:t>|</w:t>
            </w:r>
            <w:r>
              <w:rPr>
                <w:rFonts w:ascii="Arial" w:cs="Arial" w:eastAsia="Arial" w:hAnsi="Arial"/>
                <w:sz w:val="16"/>
                <w:szCs w:val="16"/>
                <w:b w:val="1"/>
                <w:bCs w:val="1"/>
                <w:color w:val="0048E0"/>
                <w:w w:val="95"/>
              </w:rPr>
              <w:t xml:space="preserve">  </w:t>
            </w:r>
            <w:r>
              <w:rPr>
                <w:rFonts w:ascii="Arial" w:cs="Arial" w:eastAsia="Arial" w:hAnsi="Arial"/>
                <w:sz w:val="16"/>
                <w:szCs w:val="16"/>
                <w:color w:val="000000"/>
                <w:w w:val="95"/>
              </w:rPr>
              <w:t>2018 Proxy Statement  10</w:t>
            </w:r>
          </w:p>
        </w:tc>
      </w:tr>
      <w:tr>
        <w:trPr>
          <w:trHeight w:val="170"/>
        </w:trPr>
        <w:tc>
          <w:tcPr>
            <w:tcW w:w="1480" w:type="dxa"/>
            <w:vAlign w:val="bottom"/>
            <w:tcBorders>
              <w:bottom w:val="single" w:sz="8" w:color="808080"/>
            </w:tcBorders>
          </w:tcPr>
          <w:p>
            <w:pPr>
              <w:spacing w:after="0"/>
              <w:rPr>
                <w:sz w:val="14"/>
                <w:szCs w:val="14"/>
                <w:color w:val="auto"/>
              </w:rPr>
            </w:pPr>
          </w:p>
        </w:tc>
        <w:tc>
          <w:tcPr>
            <w:tcW w:w="994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-13335</wp:posOffset>
            </wp:positionV>
            <wp:extent cx="12700"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84"/>
        </w:trPr>
        <w:tc>
          <w:tcPr>
            <w:tcW w:w="1140" w:type="dxa"/>
            <w:vAlign w:val="bottom"/>
            <w:tcBorders>
              <w:bottom w:val="single" w:sz="8" w:color="0000EE"/>
            </w:tcBorders>
            <w:gridSpan w:val="3"/>
          </w:tcPr>
          <w:p>
            <w:pPr>
              <w:spacing w:after="0"/>
              <w:rPr>
                <w:rFonts w:ascii="Arial" w:cs="Arial" w:eastAsia="Arial" w:hAnsi="Arial"/>
                <w:sz w:val="16"/>
                <w:szCs w:val="16"/>
                <w:color w:val="0000EE"/>
                <w:w w:val="88"/>
              </w:rPr>
            </w:pPr>
            <w:hyperlink w:anchor="page5">
              <w:r>
                <w:rPr>
                  <w:rFonts w:ascii="Arial" w:cs="Arial" w:eastAsia="Arial" w:hAnsi="Arial"/>
                  <w:sz w:val="16"/>
                  <w:szCs w:val="16"/>
                  <w:color w:val="0000EE"/>
                  <w:w w:val="88"/>
                </w:rPr>
                <w:t>Table of Contents</w:t>
              </w:r>
            </w:hyperlink>
          </w:p>
        </w:tc>
        <w:tc>
          <w:tcPr>
            <w:tcW w:w="380" w:type="dxa"/>
            <w:vAlign w:val="bottom"/>
          </w:tcPr>
          <w:p>
            <w:pPr>
              <w:spacing w:after="0"/>
              <w:rPr>
                <w:sz w:val="16"/>
                <w:szCs w:val="16"/>
                <w:color w:val="auto"/>
              </w:rPr>
            </w:pPr>
          </w:p>
        </w:tc>
        <w:tc>
          <w:tcPr>
            <w:tcW w:w="9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0"/>
        </w:trPr>
        <w:tc>
          <w:tcPr>
            <w:tcW w:w="1520" w:type="dxa"/>
            <w:vAlign w:val="bottom"/>
            <w:tcBorders>
              <w:bottom w:val="single" w:sz="8" w:color="auto"/>
            </w:tcBorders>
            <w:gridSpan w:val="4"/>
          </w:tcPr>
          <w:p>
            <w:pPr>
              <w:spacing w:after="0"/>
              <w:rPr>
                <w:sz w:val="20"/>
                <w:szCs w:val="20"/>
                <w:color w:val="auto"/>
              </w:rPr>
            </w:pPr>
            <w:r>
              <w:rPr>
                <w:rFonts w:ascii="Arial" w:cs="Arial" w:eastAsia="Arial" w:hAnsi="Arial"/>
                <w:sz w:val="16"/>
                <w:szCs w:val="16"/>
                <w:b w:val="1"/>
                <w:bCs w:val="1"/>
                <w:color w:val="auto"/>
              </w:rPr>
              <w:t>JOHN L. MANLEY</w:t>
            </w:r>
          </w:p>
        </w:tc>
        <w:tc>
          <w:tcPr>
            <w:tcW w:w="9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580" w:type="dxa"/>
            <w:vAlign w:val="bottom"/>
            <w:gridSpan w:val="2"/>
          </w:tcPr>
          <w:p>
            <w:pPr>
              <w:spacing w:after="0" w:line="178" w:lineRule="exact"/>
              <w:rPr>
                <w:sz w:val="20"/>
                <w:szCs w:val="20"/>
                <w:color w:val="auto"/>
              </w:rPr>
            </w:pPr>
            <w:r>
              <w:rPr>
                <w:rFonts w:ascii="Arial" w:cs="Arial" w:eastAsia="Arial" w:hAnsi="Arial"/>
                <w:sz w:val="16"/>
                <w:szCs w:val="16"/>
                <w:b w:val="1"/>
                <w:bCs w:val="1"/>
                <w:i w:val="1"/>
                <w:iCs w:val="1"/>
                <w:color w:val="auto"/>
                <w:w w:val="91"/>
              </w:rPr>
              <w:t>Director</w:t>
            </w:r>
          </w:p>
        </w:tc>
        <w:tc>
          <w:tcPr>
            <w:tcW w:w="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900" w:type="dxa"/>
            <w:vAlign w:val="bottom"/>
          </w:tcPr>
          <w:p>
            <w:pPr>
              <w:ind w:left="160"/>
              <w:spacing w:after="0" w:line="178" w:lineRule="exact"/>
              <w:rPr>
                <w:sz w:val="20"/>
                <w:szCs w:val="20"/>
                <w:color w:val="auto"/>
              </w:rPr>
            </w:pPr>
            <w:r>
              <w:rPr>
                <w:rFonts w:ascii="Arial" w:cs="Arial" w:eastAsia="Arial" w:hAnsi="Arial"/>
                <w:sz w:val="16"/>
                <w:szCs w:val="16"/>
                <w:color w:val="auto"/>
                <w:w w:val="95"/>
              </w:rPr>
              <w:t>Mr. Manley has served as our director since October 2010. Mr. Manley retired from Deloitte &amp; Touche LLP in 2009 after more than 27 years as a</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500" w:type="dxa"/>
            <w:vAlign w:val="bottom"/>
            <w:gridSpan w:val="3"/>
          </w:tcPr>
          <w:p>
            <w:pPr>
              <w:ind w:left="140"/>
              <w:spacing w:after="0"/>
              <w:rPr>
                <w:sz w:val="20"/>
                <w:szCs w:val="20"/>
                <w:color w:val="auto"/>
              </w:rPr>
            </w:pPr>
            <w:r>
              <w:rPr>
                <w:rFonts w:ascii="Arial" w:cs="Arial" w:eastAsia="Arial" w:hAnsi="Arial"/>
                <w:sz w:val="16"/>
                <w:szCs w:val="16"/>
                <w:b w:val="1"/>
                <w:bCs w:val="1"/>
                <w:color w:val="auto"/>
              </w:rPr>
              <w:t>Age: 69</w:t>
            </w:r>
          </w:p>
        </w:tc>
        <w:tc>
          <w:tcPr>
            <w:tcW w:w="9900" w:type="dxa"/>
            <w:vAlign w:val="bottom"/>
          </w:tcPr>
          <w:p>
            <w:pPr>
              <w:ind w:left="160"/>
              <w:spacing w:after="0"/>
              <w:rPr>
                <w:sz w:val="20"/>
                <w:szCs w:val="20"/>
                <w:color w:val="auto"/>
              </w:rPr>
            </w:pPr>
            <w:r>
              <w:rPr>
                <w:rFonts w:ascii="Arial" w:cs="Arial" w:eastAsia="Arial" w:hAnsi="Arial"/>
                <w:sz w:val="16"/>
                <w:szCs w:val="16"/>
                <w:color w:val="auto"/>
                <w:w w:val="93"/>
              </w:rPr>
              <w:t>partner, the last three years of which Mr. Manley was Managing Partner of Deloitte's Northeast Region Audit and Enterprise Risk Services Practice.</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500" w:type="dxa"/>
            <w:vAlign w:val="bottom"/>
            <w:gridSpan w:val="3"/>
            <w:vMerge w:val="restart"/>
          </w:tcPr>
          <w:p>
            <w:pPr>
              <w:ind w:left="140"/>
              <w:spacing w:after="0"/>
              <w:rPr>
                <w:sz w:val="20"/>
                <w:szCs w:val="20"/>
                <w:color w:val="auto"/>
              </w:rPr>
            </w:pPr>
            <w:r>
              <w:rPr>
                <w:rFonts w:ascii="Arial" w:cs="Arial" w:eastAsia="Arial" w:hAnsi="Arial"/>
                <w:sz w:val="16"/>
                <w:szCs w:val="16"/>
                <w:b w:val="1"/>
                <w:bCs w:val="1"/>
                <w:color w:val="auto"/>
              </w:rPr>
              <w:t>Director Since:</w:t>
            </w:r>
          </w:p>
        </w:tc>
        <w:tc>
          <w:tcPr>
            <w:tcW w:w="9900" w:type="dxa"/>
            <w:vAlign w:val="bottom"/>
          </w:tcPr>
          <w:p>
            <w:pPr>
              <w:ind w:left="160"/>
              <w:spacing w:after="0"/>
              <w:rPr>
                <w:sz w:val="20"/>
                <w:szCs w:val="20"/>
                <w:color w:val="auto"/>
              </w:rPr>
            </w:pPr>
            <w:r>
              <w:rPr>
                <w:rFonts w:ascii="Arial" w:cs="Arial" w:eastAsia="Arial" w:hAnsi="Arial"/>
                <w:sz w:val="16"/>
                <w:szCs w:val="16"/>
                <w:color w:val="auto"/>
                <w:w w:val="92"/>
              </w:rPr>
              <w:t>Mr. Manley founded and was the National Director of Deloitte's Regulatory Consulting Practice, which included practices in financial services, health</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500" w:type="dxa"/>
            <w:vAlign w:val="bottom"/>
            <w:gridSpan w:val="3"/>
            <w:vMerge w:val="continue"/>
          </w:tcPr>
          <w:p>
            <w:pPr>
              <w:spacing w:after="0"/>
              <w:rPr>
                <w:sz w:val="16"/>
                <w:szCs w:val="16"/>
                <w:color w:val="auto"/>
              </w:rPr>
            </w:pPr>
          </w:p>
        </w:tc>
        <w:tc>
          <w:tcPr>
            <w:tcW w:w="9900" w:type="dxa"/>
            <w:vAlign w:val="bottom"/>
          </w:tcPr>
          <w:p>
            <w:pPr>
              <w:ind w:left="160"/>
              <w:spacing w:after="0"/>
              <w:rPr>
                <w:sz w:val="20"/>
                <w:szCs w:val="20"/>
                <w:color w:val="auto"/>
              </w:rPr>
            </w:pPr>
            <w:r>
              <w:rPr>
                <w:rFonts w:ascii="Arial" w:cs="Arial" w:eastAsia="Arial" w:hAnsi="Arial"/>
                <w:sz w:val="16"/>
                <w:szCs w:val="16"/>
                <w:color w:val="auto"/>
                <w:w w:val="92"/>
              </w:rPr>
              <w:t>care, government contracting, energy and utilities. Before joining Deloitte, Mr. Manley had seven years of regulatory experience with the SEC and the</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500" w:type="dxa"/>
            <w:vAlign w:val="bottom"/>
            <w:gridSpan w:val="3"/>
          </w:tcPr>
          <w:p>
            <w:pPr>
              <w:ind w:left="140"/>
              <w:spacing w:after="0"/>
              <w:rPr>
                <w:sz w:val="20"/>
                <w:szCs w:val="20"/>
                <w:color w:val="auto"/>
              </w:rPr>
            </w:pPr>
            <w:r>
              <w:rPr>
                <w:rFonts w:ascii="Arial" w:cs="Arial" w:eastAsia="Arial" w:hAnsi="Arial"/>
                <w:sz w:val="16"/>
                <w:szCs w:val="16"/>
                <w:b w:val="1"/>
                <w:bCs w:val="1"/>
                <w:color w:val="auto"/>
                <w:w w:val="97"/>
              </w:rPr>
              <w:t>2010 Committees:</w:t>
            </w:r>
          </w:p>
        </w:tc>
        <w:tc>
          <w:tcPr>
            <w:tcW w:w="9900" w:type="dxa"/>
            <w:vAlign w:val="bottom"/>
          </w:tcPr>
          <w:p>
            <w:pPr>
              <w:ind w:left="160"/>
              <w:spacing w:after="0"/>
              <w:rPr>
                <w:sz w:val="20"/>
                <w:szCs w:val="20"/>
                <w:color w:val="auto"/>
              </w:rPr>
            </w:pPr>
            <w:r>
              <w:rPr>
                <w:rFonts w:ascii="Arial" w:cs="Arial" w:eastAsia="Arial" w:hAnsi="Arial"/>
                <w:sz w:val="16"/>
                <w:szCs w:val="16"/>
                <w:color w:val="auto"/>
                <w:w w:val="95"/>
              </w:rPr>
              <w:t>Commodity Futures Trading Commission, or CFTC, in various positions, including serving as the Chief Accountant and Director of the Division of</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900" w:type="dxa"/>
            <w:vAlign w:val="bottom"/>
          </w:tcPr>
          <w:p>
            <w:pPr>
              <w:ind w:left="160"/>
              <w:spacing w:after="0"/>
              <w:rPr>
                <w:sz w:val="20"/>
                <w:szCs w:val="20"/>
                <w:color w:val="auto"/>
              </w:rPr>
            </w:pPr>
            <w:r>
              <w:rPr>
                <w:rFonts w:ascii="Arial" w:cs="Arial" w:eastAsia="Arial" w:hAnsi="Arial"/>
                <w:sz w:val="16"/>
                <w:szCs w:val="16"/>
                <w:color w:val="auto"/>
                <w:w w:val="93"/>
              </w:rPr>
              <w:t>Trading and Markets of the CFTC. Mr. Manley served as a director and Chairman of the audit committee of UBS Trust Company N.A. from 2013 to</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60" w:type="dxa"/>
            <w:vAlign w:val="bottom"/>
          </w:tcPr>
          <w:p>
            <w:pPr>
              <w:ind w:left="300"/>
              <w:spacing w:after="0"/>
              <w:rPr>
                <w:sz w:val="20"/>
                <w:szCs w:val="20"/>
                <w:color w:val="auto"/>
              </w:rPr>
            </w:pPr>
            <w:r>
              <w:rPr>
                <w:rFonts w:ascii="Arial" w:cs="Arial" w:eastAsia="Arial" w:hAnsi="Arial"/>
                <w:sz w:val="16"/>
                <w:szCs w:val="16"/>
                <w:color w:val="auto"/>
              </w:rPr>
              <w:t>•</w:t>
            </w:r>
          </w:p>
        </w:tc>
        <w:tc>
          <w:tcPr>
            <w:tcW w:w="940" w:type="dxa"/>
            <w:vAlign w:val="bottom"/>
            <w:gridSpan w:val="2"/>
          </w:tcPr>
          <w:p>
            <w:pPr>
              <w:ind w:left="20"/>
              <w:spacing w:after="0"/>
              <w:rPr>
                <w:sz w:val="20"/>
                <w:szCs w:val="20"/>
                <w:color w:val="auto"/>
              </w:rPr>
            </w:pPr>
            <w:r>
              <w:rPr>
                <w:rFonts w:ascii="Arial" w:cs="Arial" w:eastAsia="Arial" w:hAnsi="Arial"/>
                <w:sz w:val="16"/>
                <w:szCs w:val="16"/>
                <w:color w:val="auto"/>
              </w:rPr>
              <w:t>Audit</w:t>
            </w:r>
          </w:p>
        </w:tc>
        <w:tc>
          <w:tcPr>
            <w:tcW w:w="9900" w:type="dxa"/>
            <w:vAlign w:val="bottom"/>
          </w:tcPr>
          <w:p>
            <w:pPr>
              <w:ind w:left="160"/>
              <w:spacing w:after="0"/>
              <w:rPr>
                <w:sz w:val="20"/>
                <w:szCs w:val="20"/>
                <w:color w:val="auto"/>
              </w:rPr>
            </w:pPr>
            <w:r>
              <w:rPr>
                <w:rFonts w:ascii="Arial" w:cs="Arial" w:eastAsia="Arial" w:hAnsi="Arial"/>
                <w:sz w:val="16"/>
                <w:szCs w:val="16"/>
                <w:color w:val="auto"/>
              </w:rPr>
              <w:t>August 2015. Mr. Manley is a Certified Public Accountant, on inactive status.</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40" w:type="dxa"/>
            <w:vAlign w:val="bottom"/>
            <w:gridSpan w:val="2"/>
          </w:tcPr>
          <w:p>
            <w:pPr>
              <w:ind w:left="20"/>
              <w:spacing w:after="0"/>
              <w:rPr>
                <w:sz w:val="20"/>
                <w:szCs w:val="20"/>
                <w:color w:val="auto"/>
              </w:rPr>
            </w:pPr>
            <w:r>
              <w:rPr>
                <w:rFonts w:ascii="Arial" w:cs="Arial" w:eastAsia="Arial" w:hAnsi="Arial"/>
                <w:sz w:val="16"/>
                <w:szCs w:val="16"/>
                <w:color w:val="auto"/>
              </w:rPr>
              <w:t>(Chairman)</w:t>
            </w:r>
          </w:p>
        </w:tc>
        <w:tc>
          <w:tcPr>
            <w:tcW w:w="9900" w:type="dxa"/>
            <w:vAlign w:val="bottom"/>
            <w:vMerge w:val="restart"/>
          </w:tcPr>
          <w:p>
            <w:pPr>
              <w:ind w:left="160"/>
              <w:spacing w:after="0"/>
              <w:rPr>
                <w:sz w:val="20"/>
                <w:szCs w:val="20"/>
                <w:color w:val="auto"/>
              </w:rPr>
            </w:pPr>
            <w:r>
              <w:rPr>
                <w:rFonts w:ascii="Arial" w:cs="Arial" w:eastAsia="Arial" w:hAnsi="Arial"/>
                <w:sz w:val="16"/>
                <w:szCs w:val="16"/>
                <w:i w:val="1"/>
                <w:iCs w:val="1"/>
                <w:color w:val="auto"/>
              </w:rPr>
              <w:t>Mr. Manley brings to the Board extensive executive management, financial reporting, risk management and regulatory experience.</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60" w:type="dxa"/>
            <w:vAlign w:val="bottom"/>
            <w:vMerge w:val="restart"/>
          </w:tcPr>
          <w:p>
            <w:pPr>
              <w:ind w:left="300"/>
              <w:spacing w:after="0"/>
              <w:rPr>
                <w:sz w:val="20"/>
                <w:szCs w:val="20"/>
                <w:color w:val="auto"/>
              </w:rPr>
            </w:pPr>
            <w:r>
              <w:rPr>
                <w:rFonts w:ascii="Arial" w:cs="Arial" w:eastAsia="Arial" w:hAnsi="Arial"/>
                <w:sz w:val="16"/>
                <w:szCs w:val="16"/>
                <w:color w:val="auto"/>
              </w:rPr>
              <w:t>•</w:t>
            </w:r>
          </w:p>
        </w:tc>
        <w:tc>
          <w:tcPr>
            <w:tcW w:w="940" w:type="dxa"/>
            <w:vAlign w:val="bottom"/>
            <w:gridSpan w:val="2"/>
            <w:vMerge w:val="restart"/>
          </w:tcPr>
          <w:p>
            <w:pPr>
              <w:ind w:left="20"/>
              <w:spacing w:after="0"/>
              <w:rPr>
                <w:sz w:val="20"/>
                <w:szCs w:val="20"/>
                <w:color w:val="auto"/>
              </w:rPr>
            </w:pPr>
            <w:r>
              <w:rPr>
                <w:rFonts w:ascii="Arial" w:cs="Arial" w:eastAsia="Arial" w:hAnsi="Arial"/>
                <w:sz w:val="16"/>
                <w:szCs w:val="16"/>
                <w:color w:val="auto"/>
              </w:rPr>
              <w:t>Governance</w:t>
            </w:r>
          </w:p>
        </w:tc>
        <w:tc>
          <w:tcPr>
            <w:tcW w:w="9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9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7"/>
        </w:trPr>
        <w:tc>
          <w:tcPr>
            <w:tcW w:w="20" w:type="dxa"/>
            <w:vAlign w:val="bottom"/>
          </w:tcPr>
          <w:p>
            <w:pPr>
              <w:spacing w:after="0"/>
              <w:rPr>
                <w:sz w:val="24"/>
                <w:szCs w:val="24"/>
                <w:color w:val="auto"/>
              </w:rPr>
            </w:pPr>
          </w:p>
        </w:tc>
        <w:tc>
          <w:tcPr>
            <w:tcW w:w="560" w:type="dxa"/>
            <w:vAlign w:val="bottom"/>
          </w:tcPr>
          <w:p>
            <w:pPr>
              <w:ind w:left="300"/>
              <w:spacing w:after="0"/>
              <w:rPr>
                <w:sz w:val="20"/>
                <w:szCs w:val="20"/>
                <w:color w:val="auto"/>
              </w:rPr>
            </w:pPr>
            <w:r>
              <w:rPr>
                <w:rFonts w:ascii="Arial" w:cs="Arial" w:eastAsia="Arial" w:hAnsi="Arial"/>
                <w:sz w:val="16"/>
                <w:szCs w:val="16"/>
                <w:color w:val="auto"/>
              </w:rPr>
              <w:t>•</w:t>
            </w:r>
          </w:p>
        </w:tc>
        <w:tc>
          <w:tcPr>
            <w:tcW w:w="940" w:type="dxa"/>
            <w:vAlign w:val="bottom"/>
            <w:gridSpan w:val="2"/>
          </w:tcPr>
          <w:p>
            <w:pPr>
              <w:ind w:left="20"/>
              <w:spacing w:after="0"/>
              <w:rPr>
                <w:sz w:val="20"/>
                <w:szCs w:val="20"/>
                <w:color w:val="auto"/>
              </w:rPr>
            </w:pPr>
            <w:r>
              <w:rPr>
                <w:rFonts w:ascii="Arial" w:cs="Arial" w:eastAsia="Arial" w:hAnsi="Arial"/>
                <w:sz w:val="16"/>
                <w:szCs w:val="16"/>
                <w:color w:val="auto"/>
              </w:rPr>
              <w:t>Technology</w:t>
            </w:r>
          </w:p>
        </w:tc>
        <w:tc>
          <w:tcPr>
            <w:tcW w:w="9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40" w:type="dxa"/>
            <w:vAlign w:val="bottom"/>
            <w:gridSpan w:val="2"/>
          </w:tcPr>
          <w:p>
            <w:pPr>
              <w:ind w:left="20"/>
              <w:spacing w:after="0"/>
              <w:rPr>
                <w:sz w:val="20"/>
                <w:szCs w:val="20"/>
                <w:color w:val="auto"/>
              </w:rPr>
            </w:pPr>
            <w:r>
              <w:rPr>
                <w:rFonts w:ascii="Arial" w:cs="Arial" w:eastAsia="Arial" w:hAnsi="Arial"/>
                <w:sz w:val="16"/>
                <w:szCs w:val="16"/>
                <w:color w:val="auto"/>
              </w:rPr>
              <w:t>and</w:t>
            </w:r>
          </w:p>
        </w:tc>
        <w:tc>
          <w:tcPr>
            <w:tcW w:w="9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40" w:type="dxa"/>
            <w:vAlign w:val="bottom"/>
            <w:gridSpan w:val="2"/>
          </w:tcPr>
          <w:p>
            <w:pPr>
              <w:ind w:left="20"/>
              <w:spacing w:after="0"/>
              <w:rPr>
                <w:sz w:val="20"/>
                <w:szCs w:val="20"/>
                <w:color w:val="auto"/>
              </w:rPr>
            </w:pPr>
            <w:r>
              <w:rPr>
                <w:rFonts w:ascii="Arial" w:cs="Arial" w:eastAsia="Arial" w:hAnsi="Arial"/>
                <w:sz w:val="16"/>
                <w:szCs w:val="16"/>
                <w:color w:val="auto"/>
              </w:rPr>
              <w:t>Operations</w:t>
            </w:r>
          </w:p>
        </w:tc>
        <w:tc>
          <w:tcPr>
            <w:tcW w:w="9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3"/>
        </w:trPr>
        <w:tc>
          <w:tcPr>
            <w:tcW w:w="1520" w:type="dxa"/>
            <w:vAlign w:val="bottom"/>
            <w:gridSpan w:val="4"/>
          </w:tcPr>
          <w:p>
            <w:pPr>
              <w:spacing w:after="0"/>
              <w:rPr>
                <w:sz w:val="20"/>
                <w:szCs w:val="20"/>
                <w:color w:val="auto"/>
              </w:rPr>
            </w:pPr>
            <w:r>
              <w:rPr>
                <w:rFonts w:ascii="Arial" w:cs="Arial" w:eastAsia="Arial" w:hAnsi="Arial"/>
                <w:sz w:val="16"/>
                <w:szCs w:val="16"/>
                <w:b w:val="1"/>
                <w:bCs w:val="1"/>
                <w:color w:val="auto"/>
              </w:rPr>
              <w:t>J. THOMAS</w:t>
            </w:r>
          </w:p>
        </w:tc>
        <w:tc>
          <w:tcPr>
            <w:tcW w:w="9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00" w:type="dxa"/>
            <w:vAlign w:val="bottom"/>
            <w:tcBorders>
              <w:bottom w:val="single" w:sz="8" w:color="auto"/>
            </w:tcBorders>
            <w:gridSpan w:val="3"/>
          </w:tcPr>
          <w:p>
            <w:pPr>
              <w:ind w:left="140"/>
              <w:spacing w:after="0"/>
              <w:rPr>
                <w:sz w:val="20"/>
                <w:szCs w:val="20"/>
                <w:color w:val="auto"/>
              </w:rPr>
            </w:pPr>
            <w:r>
              <w:rPr>
                <w:rFonts w:ascii="Arial" w:cs="Arial" w:eastAsia="Arial" w:hAnsi="Arial"/>
                <w:sz w:val="16"/>
                <w:szCs w:val="16"/>
                <w:b w:val="1"/>
                <w:bCs w:val="1"/>
                <w:color w:val="auto"/>
              </w:rPr>
              <w:t>PRESBY</w:t>
            </w:r>
          </w:p>
        </w:tc>
        <w:tc>
          <w:tcPr>
            <w:tcW w:w="9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60" w:type="dxa"/>
            <w:vAlign w:val="bottom"/>
          </w:tcPr>
          <w:p>
            <w:pPr>
              <w:spacing w:after="0" w:line="178" w:lineRule="exact"/>
              <w:rPr>
                <w:sz w:val="20"/>
                <w:szCs w:val="20"/>
                <w:color w:val="auto"/>
              </w:rPr>
            </w:pPr>
            <w:r>
              <w:rPr>
                <w:rFonts w:ascii="Arial" w:cs="Arial" w:eastAsia="Arial" w:hAnsi="Arial"/>
                <w:sz w:val="16"/>
                <w:szCs w:val="16"/>
                <w:b w:val="1"/>
                <w:bCs w:val="1"/>
                <w:i w:val="1"/>
                <w:iCs w:val="1"/>
                <w:color w:val="auto"/>
                <w:w w:val="82"/>
              </w:rPr>
              <w:t>Director,</w:t>
            </w:r>
          </w:p>
        </w:tc>
        <w:tc>
          <w:tcPr>
            <w:tcW w:w="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900" w:type="dxa"/>
            <w:vAlign w:val="bottom"/>
          </w:tcPr>
          <w:p>
            <w:pPr>
              <w:ind w:left="160"/>
              <w:spacing w:after="0" w:line="178" w:lineRule="exact"/>
              <w:rPr>
                <w:sz w:val="20"/>
                <w:szCs w:val="20"/>
                <w:color w:val="auto"/>
              </w:rPr>
            </w:pPr>
            <w:r>
              <w:rPr>
                <w:rFonts w:ascii="Arial" w:cs="Arial" w:eastAsia="Arial" w:hAnsi="Arial"/>
                <w:sz w:val="16"/>
                <w:szCs w:val="16"/>
                <w:color w:val="auto"/>
                <w:w w:val="92"/>
              </w:rPr>
              <w:t>Mr. Presby has served as our director since February 2003. Mr. Presby retired in 2002 as a partner in Deloitte Touche Tohmatsu, an accounting and</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500" w:type="dxa"/>
            <w:vAlign w:val="bottom"/>
            <w:gridSpan w:val="3"/>
          </w:tcPr>
          <w:p>
            <w:pPr>
              <w:ind w:left="140"/>
              <w:spacing w:after="0"/>
              <w:rPr>
                <w:sz w:val="20"/>
                <w:szCs w:val="20"/>
                <w:color w:val="auto"/>
              </w:rPr>
            </w:pPr>
            <w:r>
              <w:rPr>
                <w:rFonts w:ascii="Arial" w:cs="Arial" w:eastAsia="Arial" w:hAnsi="Arial"/>
                <w:sz w:val="16"/>
                <w:szCs w:val="16"/>
                <w:b w:val="1"/>
                <w:bCs w:val="1"/>
                <w:color w:val="auto"/>
              </w:rPr>
              <w:t>Age: 78</w:t>
            </w:r>
          </w:p>
        </w:tc>
        <w:tc>
          <w:tcPr>
            <w:tcW w:w="9900" w:type="dxa"/>
            <w:vAlign w:val="bottom"/>
          </w:tcPr>
          <w:p>
            <w:pPr>
              <w:ind w:left="160"/>
              <w:spacing w:after="0"/>
              <w:rPr>
                <w:sz w:val="20"/>
                <w:szCs w:val="20"/>
                <w:color w:val="auto"/>
              </w:rPr>
            </w:pPr>
            <w:r>
              <w:rPr>
                <w:rFonts w:ascii="Arial" w:cs="Arial" w:eastAsia="Arial" w:hAnsi="Arial"/>
                <w:sz w:val="16"/>
                <w:szCs w:val="16"/>
                <w:color w:val="auto"/>
                <w:w w:val="92"/>
              </w:rPr>
              <w:t>consulting firm. At Deloitte, Mr. Presby held numerous positions in the U.S. and abroad, including the posts of Deputy Chairman and Chief Operating</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500" w:type="dxa"/>
            <w:vAlign w:val="bottom"/>
            <w:gridSpan w:val="3"/>
            <w:vMerge w:val="restart"/>
          </w:tcPr>
          <w:p>
            <w:pPr>
              <w:ind w:left="140"/>
              <w:spacing w:after="0"/>
              <w:rPr>
                <w:sz w:val="20"/>
                <w:szCs w:val="20"/>
                <w:color w:val="auto"/>
              </w:rPr>
            </w:pPr>
            <w:r>
              <w:rPr>
                <w:rFonts w:ascii="Arial" w:cs="Arial" w:eastAsia="Arial" w:hAnsi="Arial"/>
                <w:sz w:val="16"/>
                <w:szCs w:val="16"/>
                <w:b w:val="1"/>
                <w:bCs w:val="1"/>
                <w:color w:val="auto"/>
              </w:rPr>
              <w:t>Director Since:</w:t>
            </w:r>
          </w:p>
        </w:tc>
        <w:tc>
          <w:tcPr>
            <w:tcW w:w="9900" w:type="dxa"/>
            <w:vAlign w:val="bottom"/>
          </w:tcPr>
          <w:p>
            <w:pPr>
              <w:ind w:left="160"/>
              <w:spacing w:after="0"/>
              <w:rPr>
                <w:sz w:val="20"/>
                <w:szCs w:val="20"/>
                <w:color w:val="auto"/>
              </w:rPr>
            </w:pPr>
            <w:r>
              <w:rPr>
                <w:rFonts w:ascii="Arial" w:cs="Arial" w:eastAsia="Arial" w:hAnsi="Arial"/>
                <w:sz w:val="16"/>
                <w:szCs w:val="16"/>
                <w:color w:val="auto"/>
                <w:w w:val="90"/>
              </w:rPr>
              <w:t>Officer. During his tenure as director of our Company, he served as chairman of the audit committee for eleven years and as Lead Independent Director</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500" w:type="dxa"/>
            <w:vAlign w:val="bottom"/>
            <w:gridSpan w:val="3"/>
            <w:vMerge w:val="continue"/>
          </w:tcPr>
          <w:p>
            <w:pPr>
              <w:spacing w:after="0"/>
              <w:rPr>
                <w:sz w:val="16"/>
                <w:szCs w:val="16"/>
                <w:color w:val="auto"/>
              </w:rPr>
            </w:pPr>
          </w:p>
        </w:tc>
        <w:tc>
          <w:tcPr>
            <w:tcW w:w="9900" w:type="dxa"/>
            <w:vAlign w:val="bottom"/>
          </w:tcPr>
          <w:p>
            <w:pPr>
              <w:ind w:left="160"/>
              <w:spacing w:after="0"/>
              <w:rPr>
                <w:sz w:val="20"/>
                <w:szCs w:val="20"/>
                <w:color w:val="auto"/>
              </w:rPr>
            </w:pPr>
            <w:r>
              <w:rPr>
                <w:rFonts w:ascii="Arial" w:cs="Arial" w:eastAsia="Arial" w:hAnsi="Arial"/>
                <w:sz w:val="16"/>
                <w:szCs w:val="16"/>
                <w:color w:val="auto"/>
                <w:w w:val="93"/>
              </w:rPr>
              <w:t>for three years. In addition, Mr. Presby now serves as a director of First Solar, Inc., where he chaired the audit committee for ten years. Previously,</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500" w:type="dxa"/>
            <w:vAlign w:val="bottom"/>
            <w:gridSpan w:val="3"/>
          </w:tcPr>
          <w:p>
            <w:pPr>
              <w:ind w:left="140"/>
              <w:spacing w:after="0"/>
              <w:rPr>
                <w:sz w:val="20"/>
                <w:szCs w:val="20"/>
                <w:color w:val="auto"/>
              </w:rPr>
            </w:pPr>
            <w:r>
              <w:rPr>
                <w:rFonts w:ascii="Arial" w:cs="Arial" w:eastAsia="Arial" w:hAnsi="Arial"/>
                <w:sz w:val="16"/>
                <w:szCs w:val="16"/>
                <w:b w:val="1"/>
                <w:bCs w:val="1"/>
                <w:color w:val="auto"/>
                <w:w w:val="97"/>
              </w:rPr>
              <w:t>2003 Committees:</w:t>
            </w:r>
          </w:p>
        </w:tc>
        <w:tc>
          <w:tcPr>
            <w:tcW w:w="9900" w:type="dxa"/>
            <w:vAlign w:val="bottom"/>
          </w:tcPr>
          <w:p>
            <w:pPr>
              <w:ind w:left="160"/>
              <w:spacing w:after="0"/>
              <w:rPr>
                <w:sz w:val="20"/>
                <w:szCs w:val="20"/>
                <w:color w:val="auto"/>
              </w:rPr>
            </w:pPr>
            <w:r>
              <w:rPr>
                <w:rFonts w:ascii="Arial" w:cs="Arial" w:eastAsia="Arial" w:hAnsi="Arial"/>
                <w:sz w:val="16"/>
                <w:szCs w:val="16"/>
                <w:color w:val="auto"/>
                <w:w w:val="92"/>
              </w:rPr>
              <w:t>Mr. Presby served as a director and chairman of the audit committee of the following public companies: American Eagle Outfitters, Inc., Exam Works</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900" w:type="dxa"/>
            <w:vAlign w:val="bottom"/>
          </w:tcPr>
          <w:p>
            <w:pPr>
              <w:ind w:left="160"/>
              <w:spacing w:after="0"/>
              <w:rPr>
                <w:sz w:val="20"/>
                <w:szCs w:val="20"/>
                <w:color w:val="auto"/>
              </w:rPr>
            </w:pPr>
            <w:r>
              <w:rPr>
                <w:rFonts w:ascii="Arial" w:cs="Arial" w:eastAsia="Arial" w:hAnsi="Arial"/>
                <w:sz w:val="16"/>
                <w:szCs w:val="16"/>
                <w:color w:val="auto"/>
                <w:w w:val="93"/>
              </w:rPr>
              <w:t>Group, Inc., Invesco Ltd., Practice Works Inc., Tiffany &amp; Co. and TurboChef Technologies, Inc. He also served as director and chairman of the audit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60" w:type="dxa"/>
            <w:vAlign w:val="bottom"/>
          </w:tcPr>
          <w:p>
            <w:pPr>
              <w:ind w:left="300"/>
              <w:spacing w:after="0"/>
              <w:rPr>
                <w:sz w:val="20"/>
                <w:szCs w:val="20"/>
                <w:color w:val="auto"/>
              </w:rPr>
            </w:pPr>
            <w:r>
              <w:rPr>
                <w:rFonts w:ascii="Arial" w:cs="Arial" w:eastAsia="Arial" w:hAnsi="Arial"/>
                <w:sz w:val="16"/>
                <w:szCs w:val="16"/>
                <w:color w:val="auto"/>
              </w:rPr>
              <w:t>•</w:t>
            </w:r>
          </w:p>
        </w:tc>
        <w:tc>
          <w:tcPr>
            <w:tcW w:w="940" w:type="dxa"/>
            <w:vAlign w:val="bottom"/>
            <w:gridSpan w:val="2"/>
          </w:tcPr>
          <w:p>
            <w:pPr>
              <w:ind w:left="20"/>
              <w:spacing w:after="0"/>
              <w:rPr>
                <w:sz w:val="20"/>
                <w:szCs w:val="20"/>
                <w:color w:val="auto"/>
              </w:rPr>
            </w:pPr>
            <w:r>
              <w:rPr>
                <w:rFonts w:ascii="Arial" w:cs="Arial" w:eastAsia="Arial" w:hAnsi="Arial"/>
                <w:sz w:val="16"/>
                <w:szCs w:val="16"/>
                <w:color w:val="auto"/>
              </w:rPr>
              <w:t>Audit</w:t>
            </w:r>
          </w:p>
        </w:tc>
        <w:tc>
          <w:tcPr>
            <w:tcW w:w="9900" w:type="dxa"/>
            <w:vAlign w:val="bottom"/>
          </w:tcPr>
          <w:p>
            <w:pPr>
              <w:ind w:left="160"/>
              <w:spacing w:after="0"/>
              <w:rPr>
                <w:sz w:val="20"/>
                <w:szCs w:val="20"/>
                <w:color w:val="auto"/>
              </w:rPr>
            </w:pPr>
            <w:r>
              <w:rPr>
                <w:rFonts w:ascii="Arial" w:cs="Arial" w:eastAsia="Arial" w:hAnsi="Arial"/>
                <w:sz w:val="16"/>
                <w:szCs w:val="16"/>
                <w:color w:val="auto"/>
                <w:w w:val="91"/>
              </w:rPr>
              <w:t>committee of the German Marshall Fund of the United States and as a trustee of Rutgers University and Montclair State University. Mr. Presby is a Life</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900" w:type="dxa"/>
            <w:vAlign w:val="bottom"/>
          </w:tcPr>
          <w:p>
            <w:pPr>
              <w:ind w:left="160"/>
              <w:spacing w:after="0"/>
              <w:rPr>
                <w:sz w:val="20"/>
                <w:szCs w:val="20"/>
                <w:color w:val="auto"/>
              </w:rPr>
            </w:pPr>
            <w:r>
              <w:rPr>
                <w:rFonts w:ascii="Arial" w:cs="Arial" w:eastAsia="Arial" w:hAnsi="Arial"/>
                <w:sz w:val="16"/>
                <w:szCs w:val="16"/>
                <w:color w:val="auto"/>
                <w:w w:val="92"/>
              </w:rPr>
              <w:t>Member of the American Institute of Certified Public Accountants and a Governance Fellow of the National Association of Corporate Directors, which</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60" w:type="dxa"/>
            <w:vAlign w:val="bottom"/>
          </w:tcPr>
          <w:p>
            <w:pPr>
              <w:ind w:left="300"/>
              <w:spacing w:after="0"/>
              <w:rPr>
                <w:sz w:val="20"/>
                <w:szCs w:val="20"/>
                <w:color w:val="auto"/>
              </w:rPr>
            </w:pPr>
            <w:r>
              <w:rPr>
                <w:rFonts w:ascii="Arial" w:cs="Arial" w:eastAsia="Arial" w:hAnsi="Arial"/>
                <w:sz w:val="16"/>
                <w:szCs w:val="16"/>
                <w:color w:val="auto"/>
              </w:rPr>
              <w:t>•</w:t>
            </w:r>
          </w:p>
        </w:tc>
        <w:tc>
          <w:tcPr>
            <w:tcW w:w="940" w:type="dxa"/>
            <w:vAlign w:val="bottom"/>
            <w:gridSpan w:val="2"/>
          </w:tcPr>
          <w:p>
            <w:pPr>
              <w:ind w:left="20"/>
              <w:spacing w:after="0"/>
              <w:rPr>
                <w:sz w:val="20"/>
                <w:szCs w:val="20"/>
                <w:color w:val="auto"/>
              </w:rPr>
            </w:pPr>
            <w:r>
              <w:rPr>
                <w:rFonts w:ascii="Arial" w:cs="Arial" w:eastAsia="Arial" w:hAnsi="Arial"/>
                <w:sz w:val="16"/>
                <w:szCs w:val="16"/>
                <w:color w:val="auto"/>
              </w:rPr>
              <w:t>Governance</w:t>
            </w:r>
          </w:p>
        </w:tc>
        <w:tc>
          <w:tcPr>
            <w:tcW w:w="9900" w:type="dxa"/>
            <w:vAlign w:val="bottom"/>
          </w:tcPr>
          <w:p>
            <w:pPr>
              <w:ind w:left="160"/>
              <w:spacing w:after="0"/>
              <w:rPr>
                <w:sz w:val="20"/>
                <w:szCs w:val="20"/>
                <w:color w:val="auto"/>
              </w:rPr>
            </w:pPr>
            <w:r>
              <w:rPr>
                <w:rFonts w:ascii="Arial" w:cs="Arial" w:eastAsia="Arial" w:hAnsi="Arial"/>
                <w:sz w:val="16"/>
                <w:szCs w:val="16"/>
                <w:color w:val="auto"/>
              </w:rPr>
              <w:t>named him as one of the top 100 directors of 2011 by the NACD.</w:t>
            </w:r>
          </w:p>
        </w:tc>
        <w:tc>
          <w:tcPr>
            <w:tcW w:w="0" w:type="dxa"/>
            <w:vAlign w:val="bottom"/>
          </w:tcPr>
          <w:p>
            <w:pPr>
              <w:spacing w:after="0"/>
              <w:rPr>
                <w:sz w:val="1"/>
                <w:szCs w:val="1"/>
                <w:color w:val="auto"/>
              </w:rPr>
            </w:pPr>
          </w:p>
        </w:tc>
      </w:tr>
    </w:tbl>
    <w:p>
      <w:pPr>
        <w:spacing w:after="0" w:line="190" w:lineRule="exact"/>
        <w:rPr>
          <w:sz w:val="20"/>
          <w:szCs w:val="20"/>
          <w:color w:val="auto"/>
        </w:rPr>
      </w:pPr>
    </w:p>
    <w:p>
      <w:pPr>
        <w:ind w:left="600" w:right="180" w:hanging="273"/>
        <w:spacing w:after="0" w:line="262" w:lineRule="auto"/>
        <w:tabs>
          <w:tab w:leader="none" w:pos="6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 xml:space="preserve">Nominating </w:t>
      </w:r>
      <w:r>
        <w:rPr>
          <w:rFonts w:ascii="Arial" w:cs="Arial" w:eastAsia="Arial" w:hAnsi="Arial"/>
          <w:sz w:val="16"/>
          <w:szCs w:val="16"/>
          <w:i w:val="1"/>
          <w:iCs w:val="1"/>
          <w:color w:val="auto"/>
        </w:rPr>
        <w:t>Mr. Presby brings to the Board extensive experience in finance and accounting as well as significant management experience in the U.S. and abroad.</w:t>
      </w:r>
      <w:r>
        <w:rPr>
          <w:rFonts w:ascii="Arial" w:cs="Arial" w:eastAsia="Arial" w:hAnsi="Arial"/>
          <w:sz w:val="16"/>
          <w:szCs w:val="16"/>
          <w:color w:val="auto"/>
        </w:rPr>
        <w:t xml:space="preserve"> Subcommittee</w:t>
      </w:r>
    </w:p>
    <w:p>
      <w:pPr>
        <w:jc w:val="right"/>
        <w:spacing w:after="0"/>
        <w:tabs>
          <w:tab w:leader="none" w:pos="1940" w:val="left"/>
          <w:tab w:leader="none" w:pos="1700" w:val="left"/>
          <w:tab w:leader="none" w:pos="12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3"/>
          <w:szCs w:val="33"/>
          <w:b w:val="1"/>
          <w:bCs w:val="1"/>
          <w:color w:val="auto"/>
          <w:vertAlign w:val="subscript"/>
        </w:rPr>
        <w:t>|</w:t>
      </w:r>
      <w:r>
        <w:rPr>
          <w:sz w:val="20"/>
          <w:szCs w:val="20"/>
          <w:color w:val="auto"/>
        </w:rPr>
        <w:tab/>
      </w:r>
      <w:r>
        <w:rPr>
          <w:rFonts w:ascii="Arial" w:cs="Arial" w:eastAsia="Arial" w:hAnsi="Arial"/>
          <w:sz w:val="16"/>
          <w:szCs w:val="16"/>
          <w:color w:val="auto"/>
        </w:rPr>
        <w:t>2018 Proxy Statement</w:t>
      </w:r>
      <w:r>
        <w:rPr>
          <w:sz w:val="20"/>
          <w:szCs w:val="20"/>
          <w:color w:val="auto"/>
        </w:rPr>
        <w:tab/>
      </w: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133350</wp:posOffset>
            </wp:positionV>
            <wp:extent cx="7263130" cy="203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84"/>
        </w:trPr>
        <w:tc>
          <w:tcPr>
            <w:tcW w:w="1140" w:type="dxa"/>
            <w:vAlign w:val="bottom"/>
            <w:tcBorders>
              <w:bottom w:val="single" w:sz="8" w:color="0000EE"/>
            </w:tcBorders>
            <w:gridSpan w:val="2"/>
          </w:tcPr>
          <w:p>
            <w:pPr>
              <w:spacing w:after="0"/>
              <w:rPr>
                <w:rFonts w:ascii="Arial" w:cs="Arial" w:eastAsia="Arial" w:hAnsi="Arial"/>
                <w:sz w:val="16"/>
                <w:szCs w:val="16"/>
                <w:color w:val="0000EE"/>
                <w:w w:val="88"/>
              </w:rPr>
            </w:pPr>
            <w:hyperlink w:anchor="page5">
              <w:r>
                <w:rPr>
                  <w:rFonts w:ascii="Arial" w:cs="Arial" w:eastAsia="Arial" w:hAnsi="Arial"/>
                  <w:sz w:val="16"/>
                  <w:szCs w:val="16"/>
                  <w:color w:val="0000EE"/>
                  <w:w w:val="88"/>
                </w:rPr>
                <w:t>Table of Contents</w:t>
              </w:r>
            </w:hyperlink>
          </w:p>
        </w:tc>
        <w:tc>
          <w:tcPr>
            <w:tcW w:w="380" w:type="dxa"/>
            <w:vAlign w:val="bottom"/>
          </w:tcPr>
          <w:p>
            <w:pPr>
              <w:spacing w:after="0"/>
              <w:rPr>
                <w:sz w:val="16"/>
                <w:szCs w:val="16"/>
                <w:color w:val="auto"/>
              </w:rPr>
            </w:pPr>
          </w:p>
        </w:tc>
        <w:tc>
          <w:tcPr>
            <w:tcW w:w="9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9"/>
        </w:trPr>
        <w:tc>
          <w:tcPr>
            <w:tcW w:w="1520" w:type="dxa"/>
            <w:vAlign w:val="bottom"/>
            <w:gridSpan w:val="3"/>
          </w:tcPr>
          <w:p>
            <w:pPr>
              <w:spacing w:after="0"/>
              <w:rPr>
                <w:sz w:val="20"/>
                <w:szCs w:val="20"/>
                <w:color w:val="auto"/>
              </w:rPr>
            </w:pPr>
            <w:r>
              <w:rPr>
                <w:rFonts w:ascii="Arial" w:cs="Arial" w:eastAsia="Arial" w:hAnsi="Arial"/>
                <w:sz w:val="16"/>
                <w:szCs w:val="16"/>
                <w:b w:val="1"/>
                <w:bCs w:val="1"/>
                <w:color w:val="auto"/>
              </w:rPr>
              <w:t>STEPHEN K.</w:t>
            </w:r>
          </w:p>
        </w:tc>
        <w:tc>
          <w:tcPr>
            <w:tcW w:w="9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00" w:type="dxa"/>
            <w:vAlign w:val="bottom"/>
            <w:tcBorders>
              <w:bottom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RODDENBERRY</w:t>
            </w:r>
          </w:p>
        </w:tc>
        <w:tc>
          <w:tcPr>
            <w:tcW w:w="9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500" w:type="dxa"/>
            <w:vAlign w:val="bottom"/>
            <w:gridSpan w:val="2"/>
          </w:tcPr>
          <w:p>
            <w:pPr>
              <w:spacing w:after="0" w:line="182" w:lineRule="exact"/>
              <w:rPr>
                <w:sz w:val="20"/>
                <w:szCs w:val="20"/>
                <w:color w:val="auto"/>
              </w:rPr>
            </w:pPr>
            <w:r>
              <w:rPr>
                <w:rFonts w:ascii="Arial" w:cs="Arial" w:eastAsia="Arial" w:hAnsi="Arial"/>
                <w:sz w:val="16"/>
                <w:szCs w:val="16"/>
                <w:b w:val="1"/>
                <w:bCs w:val="1"/>
                <w:i w:val="1"/>
                <w:iCs w:val="1"/>
                <w:color w:val="auto"/>
              </w:rPr>
              <w:t>Director,</w:t>
            </w:r>
          </w:p>
        </w:tc>
        <w:tc>
          <w:tcPr>
            <w:tcW w:w="9780" w:type="dxa"/>
            <w:vAlign w:val="bottom"/>
          </w:tcPr>
          <w:p>
            <w:pPr>
              <w:ind w:left="160"/>
              <w:spacing w:after="0" w:line="182" w:lineRule="exact"/>
              <w:rPr>
                <w:sz w:val="20"/>
                <w:szCs w:val="20"/>
                <w:color w:val="auto"/>
              </w:rPr>
            </w:pPr>
            <w:r>
              <w:rPr>
                <w:rFonts w:ascii="Arial" w:cs="Arial" w:eastAsia="Arial" w:hAnsi="Arial"/>
                <w:sz w:val="16"/>
                <w:szCs w:val="16"/>
                <w:color w:val="auto"/>
                <w:w w:val="95"/>
              </w:rPr>
              <w:t>Mr. Roddenberry has served as our director since June 2006. Mr. Roddenberry is a partner in the law firm of Akerman LLP where he has been</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500" w:type="dxa"/>
            <w:vAlign w:val="bottom"/>
            <w:gridSpan w:val="2"/>
          </w:tcPr>
          <w:p>
            <w:pPr>
              <w:ind w:left="140"/>
              <w:spacing w:after="0"/>
              <w:rPr>
                <w:sz w:val="20"/>
                <w:szCs w:val="20"/>
                <w:color w:val="auto"/>
              </w:rPr>
            </w:pPr>
            <w:r>
              <w:rPr>
                <w:rFonts w:ascii="Arial" w:cs="Arial" w:eastAsia="Arial" w:hAnsi="Arial"/>
                <w:sz w:val="16"/>
                <w:szCs w:val="16"/>
                <w:b w:val="1"/>
                <w:bCs w:val="1"/>
                <w:i w:val="1"/>
                <w:iCs w:val="1"/>
                <w:color w:val="auto"/>
                <w:w w:val="97"/>
              </w:rPr>
              <w:t>Lead Independent</w:t>
            </w:r>
          </w:p>
        </w:tc>
        <w:tc>
          <w:tcPr>
            <w:tcW w:w="9780" w:type="dxa"/>
            <w:vAlign w:val="bottom"/>
          </w:tcPr>
          <w:p>
            <w:pPr>
              <w:ind w:left="160"/>
              <w:spacing w:after="0"/>
              <w:rPr>
                <w:sz w:val="20"/>
                <w:szCs w:val="20"/>
                <w:color w:val="auto"/>
              </w:rPr>
            </w:pPr>
            <w:r>
              <w:rPr>
                <w:rFonts w:ascii="Arial" w:cs="Arial" w:eastAsia="Arial" w:hAnsi="Arial"/>
                <w:sz w:val="16"/>
                <w:szCs w:val="16"/>
                <w:color w:val="auto"/>
              </w:rPr>
              <w:t>employed as an attorney since 1988.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500" w:type="dxa"/>
            <w:vAlign w:val="bottom"/>
            <w:gridSpan w:val="2"/>
          </w:tcPr>
          <w:p>
            <w:pPr>
              <w:ind w:left="140"/>
              <w:spacing w:after="0"/>
              <w:rPr>
                <w:sz w:val="20"/>
                <w:szCs w:val="20"/>
                <w:color w:val="auto"/>
              </w:rPr>
            </w:pPr>
            <w:r>
              <w:rPr>
                <w:rFonts w:ascii="Arial" w:cs="Arial" w:eastAsia="Arial" w:hAnsi="Arial"/>
                <w:sz w:val="16"/>
                <w:szCs w:val="16"/>
                <w:b w:val="1"/>
                <w:bCs w:val="1"/>
                <w:i w:val="1"/>
                <w:iCs w:val="1"/>
                <w:color w:val="auto"/>
              </w:rPr>
              <w:t>Director</w:t>
            </w:r>
          </w:p>
        </w:tc>
        <w:tc>
          <w:tcPr>
            <w:tcW w:w="9780" w:type="dxa"/>
            <w:vAlign w:val="bottom"/>
            <w:vMerge w:val="restart"/>
          </w:tcPr>
          <w:p>
            <w:pPr>
              <w:ind w:left="160"/>
              <w:spacing w:after="0"/>
              <w:rPr>
                <w:sz w:val="20"/>
                <w:szCs w:val="20"/>
                <w:color w:val="auto"/>
              </w:rPr>
            </w:pPr>
            <w:r>
              <w:rPr>
                <w:rFonts w:ascii="Arial" w:cs="Arial" w:eastAsia="Arial" w:hAnsi="Arial"/>
                <w:sz w:val="16"/>
                <w:szCs w:val="16"/>
                <w:i w:val="1"/>
                <w:iCs w:val="1"/>
                <w:color w:val="auto"/>
                <w:w w:val="90"/>
              </w:rPr>
              <w:t>Mr. Roddenberry brings to the Board extensive experience in private equity mergers and acquisitions, investment management, venture capital, public</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50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Age: 69</w:t>
            </w:r>
          </w:p>
        </w:tc>
        <w:tc>
          <w:tcPr>
            <w:tcW w:w="9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500" w:type="dxa"/>
            <w:vAlign w:val="bottom"/>
            <w:gridSpan w:val="2"/>
            <w:vMerge w:val="continue"/>
          </w:tcPr>
          <w:p>
            <w:pPr>
              <w:spacing w:after="0"/>
              <w:rPr>
                <w:sz w:val="17"/>
                <w:szCs w:val="17"/>
                <w:color w:val="auto"/>
              </w:rPr>
            </w:pPr>
          </w:p>
        </w:tc>
        <w:tc>
          <w:tcPr>
            <w:tcW w:w="9780" w:type="dxa"/>
            <w:vAlign w:val="bottom"/>
          </w:tcPr>
          <w:p>
            <w:pPr>
              <w:ind w:left="160"/>
              <w:spacing w:after="0"/>
              <w:rPr>
                <w:sz w:val="20"/>
                <w:szCs w:val="20"/>
                <w:color w:val="auto"/>
              </w:rPr>
            </w:pPr>
            <w:r>
              <w:rPr>
                <w:rFonts w:ascii="Arial" w:cs="Arial" w:eastAsia="Arial" w:hAnsi="Arial"/>
                <w:sz w:val="16"/>
                <w:szCs w:val="16"/>
                <w:i w:val="1"/>
                <w:iCs w:val="1"/>
                <w:color w:val="auto"/>
              </w:rPr>
              <w:t>finance and securities.</w:t>
            </w:r>
          </w:p>
        </w:tc>
        <w:tc>
          <w:tcPr>
            <w:tcW w:w="0" w:type="dxa"/>
            <w:vAlign w:val="bottom"/>
          </w:tcPr>
          <w:p>
            <w:pPr>
              <w:spacing w:after="0"/>
              <w:rPr>
                <w:sz w:val="1"/>
                <w:szCs w:val="1"/>
                <w:color w:val="auto"/>
              </w:rPr>
            </w:pPr>
          </w:p>
        </w:tc>
      </w:tr>
      <w:tr>
        <w:trPr>
          <w:trHeight w:val="383"/>
        </w:trPr>
        <w:tc>
          <w:tcPr>
            <w:tcW w:w="20" w:type="dxa"/>
            <w:vAlign w:val="bottom"/>
          </w:tcPr>
          <w:p>
            <w:pPr>
              <w:spacing w:after="0"/>
              <w:rPr>
                <w:sz w:val="24"/>
                <w:szCs w:val="24"/>
                <w:color w:val="auto"/>
              </w:rPr>
            </w:pPr>
          </w:p>
        </w:tc>
        <w:tc>
          <w:tcPr>
            <w:tcW w:w="1500" w:type="dxa"/>
            <w:vAlign w:val="bottom"/>
            <w:gridSpan w:val="2"/>
          </w:tcPr>
          <w:p>
            <w:pPr>
              <w:ind w:left="140"/>
              <w:spacing w:after="0"/>
              <w:rPr>
                <w:sz w:val="20"/>
                <w:szCs w:val="20"/>
                <w:color w:val="auto"/>
              </w:rPr>
            </w:pPr>
            <w:r>
              <w:rPr>
                <w:rFonts w:ascii="Arial" w:cs="Arial" w:eastAsia="Arial" w:hAnsi="Arial"/>
                <w:sz w:val="16"/>
                <w:szCs w:val="16"/>
                <w:b w:val="1"/>
                <w:bCs w:val="1"/>
                <w:color w:val="auto"/>
              </w:rPr>
              <w:t>Director Since:</w:t>
            </w:r>
          </w:p>
        </w:tc>
        <w:tc>
          <w:tcPr>
            <w:tcW w:w="9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00" w:type="dxa"/>
            <w:vAlign w:val="bottom"/>
            <w:gridSpan w:val="2"/>
          </w:tcPr>
          <w:p>
            <w:pPr>
              <w:ind w:left="140"/>
              <w:spacing w:after="0"/>
              <w:rPr>
                <w:sz w:val="20"/>
                <w:szCs w:val="20"/>
                <w:color w:val="auto"/>
              </w:rPr>
            </w:pPr>
            <w:r>
              <w:rPr>
                <w:rFonts w:ascii="Arial" w:cs="Arial" w:eastAsia="Arial" w:hAnsi="Arial"/>
                <w:sz w:val="16"/>
                <w:szCs w:val="16"/>
                <w:b w:val="1"/>
                <w:bCs w:val="1"/>
                <w:color w:val="auto"/>
                <w:w w:val="97"/>
              </w:rPr>
              <w:t>2006 Committees:</w:t>
            </w:r>
          </w:p>
        </w:tc>
        <w:tc>
          <w:tcPr>
            <w:tcW w:w="97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ind w:left="600" w:right="10060" w:hanging="273"/>
        <w:spacing w:after="0" w:line="346" w:lineRule="auto"/>
        <w:tabs>
          <w:tab w:leader="none" w:pos="6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Governance (Chairman; Presiding Director)</w:t>
      </w:r>
    </w:p>
    <w:p>
      <w:pPr>
        <w:spacing w:after="0" w:line="124" w:lineRule="exact"/>
        <w:rPr>
          <w:rFonts w:ascii="Arial" w:cs="Arial" w:eastAsia="Arial" w:hAnsi="Arial"/>
          <w:sz w:val="13"/>
          <w:szCs w:val="13"/>
          <w:color w:val="auto"/>
        </w:rPr>
      </w:pPr>
    </w:p>
    <w:p>
      <w:pPr>
        <w:ind w:left="600" w:hanging="273"/>
        <w:spacing w:after="0"/>
        <w:tabs>
          <w:tab w:leader="none" w:pos="6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Compensation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5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PAUL H. STEBBINS</w:t>
            </w:r>
          </w:p>
        </w:tc>
        <w:tc>
          <w:tcPr>
            <w:tcW w:w="9900" w:type="dxa"/>
            <w:vAlign w:val="bottom"/>
          </w:tcPr>
          <w:p>
            <w:pPr>
              <w:spacing w:after="0"/>
              <w:rPr>
                <w:sz w:val="18"/>
                <w:szCs w:val="18"/>
                <w:color w:val="auto"/>
              </w:rPr>
            </w:pPr>
          </w:p>
        </w:tc>
      </w:tr>
      <w:tr>
        <w:trPr>
          <w:trHeight w:val="178"/>
        </w:trPr>
        <w:tc>
          <w:tcPr>
            <w:tcW w:w="1520" w:type="dxa"/>
            <w:vAlign w:val="bottom"/>
          </w:tcPr>
          <w:p>
            <w:pPr>
              <w:spacing w:after="0" w:line="178" w:lineRule="exact"/>
              <w:rPr>
                <w:sz w:val="20"/>
                <w:szCs w:val="20"/>
                <w:color w:val="auto"/>
              </w:rPr>
            </w:pPr>
            <w:r>
              <w:rPr>
                <w:rFonts w:ascii="Arial" w:cs="Arial" w:eastAsia="Arial" w:hAnsi="Arial"/>
                <w:sz w:val="16"/>
                <w:szCs w:val="16"/>
                <w:b w:val="1"/>
                <w:bCs w:val="1"/>
                <w:i w:val="1"/>
                <w:iCs w:val="1"/>
                <w:color w:val="auto"/>
              </w:rPr>
              <w:t>Chairman Emeritus</w:t>
            </w:r>
          </w:p>
        </w:tc>
        <w:tc>
          <w:tcPr>
            <w:tcW w:w="9900" w:type="dxa"/>
            <w:vAlign w:val="bottom"/>
          </w:tcPr>
          <w:p>
            <w:pPr>
              <w:ind w:left="160"/>
              <w:spacing w:after="0" w:line="178" w:lineRule="exact"/>
              <w:rPr>
                <w:sz w:val="20"/>
                <w:szCs w:val="20"/>
                <w:color w:val="auto"/>
              </w:rPr>
            </w:pPr>
            <w:r>
              <w:rPr>
                <w:rFonts w:ascii="Arial" w:cs="Arial" w:eastAsia="Arial" w:hAnsi="Arial"/>
                <w:sz w:val="16"/>
                <w:szCs w:val="16"/>
                <w:color w:val="auto"/>
                <w:w w:val="91"/>
              </w:rPr>
              <w:t>Mr. Stebbins has served as Chairman Emeritus since May 2014 and has served as our director since June 1995. Prior to his appointment as Chairman</w:t>
            </w:r>
          </w:p>
        </w:tc>
      </w:tr>
      <w:tr>
        <w:trPr>
          <w:trHeight w:val="197"/>
        </w:trPr>
        <w:tc>
          <w:tcPr>
            <w:tcW w:w="1520" w:type="dxa"/>
            <w:vAlign w:val="bottom"/>
          </w:tcPr>
          <w:p>
            <w:pPr>
              <w:ind w:left="160"/>
              <w:spacing w:after="0"/>
              <w:rPr>
                <w:sz w:val="20"/>
                <w:szCs w:val="20"/>
                <w:color w:val="auto"/>
              </w:rPr>
            </w:pPr>
            <w:r>
              <w:rPr>
                <w:rFonts w:ascii="Arial" w:cs="Arial" w:eastAsia="Arial" w:hAnsi="Arial"/>
                <w:sz w:val="16"/>
                <w:szCs w:val="16"/>
                <w:b w:val="1"/>
                <w:bCs w:val="1"/>
                <w:color w:val="auto"/>
              </w:rPr>
              <w:t>Age: 61</w:t>
            </w:r>
          </w:p>
        </w:tc>
        <w:tc>
          <w:tcPr>
            <w:tcW w:w="9900" w:type="dxa"/>
            <w:vAlign w:val="bottom"/>
          </w:tcPr>
          <w:p>
            <w:pPr>
              <w:ind w:left="160"/>
              <w:spacing w:after="0"/>
              <w:rPr>
                <w:sz w:val="20"/>
                <w:szCs w:val="20"/>
                <w:color w:val="auto"/>
              </w:rPr>
            </w:pPr>
            <w:r>
              <w:rPr>
                <w:rFonts w:ascii="Arial" w:cs="Arial" w:eastAsia="Arial" w:hAnsi="Arial"/>
                <w:sz w:val="16"/>
                <w:szCs w:val="16"/>
                <w:color w:val="auto"/>
                <w:w w:val="91"/>
              </w:rPr>
              <w:t>Emeritus, from January 2012 to May 2014, Mr. Stebbins served as Executive Chairman of the Board. From July 2002 to December 2011, he served as</w:t>
            </w:r>
          </w:p>
        </w:tc>
      </w:tr>
      <w:tr>
        <w:trPr>
          <w:trHeight w:val="197"/>
        </w:trPr>
        <w:tc>
          <w:tcPr>
            <w:tcW w:w="1520" w:type="dxa"/>
            <w:vAlign w:val="bottom"/>
          </w:tcPr>
          <w:p>
            <w:pPr>
              <w:ind w:left="160"/>
              <w:spacing w:after="0"/>
              <w:rPr>
                <w:sz w:val="20"/>
                <w:szCs w:val="20"/>
                <w:color w:val="auto"/>
              </w:rPr>
            </w:pPr>
            <w:r>
              <w:rPr>
                <w:rFonts w:ascii="Arial" w:cs="Arial" w:eastAsia="Arial" w:hAnsi="Arial"/>
                <w:sz w:val="16"/>
                <w:szCs w:val="16"/>
                <w:b w:val="1"/>
                <w:bCs w:val="1"/>
                <w:color w:val="auto"/>
              </w:rPr>
              <w:t>Director Since:</w:t>
            </w:r>
          </w:p>
        </w:tc>
        <w:tc>
          <w:tcPr>
            <w:tcW w:w="9900" w:type="dxa"/>
            <w:vAlign w:val="bottom"/>
          </w:tcPr>
          <w:p>
            <w:pPr>
              <w:ind w:left="160"/>
              <w:spacing w:after="0"/>
              <w:rPr>
                <w:sz w:val="20"/>
                <w:szCs w:val="20"/>
                <w:color w:val="auto"/>
              </w:rPr>
            </w:pPr>
            <w:r>
              <w:rPr>
                <w:rFonts w:ascii="Arial" w:cs="Arial" w:eastAsia="Arial" w:hAnsi="Arial"/>
                <w:sz w:val="16"/>
                <w:szCs w:val="16"/>
                <w:color w:val="auto"/>
                <w:w w:val="92"/>
              </w:rPr>
              <w:t>our Chairman of the Board and Chief Executive Officer and, from August 2000 to July 2002, he served as our President and Chief Operating Officer.</w:t>
            </w:r>
          </w:p>
        </w:tc>
      </w:tr>
      <w:tr>
        <w:trPr>
          <w:trHeight w:val="201"/>
        </w:trPr>
        <w:tc>
          <w:tcPr>
            <w:tcW w:w="1520" w:type="dxa"/>
            <w:vAlign w:val="bottom"/>
          </w:tcPr>
          <w:p>
            <w:pPr>
              <w:ind w:left="160"/>
              <w:spacing w:after="0"/>
              <w:rPr>
                <w:sz w:val="20"/>
                <w:szCs w:val="20"/>
                <w:color w:val="auto"/>
              </w:rPr>
            </w:pPr>
            <w:r>
              <w:rPr>
                <w:rFonts w:ascii="Arial" w:cs="Arial" w:eastAsia="Arial" w:hAnsi="Arial"/>
                <w:sz w:val="16"/>
                <w:szCs w:val="16"/>
                <w:b w:val="1"/>
                <w:bCs w:val="1"/>
                <w:color w:val="auto"/>
              </w:rPr>
              <w:t>1995</w:t>
            </w:r>
          </w:p>
        </w:tc>
        <w:tc>
          <w:tcPr>
            <w:tcW w:w="9900" w:type="dxa"/>
            <w:vAlign w:val="bottom"/>
          </w:tcPr>
          <w:p>
            <w:pPr>
              <w:ind w:left="160"/>
              <w:spacing w:after="0"/>
              <w:rPr>
                <w:sz w:val="20"/>
                <w:szCs w:val="20"/>
                <w:color w:val="auto"/>
              </w:rPr>
            </w:pPr>
            <w:r>
              <w:rPr>
                <w:rFonts w:ascii="Arial" w:cs="Arial" w:eastAsia="Arial" w:hAnsi="Arial"/>
                <w:sz w:val="16"/>
                <w:szCs w:val="16"/>
                <w:color w:val="auto"/>
                <w:w w:val="94"/>
              </w:rPr>
              <w:t>From January 1995 to August 2000, Mr. Stebbins served as President and Chief Operating Officer of World Fuel Services Americas, Inc. (formerly</w:t>
            </w:r>
          </w:p>
        </w:tc>
      </w:tr>
      <w:tr>
        <w:trPr>
          <w:trHeight w:val="197"/>
        </w:trPr>
        <w:tc>
          <w:tcPr>
            <w:tcW w:w="1520" w:type="dxa"/>
            <w:vAlign w:val="bottom"/>
          </w:tcPr>
          <w:p>
            <w:pPr>
              <w:spacing w:after="0"/>
              <w:rPr>
                <w:sz w:val="17"/>
                <w:szCs w:val="17"/>
                <w:color w:val="auto"/>
              </w:rPr>
            </w:pPr>
          </w:p>
        </w:tc>
        <w:tc>
          <w:tcPr>
            <w:tcW w:w="9900" w:type="dxa"/>
            <w:vAlign w:val="bottom"/>
          </w:tcPr>
          <w:p>
            <w:pPr>
              <w:ind w:left="160"/>
              <w:spacing w:after="0"/>
              <w:rPr>
                <w:sz w:val="20"/>
                <w:szCs w:val="20"/>
                <w:color w:val="auto"/>
              </w:rPr>
            </w:pPr>
            <w:r>
              <w:rPr>
                <w:rFonts w:ascii="Arial" w:cs="Arial" w:eastAsia="Arial" w:hAnsi="Arial"/>
                <w:sz w:val="16"/>
                <w:szCs w:val="16"/>
                <w:color w:val="auto"/>
                <w:w w:val="91"/>
              </w:rPr>
              <w:t>Trans-Tec Services, Inc.), at the time our principal subsidiary engaged in the marine fuel services business. From September 1985 to December 1994,</w:t>
            </w:r>
          </w:p>
        </w:tc>
      </w:tr>
      <w:tr>
        <w:trPr>
          <w:trHeight w:val="197"/>
        </w:trPr>
        <w:tc>
          <w:tcPr>
            <w:tcW w:w="1520" w:type="dxa"/>
            <w:vAlign w:val="bottom"/>
          </w:tcPr>
          <w:p>
            <w:pPr>
              <w:spacing w:after="0"/>
              <w:rPr>
                <w:sz w:val="17"/>
                <w:szCs w:val="17"/>
                <w:color w:val="auto"/>
              </w:rPr>
            </w:pPr>
          </w:p>
        </w:tc>
        <w:tc>
          <w:tcPr>
            <w:tcW w:w="9900" w:type="dxa"/>
            <w:vAlign w:val="bottom"/>
          </w:tcPr>
          <w:p>
            <w:pPr>
              <w:ind w:left="160"/>
              <w:spacing w:after="0"/>
              <w:rPr>
                <w:sz w:val="20"/>
                <w:szCs w:val="20"/>
                <w:color w:val="auto"/>
              </w:rPr>
            </w:pPr>
            <w:r>
              <w:rPr>
                <w:rFonts w:ascii="Arial" w:cs="Arial" w:eastAsia="Arial" w:hAnsi="Arial"/>
                <w:sz w:val="16"/>
                <w:szCs w:val="16"/>
                <w:color w:val="auto"/>
                <w:w w:val="95"/>
              </w:rPr>
              <w:t>Mr. Stebbins was an officer, shareholder and director of Trans-Tec Services, Inc., a global marine fuel services company, which Mr. Stebbins co-</w:t>
            </w:r>
          </w:p>
        </w:tc>
      </w:tr>
      <w:tr>
        <w:trPr>
          <w:trHeight w:val="197"/>
        </w:trPr>
        <w:tc>
          <w:tcPr>
            <w:tcW w:w="1520" w:type="dxa"/>
            <w:vAlign w:val="bottom"/>
          </w:tcPr>
          <w:p>
            <w:pPr>
              <w:spacing w:after="0"/>
              <w:rPr>
                <w:sz w:val="17"/>
                <w:szCs w:val="17"/>
                <w:color w:val="auto"/>
              </w:rPr>
            </w:pPr>
          </w:p>
        </w:tc>
        <w:tc>
          <w:tcPr>
            <w:tcW w:w="9900" w:type="dxa"/>
            <w:vAlign w:val="bottom"/>
          </w:tcPr>
          <w:p>
            <w:pPr>
              <w:ind w:left="160"/>
              <w:spacing w:after="0"/>
              <w:rPr>
                <w:sz w:val="20"/>
                <w:szCs w:val="20"/>
                <w:color w:val="auto"/>
              </w:rPr>
            </w:pPr>
            <w:r>
              <w:rPr>
                <w:rFonts w:ascii="Arial" w:cs="Arial" w:eastAsia="Arial" w:hAnsi="Arial"/>
                <w:sz w:val="16"/>
                <w:szCs w:val="16"/>
                <w:color w:val="auto"/>
                <w:w w:val="93"/>
              </w:rPr>
              <w:t>founded in 1985. In December 2006, Mr. Stebbins joined the board of directors of First Solar, Inc., a Nasdaq company, and currently serves as the</w:t>
            </w:r>
          </w:p>
        </w:tc>
      </w:tr>
      <w:tr>
        <w:trPr>
          <w:trHeight w:val="197"/>
        </w:trPr>
        <w:tc>
          <w:tcPr>
            <w:tcW w:w="1520" w:type="dxa"/>
            <w:vAlign w:val="bottom"/>
          </w:tcPr>
          <w:p>
            <w:pPr>
              <w:spacing w:after="0"/>
              <w:rPr>
                <w:sz w:val="17"/>
                <w:szCs w:val="17"/>
                <w:color w:val="auto"/>
              </w:rPr>
            </w:pPr>
          </w:p>
        </w:tc>
        <w:tc>
          <w:tcPr>
            <w:tcW w:w="9900" w:type="dxa"/>
            <w:vAlign w:val="bottom"/>
          </w:tcPr>
          <w:p>
            <w:pPr>
              <w:ind w:left="160"/>
              <w:spacing w:after="0"/>
              <w:rPr>
                <w:sz w:val="20"/>
                <w:szCs w:val="20"/>
                <w:color w:val="auto"/>
              </w:rPr>
            </w:pPr>
            <w:r>
              <w:rPr>
                <w:rFonts w:ascii="Arial" w:cs="Arial" w:eastAsia="Arial" w:hAnsi="Arial"/>
                <w:sz w:val="16"/>
                <w:szCs w:val="16"/>
                <w:color w:val="auto"/>
                <w:w w:val="93"/>
              </w:rPr>
              <w:t>chairman of the nominating and governance committee and a member of the audit and compensation committees. Mr. Stebbins is a member of the</w:t>
            </w:r>
          </w:p>
        </w:tc>
      </w:tr>
      <w:tr>
        <w:trPr>
          <w:trHeight w:val="197"/>
        </w:trPr>
        <w:tc>
          <w:tcPr>
            <w:tcW w:w="1520" w:type="dxa"/>
            <w:vAlign w:val="bottom"/>
          </w:tcPr>
          <w:p>
            <w:pPr>
              <w:spacing w:after="0"/>
              <w:rPr>
                <w:sz w:val="17"/>
                <w:szCs w:val="17"/>
                <w:color w:val="auto"/>
              </w:rPr>
            </w:pPr>
          </w:p>
        </w:tc>
        <w:tc>
          <w:tcPr>
            <w:tcW w:w="9900" w:type="dxa"/>
            <w:vAlign w:val="bottom"/>
          </w:tcPr>
          <w:p>
            <w:pPr>
              <w:ind w:left="160"/>
              <w:spacing w:after="0"/>
              <w:rPr>
                <w:sz w:val="20"/>
                <w:szCs w:val="20"/>
                <w:color w:val="auto"/>
              </w:rPr>
            </w:pPr>
            <w:r>
              <w:rPr>
                <w:rFonts w:ascii="Arial" w:cs="Arial" w:eastAsia="Arial" w:hAnsi="Arial"/>
                <w:sz w:val="16"/>
                <w:szCs w:val="16"/>
                <w:color w:val="auto"/>
                <w:w w:val="93"/>
              </w:rPr>
              <w:t>Board of Trustees of the Amigos de las Americas Foundation of Houston, Texas (amigosinternational.org) and Board of Directors of The Silk Road</w:t>
            </w:r>
          </w:p>
        </w:tc>
      </w:tr>
      <w:tr>
        <w:trPr>
          <w:trHeight w:val="197"/>
        </w:trPr>
        <w:tc>
          <w:tcPr>
            <w:tcW w:w="1520" w:type="dxa"/>
            <w:vAlign w:val="bottom"/>
          </w:tcPr>
          <w:p>
            <w:pPr>
              <w:spacing w:after="0"/>
              <w:rPr>
                <w:sz w:val="17"/>
                <w:szCs w:val="17"/>
                <w:color w:val="auto"/>
              </w:rPr>
            </w:pPr>
          </w:p>
        </w:tc>
        <w:tc>
          <w:tcPr>
            <w:tcW w:w="9900" w:type="dxa"/>
            <w:vAlign w:val="bottom"/>
          </w:tcPr>
          <w:p>
            <w:pPr>
              <w:ind w:left="160"/>
              <w:spacing w:after="0"/>
              <w:rPr>
                <w:sz w:val="20"/>
                <w:szCs w:val="20"/>
                <w:color w:val="auto"/>
              </w:rPr>
            </w:pPr>
            <w:r>
              <w:rPr>
                <w:rFonts w:ascii="Arial" w:cs="Arial" w:eastAsia="Arial" w:hAnsi="Arial"/>
                <w:sz w:val="16"/>
                <w:szCs w:val="16"/>
                <w:color w:val="auto"/>
                <w:w w:val="91"/>
              </w:rPr>
              <w:t>Project founded by Yo-Yo Ma (silkroadproject.org). Mr. Stebbins is also a member of the leadership council of Fix The Debt Campaign (fixthedebt.org)</w:t>
            </w:r>
          </w:p>
        </w:tc>
      </w:tr>
      <w:tr>
        <w:trPr>
          <w:trHeight w:val="197"/>
        </w:trPr>
        <w:tc>
          <w:tcPr>
            <w:tcW w:w="1520" w:type="dxa"/>
            <w:vAlign w:val="bottom"/>
          </w:tcPr>
          <w:p>
            <w:pPr>
              <w:spacing w:after="0"/>
              <w:rPr>
                <w:sz w:val="17"/>
                <w:szCs w:val="17"/>
                <w:color w:val="auto"/>
              </w:rPr>
            </w:pPr>
          </w:p>
        </w:tc>
        <w:tc>
          <w:tcPr>
            <w:tcW w:w="9900" w:type="dxa"/>
            <w:vAlign w:val="bottom"/>
          </w:tcPr>
          <w:p>
            <w:pPr>
              <w:ind w:left="160"/>
              <w:spacing w:after="0"/>
              <w:rPr>
                <w:sz w:val="20"/>
                <w:szCs w:val="20"/>
                <w:color w:val="auto"/>
              </w:rPr>
            </w:pPr>
            <w:r>
              <w:rPr>
                <w:rFonts w:ascii="Arial" w:cs="Arial" w:eastAsia="Arial" w:hAnsi="Arial"/>
                <w:sz w:val="16"/>
                <w:szCs w:val="16"/>
                <w:color w:val="auto"/>
                <w:w w:val="99"/>
              </w:rPr>
              <w:t>and the Council on Foreign Relations, as well as the Energy Security Leadership Council of S.A.F.E. (Securing America's Future Energy—</w:t>
            </w:r>
          </w:p>
        </w:tc>
      </w:tr>
      <w:tr>
        <w:trPr>
          <w:trHeight w:val="205"/>
        </w:trPr>
        <w:tc>
          <w:tcPr>
            <w:tcW w:w="1520" w:type="dxa"/>
            <w:vAlign w:val="bottom"/>
          </w:tcPr>
          <w:p>
            <w:pPr>
              <w:spacing w:after="0"/>
              <w:rPr>
                <w:sz w:val="17"/>
                <w:szCs w:val="17"/>
                <w:color w:val="auto"/>
              </w:rPr>
            </w:pPr>
          </w:p>
        </w:tc>
        <w:tc>
          <w:tcPr>
            <w:tcW w:w="9900" w:type="dxa"/>
            <w:vAlign w:val="bottom"/>
          </w:tcPr>
          <w:p>
            <w:pPr>
              <w:ind w:left="160"/>
              <w:spacing w:after="0"/>
              <w:rPr>
                <w:sz w:val="20"/>
                <w:szCs w:val="20"/>
                <w:color w:val="auto"/>
              </w:rPr>
            </w:pPr>
            <w:r>
              <w:rPr>
                <w:rFonts w:ascii="Arial" w:cs="Arial" w:eastAsia="Arial" w:hAnsi="Arial"/>
                <w:sz w:val="16"/>
                <w:szCs w:val="16"/>
                <w:color w:val="auto"/>
              </w:rPr>
              <w:t>secureenergy.org).</w:t>
            </w:r>
          </w:p>
        </w:tc>
      </w:tr>
    </w:tbl>
    <w:p>
      <w:pPr>
        <w:spacing w:after="0" w:line="128" w:lineRule="exact"/>
        <w:rPr>
          <w:sz w:val="20"/>
          <w:szCs w:val="20"/>
          <w:color w:val="auto"/>
        </w:rPr>
      </w:pPr>
    </w:p>
    <w:p>
      <w:pPr>
        <w:ind w:left="1680" w:right="200"/>
        <w:spacing w:after="0" w:line="284" w:lineRule="auto"/>
        <w:rPr>
          <w:sz w:val="20"/>
          <w:szCs w:val="20"/>
          <w:color w:val="auto"/>
        </w:rPr>
      </w:pPr>
      <w:r>
        <w:rPr>
          <w:rFonts w:ascii="Arial" w:cs="Arial" w:eastAsia="Arial" w:hAnsi="Arial"/>
          <w:sz w:val="16"/>
          <w:szCs w:val="16"/>
          <w:i w:val="1"/>
          <w:iCs w:val="1"/>
          <w:color w:val="auto"/>
        </w:rPr>
        <w:t>Mr. Stebbins brings to the Board a unique understanding of our strategies and operations through over 20 years of service to our Company and over 30 years of experience in the fuel services business.</w:t>
      </w:r>
    </w:p>
    <w:p>
      <w:pPr>
        <w:spacing w:after="0" w:line="152" w:lineRule="exact"/>
        <w:rPr>
          <w:sz w:val="20"/>
          <w:szCs w:val="20"/>
          <w:color w:val="auto"/>
        </w:rPr>
      </w:pPr>
    </w:p>
    <w:p>
      <w:pPr>
        <w:ind w:left="6980" w:hanging="6776"/>
        <w:spacing w:after="0" w:line="325" w:lineRule="auto"/>
        <w:rPr>
          <w:sz w:val="20"/>
          <w:szCs w:val="20"/>
          <w:color w:val="auto"/>
        </w:rPr>
      </w:pPr>
      <w:r>
        <w:rPr>
          <w:rFonts w:ascii="Arial" w:cs="Arial" w:eastAsia="Arial" w:hAnsi="Arial"/>
          <w:sz w:val="15"/>
          <w:szCs w:val="15"/>
          <w:b w:val="1"/>
          <w:bCs w:val="1"/>
          <w:color w:val="auto"/>
        </w:rPr>
        <w:t xml:space="preserve">THE BOARD OF DIRECTORS UNANIMOUSLY RECOMMENDS A VOTE "FOR" THE ELECTION OF EACH OF THE ABOVE DIRECTOR NOMINEES. </w:t>
      </w:r>
      <w:r>
        <w:rPr>
          <w:rFonts w:ascii="Arial" w:cs="Arial" w:eastAsia="Arial" w:hAnsi="Arial"/>
          <w:sz w:val="15"/>
          <w:szCs w:val="15"/>
          <w:b w:val="1"/>
          <w:bCs w:val="1"/>
          <w:color w:val="0048E0"/>
        </w:rPr>
        <w:t xml:space="preserve">World Fuel Services Corporation </w:t>
      </w:r>
      <w:r>
        <w:rPr>
          <w:rFonts w:ascii="Arial" w:cs="Arial" w:eastAsia="Arial" w:hAnsi="Arial"/>
          <w:sz w:val="30"/>
          <w:szCs w:val="30"/>
          <w:b w:val="1"/>
          <w:bCs w:val="1"/>
          <w:color w:val="000000"/>
          <w:vertAlign w:val="subscript"/>
        </w:rPr>
        <w:t>|</w:t>
      </w:r>
      <w:r>
        <w:rPr>
          <w:rFonts w:ascii="Arial" w:cs="Arial" w:eastAsia="Arial" w:hAnsi="Arial"/>
          <w:sz w:val="15"/>
          <w:szCs w:val="15"/>
          <w:b w:val="1"/>
          <w:bCs w:val="1"/>
          <w:color w:val="0048E0"/>
        </w:rPr>
        <w:t xml:space="preserve"> </w:t>
      </w:r>
      <w:r>
        <w:rPr>
          <w:rFonts w:ascii="Arial" w:cs="Arial" w:eastAsia="Arial" w:hAnsi="Arial"/>
          <w:sz w:val="15"/>
          <w:szCs w:val="15"/>
          <w:color w:val="000000"/>
        </w:rPr>
        <w:t>2018 Proxy Statement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61595</wp:posOffset>
            </wp:positionV>
            <wp:extent cx="7263130" cy="203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17" w:name="page18"/>
    <w:bookmarkEnd w:id="17"/>
    <w:p>
      <w:pPr>
        <w:ind w:left="1"/>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7" w:lineRule="exact"/>
        <w:rPr>
          <w:sz w:val="20"/>
          <w:szCs w:val="20"/>
          <w:color w:val="auto"/>
        </w:rPr>
      </w:pPr>
    </w:p>
    <w:p>
      <w:pPr>
        <w:ind w:left="1" w:right="8640" w:hanging="1"/>
        <w:spacing w:after="0" w:line="533" w:lineRule="auto"/>
        <w:tabs>
          <w:tab w:leader="none" w:pos="567" w:val="left"/>
        </w:tabs>
        <w:numPr>
          <w:ilvl w:val="0"/>
          <w:numId w:val="19"/>
        </w:numPr>
        <w:rPr>
          <w:rFonts w:ascii="Arial" w:cs="Arial" w:eastAsia="Arial" w:hAnsi="Arial"/>
          <w:sz w:val="16"/>
          <w:szCs w:val="16"/>
          <w:b w:val="1"/>
          <w:bCs w:val="1"/>
          <w:color w:val="0048E0"/>
        </w:rPr>
      </w:pPr>
      <w:r>
        <w:rPr>
          <w:rFonts w:ascii="Arial" w:cs="Arial" w:eastAsia="Arial" w:hAnsi="Arial"/>
          <w:sz w:val="16"/>
          <w:szCs w:val="16"/>
          <w:b w:val="1"/>
          <w:bCs w:val="1"/>
          <w:color w:val="0048E0"/>
        </w:rPr>
        <w:t xml:space="preserve">CORPORATE GOVERNANCE </w:t>
      </w:r>
      <w:r>
        <w:rPr>
          <w:rFonts w:ascii="Arial" w:cs="Arial" w:eastAsia="Arial" w:hAnsi="Arial"/>
          <w:sz w:val="16"/>
          <w:szCs w:val="16"/>
          <w:b w:val="1"/>
          <w:bCs w:val="1"/>
          <w:color w:val="000000"/>
        </w:rPr>
        <w:t>Board Leadership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-384810</wp:posOffset>
            </wp:positionV>
            <wp:extent cx="7258685" cy="158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8685" cy="15875"/>
                    </a:xfrm>
                    <a:prstGeom prst="rect">
                      <a:avLst/>
                    </a:prstGeom>
                    <a:noFill/>
                  </pic:spPr>
                </pic:pic>
              </a:graphicData>
            </a:graphic>
          </wp:anchor>
        </w:drawing>
      </w:r>
    </w:p>
    <w:p>
      <w:pPr>
        <w:ind w:left="1" w:right="40" w:firstLine="558"/>
        <w:spacing w:after="0" w:line="297" w:lineRule="auto"/>
        <w:rPr>
          <w:sz w:val="20"/>
          <w:szCs w:val="20"/>
          <w:color w:val="auto"/>
        </w:rPr>
      </w:pPr>
      <w:r>
        <w:rPr>
          <w:rFonts w:ascii="Arial" w:cs="Arial" w:eastAsia="Arial" w:hAnsi="Arial"/>
          <w:sz w:val="15"/>
          <w:szCs w:val="15"/>
          <w:color w:val="auto"/>
        </w:rPr>
        <w:t>The Board regularly considers the appropriate leadership structure for us and does not have a formal policy with respect to the separation of the positions of Chief Executive Officer and Chairman of the Board. Rather, the Board believes that different Board leadership structures may be appropriate for us at different times, and that it should have the flexibility to make this decision based on its evaluation of current circumstances. When making this decision, the Board considers factors such as:</w:t>
      </w:r>
    </w:p>
    <w:p>
      <w:pPr>
        <w:spacing w:after="0" w:line="161" w:lineRule="exact"/>
        <w:rPr>
          <w:sz w:val="20"/>
          <w:szCs w:val="20"/>
          <w:color w:val="auto"/>
        </w:rPr>
      </w:pPr>
    </w:p>
    <w:p>
      <w:pPr>
        <w:ind w:left="981" w:hanging="488"/>
        <w:spacing w:after="0"/>
        <w:tabs>
          <w:tab w:leader="none" w:pos="981"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person filling each role;</w:t>
      </w:r>
    </w:p>
    <w:p>
      <w:pPr>
        <w:spacing w:after="0" w:line="235" w:lineRule="exact"/>
        <w:rPr>
          <w:rFonts w:ascii="Arial" w:cs="Arial" w:eastAsia="Arial" w:hAnsi="Arial"/>
          <w:sz w:val="16"/>
          <w:szCs w:val="16"/>
          <w:color w:val="auto"/>
        </w:rPr>
      </w:pPr>
    </w:p>
    <w:p>
      <w:pPr>
        <w:ind w:left="981" w:hanging="488"/>
        <w:spacing w:after="0"/>
        <w:tabs>
          <w:tab w:leader="none" w:pos="981"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presence of a lead independent director and the person in that role;</w:t>
      </w:r>
    </w:p>
    <w:p>
      <w:pPr>
        <w:spacing w:after="0" w:line="222" w:lineRule="exact"/>
        <w:rPr>
          <w:rFonts w:ascii="Arial" w:cs="Arial" w:eastAsia="Arial" w:hAnsi="Arial"/>
          <w:sz w:val="16"/>
          <w:szCs w:val="16"/>
          <w:color w:val="auto"/>
        </w:rPr>
      </w:pPr>
    </w:p>
    <w:p>
      <w:pPr>
        <w:ind w:left="981" w:hanging="488"/>
        <w:spacing w:after="0"/>
        <w:tabs>
          <w:tab w:leader="none" w:pos="981"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composition, independence, and effectiveness of the entire Board;</w:t>
      </w:r>
    </w:p>
    <w:p>
      <w:pPr>
        <w:spacing w:after="0" w:line="222" w:lineRule="exact"/>
        <w:rPr>
          <w:rFonts w:ascii="Arial" w:cs="Arial" w:eastAsia="Arial" w:hAnsi="Arial"/>
          <w:sz w:val="16"/>
          <w:szCs w:val="16"/>
          <w:color w:val="auto"/>
        </w:rPr>
      </w:pPr>
    </w:p>
    <w:p>
      <w:pPr>
        <w:ind w:left="981" w:hanging="488"/>
        <w:spacing w:after="0"/>
        <w:tabs>
          <w:tab w:leader="none" w:pos="981" w:val="left"/>
        </w:tabs>
        <w:numPr>
          <w:ilvl w:val="0"/>
          <w:numId w:val="20"/>
        </w:numPr>
        <w:rPr>
          <w:rFonts w:ascii="Arial" w:cs="Arial" w:eastAsia="Arial" w:hAnsi="Arial"/>
          <w:sz w:val="16"/>
          <w:szCs w:val="16"/>
          <w:color w:val="auto"/>
        </w:rPr>
      </w:pPr>
      <w:r>
        <w:rPr>
          <w:rFonts w:ascii="Arial" w:cs="Arial" w:eastAsia="Arial" w:hAnsi="Arial"/>
          <w:sz w:val="16"/>
          <w:szCs w:val="16"/>
          <w:color w:val="auto"/>
        </w:rPr>
        <w:t>other corporate governance structures in place; and</w:t>
      </w:r>
    </w:p>
    <w:p>
      <w:pPr>
        <w:spacing w:after="0" w:line="235" w:lineRule="exact"/>
        <w:rPr>
          <w:rFonts w:ascii="Arial" w:cs="Arial" w:eastAsia="Arial" w:hAnsi="Arial"/>
          <w:sz w:val="16"/>
          <w:szCs w:val="16"/>
          <w:color w:val="auto"/>
        </w:rPr>
      </w:pPr>
    </w:p>
    <w:p>
      <w:pPr>
        <w:ind w:left="981" w:hanging="488"/>
        <w:spacing w:after="0"/>
        <w:tabs>
          <w:tab w:leader="none" w:pos="981" w:val="left"/>
        </w:tabs>
        <w:numPr>
          <w:ilvl w:val="0"/>
          <w:numId w:val="20"/>
        </w:numPr>
        <w:rPr>
          <w:rFonts w:ascii="Arial" w:cs="Arial" w:eastAsia="Arial" w:hAnsi="Arial"/>
          <w:sz w:val="16"/>
          <w:szCs w:val="16"/>
          <w:color w:val="auto"/>
        </w:rPr>
      </w:pPr>
      <w:r>
        <w:rPr>
          <w:rFonts w:ascii="Arial" w:cs="Arial" w:eastAsia="Arial" w:hAnsi="Arial"/>
          <w:sz w:val="16"/>
          <w:szCs w:val="16"/>
          <w:color w:val="auto"/>
        </w:rPr>
        <w:t>our management succession plan.</w:t>
      </w:r>
    </w:p>
    <w:p>
      <w:pPr>
        <w:spacing w:after="0" w:line="211" w:lineRule="exact"/>
        <w:rPr>
          <w:sz w:val="20"/>
          <w:szCs w:val="20"/>
          <w:color w:val="auto"/>
        </w:rPr>
      </w:pPr>
    </w:p>
    <w:p>
      <w:pPr>
        <w:ind w:left="1" w:right="20" w:firstLine="561"/>
        <w:spacing w:after="0" w:line="264" w:lineRule="auto"/>
        <w:rPr>
          <w:sz w:val="20"/>
          <w:szCs w:val="20"/>
          <w:color w:val="auto"/>
        </w:rPr>
      </w:pPr>
      <w:r>
        <w:rPr>
          <w:rFonts w:ascii="Arial" w:cs="Arial" w:eastAsia="Arial" w:hAnsi="Arial"/>
          <w:sz w:val="16"/>
          <w:szCs w:val="16"/>
          <w:color w:val="auto"/>
        </w:rPr>
        <w:t>Mr. Kasbar currently serves as Chairman of the Board in addition to his role as President and Chief Executive Officer. Our Board believes that our Chief Executive Officer is in the best position to most effectively serve as the Chairman of the Board given that he has the primary responsibility for managing our day-to-day operations and therefore has a detailed and in-depth knowledge of the issues, opportunities and challenges facing us and our businesses. The Board also believes that the Chief Executive Officer serving as Chairman of the Board further promotes information flow between management and the Board and enhances the quality of the Board's overall decision-making process.</w:t>
      </w:r>
    </w:p>
    <w:p>
      <w:pPr>
        <w:spacing w:after="0" w:line="172" w:lineRule="exact"/>
        <w:rPr>
          <w:sz w:val="20"/>
          <w:szCs w:val="20"/>
          <w:color w:val="auto"/>
        </w:rPr>
      </w:pPr>
    </w:p>
    <w:p>
      <w:pPr>
        <w:ind w:left="1" w:right="280" w:firstLine="561"/>
        <w:spacing w:after="0" w:line="270" w:lineRule="auto"/>
        <w:rPr>
          <w:sz w:val="20"/>
          <w:szCs w:val="20"/>
          <w:color w:val="auto"/>
        </w:rPr>
      </w:pPr>
      <w:r>
        <w:rPr>
          <w:rFonts w:ascii="Arial" w:cs="Arial" w:eastAsia="Arial" w:hAnsi="Arial"/>
          <w:sz w:val="16"/>
          <w:szCs w:val="16"/>
          <w:color w:val="auto"/>
        </w:rPr>
        <w:t>In making its decision to combine the roles of Chief Executive Officer and Chairman of the Board, the Board considered that its leadership structure was appropriate given the following strong governance structures and processes that are in place to ensure the independence of the Board, eliminate conflicts of interest and prevent the dominance of the Board by senior management:</w:t>
      </w:r>
    </w:p>
    <w:p>
      <w:pPr>
        <w:spacing w:after="0" w:line="181" w:lineRule="exact"/>
        <w:rPr>
          <w:sz w:val="20"/>
          <w:szCs w:val="20"/>
          <w:color w:val="auto"/>
        </w:rPr>
      </w:pPr>
    </w:p>
    <w:p>
      <w:pPr>
        <w:ind w:left="981" w:hanging="488"/>
        <w:spacing w:after="0"/>
        <w:tabs>
          <w:tab w:leader="none" w:pos="981"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presence of, and the responsibilities and authority of, the Board's strong lead independent director;</w:t>
      </w:r>
    </w:p>
    <w:p>
      <w:pPr>
        <w:spacing w:after="0" w:line="222" w:lineRule="exact"/>
        <w:rPr>
          <w:rFonts w:ascii="Arial" w:cs="Arial" w:eastAsia="Arial" w:hAnsi="Arial"/>
          <w:sz w:val="16"/>
          <w:szCs w:val="16"/>
          <w:color w:val="auto"/>
        </w:rPr>
      </w:pPr>
    </w:p>
    <w:p>
      <w:pPr>
        <w:ind w:left="981" w:hanging="488"/>
        <w:spacing w:after="0"/>
        <w:tabs>
          <w:tab w:leader="none" w:pos="981"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composition of the Board which includes a super-majority of independent non-management directors;</w:t>
      </w:r>
    </w:p>
    <w:p>
      <w:pPr>
        <w:spacing w:after="0" w:line="235" w:lineRule="exact"/>
        <w:rPr>
          <w:rFonts w:ascii="Arial" w:cs="Arial" w:eastAsia="Arial" w:hAnsi="Arial"/>
          <w:sz w:val="16"/>
          <w:szCs w:val="16"/>
          <w:color w:val="auto"/>
        </w:rPr>
      </w:pPr>
    </w:p>
    <w:p>
      <w:pPr>
        <w:ind w:left="981" w:hanging="488"/>
        <w:spacing w:after="0"/>
        <w:tabs>
          <w:tab w:leader="none" w:pos="981"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composition of the Board's standing committees which are comprised of and chaired solely by independent non-management directors;</w:t>
      </w:r>
    </w:p>
    <w:p>
      <w:pPr>
        <w:spacing w:after="0" w:line="222" w:lineRule="exact"/>
        <w:rPr>
          <w:rFonts w:ascii="Arial" w:cs="Arial" w:eastAsia="Arial" w:hAnsi="Arial"/>
          <w:sz w:val="16"/>
          <w:szCs w:val="16"/>
          <w:color w:val="auto"/>
        </w:rPr>
      </w:pPr>
    </w:p>
    <w:p>
      <w:pPr>
        <w:ind w:left="981" w:right="540" w:hanging="488"/>
        <w:spacing w:after="0" w:line="284" w:lineRule="auto"/>
        <w:tabs>
          <w:tab w:leader="none" w:pos="981"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fact that the independent non-management directors meet in regular executive sessions without management present to discuss the effectiveness of our management, the quality of the Board meetings and any other issues and concerns; and</w:t>
      </w:r>
    </w:p>
    <w:p>
      <w:pPr>
        <w:spacing w:after="0" w:line="168" w:lineRule="exact"/>
        <w:rPr>
          <w:rFonts w:ascii="Arial" w:cs="Arial" w:eastAsia="Arial" w:hAnsi="Arial"/>
          <w:sz w:val="16"/>
          <w:szCs w:val="16"/>
          <w:color w:val="auto"/>
        </w:rPr>
      </w:pPr>
    </w:p>
    <w:p>
      <w:pPr>
        <w:ind w:left="981" w:hanging="488"/>
        <w:spacing w:after="0"/>
        <w:tabs>
          <w:tab w:leader="none" w:pos="981"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fact that all Board members have unrestricted access to management and outside advisors.</w:t>
      </w:r>
    </w:p>
    <w:p>
      <w:pPr>
        <w:spacing w:after="0" w:line="21" w:lineRule="exact"/>
        <w:rPr>
          <w:sz w:val="20"/>
          <w:szCs w:val="20"/>
          <w:color w:val="auto"/>
        </w:rPr>
      </w:pPr>
    </w:p>
    <w:p>
      <w:pPr>
        <w:jc w:val="right"/>
        <w:spacing w:after="0"/>
        <w:tabs>
          <w:tab w:leader="none" w:pos="1960" w:val="left"/>
          <w:tab w:leader="none" w:pos="1720" w:val="left"/>
          <w:tab w:leader="none" w:pos="14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3"/>
          <w:szCs w:val="33"/>
          <w:b w:val="1"/>
          <w:bCs w:val="1"/>
          <w:color w:val="auto"/>
          <w:vertAlign w:val="subscript"/>
        </w:rPr>
        <w:t>|</w:t>
      </w:r>
      <w:r>
        <w:rPr>
          <w:sz w:val="20"/>
          <w:szCs w:val="20"/>
          <w:color w:val="auto"/>
        </w:rPr>
        <w:tab/>
      </w:r>
      <w:r>
        <w:rPr>
          <w:rFonts w:ascii="Arial" w:cs="Arial" w:eastAsia="Arial" w:hAnsi="Arial"/>
          <w:sz w:val="16"/>
          <w:szCs w:val="16"/>
          <w:color w:val="auto"/>
        </w:rPr>
        <w:t>2018 Proxy Statement</w:t>
      </w:r>
      <w:r>
        <w:rPr>
          <w:sz w:val="20"/>
          <w:szCs w:val="20"/>
          <w:color w:val="auto"/>
        </w:rPr>
        <w:tab/>
      </w: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7263130" cy="203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1"/>
          </w:cols>
          <w:pgMar w:left="239" w:top="131" w:right="239" w:bottom="1440" w:gutter="0" w:footer="0" w:header="0"/>
        </w:sectPr>
      </w:pPr>
    </w:p>
    <w:bookmarkStart w:id="18" w:name="page19"/>
    <w:bookmarkEnd w:id="18"/>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Lead Independent Director</w:t>
      </w:r>
    </w:p>
    <w:p>
      <w:pPr>
        <w:spacing w:after="0" w:line="21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independent directors annually elect our lead independent director. Consistent with best practices, our lead independent director:</w:t>
      </w:r>
    </w:p>
    <w:p>
      <w:pPr>
        <w:spacing w:after="0" w:line="223" w:lineRule="exact"/>
        <w:rPr>
          <w:sz w:val="20"/>
          <w:szCs w:val="20"/>
          <w:color w:val="auto"/>
        </w:rPr>
      </w:pPr>
    </w:p>
    <w:p>
      <w:pPr>
        <w:ind w:left="980" w:right="300" w:hanging="488"/>
        <w:spacing w:after="0" w:line="284" w:lineRule="auto"/>
        <w:tabs>
          <w:tab w:leader="none" w:pos="9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presides at all meetings of the Board at which the Chairman of the Board is not present, including executive sessions of the independent directors at which the Chairman of the Governance Committee is not present;</w:t>
      </w:r>
    </w:p>
    <w:p>
      <w:pPr>
        <w:spacing w:after="0" w:line="181" w:lineRule="exact"/>
        <w:rPr>
          <w:rFonts w:ascii="Arial" w:cs="Arial" w:eastAsia="Arial" w:hAnsi="Arial"/>
          <w:sz w:val="16"/>
          <w:szCs w:val="16"/>
          <w:color w:val="auto"/>
        </w:rPr>
      </w:pPr>
    </w:p>
    <w:p>
      <w:pPr>
        <w:ind w:left="980" w:hanging="488"/>
        <w:spacing w:after="0"/>
        <w:tabs>
          <w:tab w:leader="none" w:pos="9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serves as a liaison between the Chairman of the Board and the independent directors;</w:t>
      </w:r>
    </w:p>
    <w:p>
      <w:pPr>
        <w:spacing w:after="0" w:line="222" w:lineRule="exact"/>
        <w:rPr>
          <w:rFonts w:ascii="Arial" w:cs="Arial" w:eastAsia="Arial" w:hAnsi="Arial"/>
          <w:sz w:val="16"/>
          <w:szCs w:val="16"/>
          <w:color w:val="auto"/>
        </w:rPr>
      </w:pPr>
    </w:p>
    <w:p>
      <w:pPr>
        <w:ind w:left="980" w:hanging="488"/>
        <w:spacing w:after="0"/>
        <w:tabs>
          <w:tab w:leader="none" w:pos="9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approves meeting agendas for the Board;</w:t>
      </w:r>
    </w:p>
    <w:p>
      <w:pPr>
        <w:spacing w:after="0" w:line="222" w:lineRule="exact"/>
        <w:rPr>
          <w:rFonts w:ascii="Arial" w:cs="Arial" w:eastAsia="Arial" w:hAnsi="Arial"/>
          <w:sz w:val="16"/>
          <w:szCs w:val="16"/>
          <w:color w:val="auto"/>
        </w:rPr>
      </w:pPr>
    </w:p>
    <w:p>
      <w:pPr>
        <w:ind w:left="980" w:hanging="488"/>
        <w:spacing w:after="0"/>
        <w:tabs>
          <w:tab w:leader="none" w:pos="9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approves meeting schedules to assure that there is sufficient time for discussion of all agenda items;</w:t>
      </w:r>
    </w:p>
    <w:p>
      <w:pPr>
        <w:spacing w:after="0" w:line="235" w:lineRule="exact"/>
        <w:rPr>
          <w:rFonts w:ascii="Arial" w:cs="Arial" w:eastAsia="Arial" w:hAnsi="Arial"/>
          <w:sz w:val="16"/>
          <w:szCs w:val="16"/>
          <w:color w:val="auto"/>
        </w:rPr>
      </w:pPr>
    </w:p>
    <w:p>
      <w:pPr>
        <w:ind w:left="980" w:hanging="488"/>
        <w:spacing w:after="0"/>
        <w:tabs>
          <w:tab w:leader="none" w:pos="9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has the authority to call meetings of the independent directors;</w:t>
      </w:r>
    </w:p>
    <w:p>
      <w:pPr>
        <w:spacing w:after="0" w:line="222" w:lineRule="exact"/>
        <w:rPr>
          <w:rFonts w:ascii="Arial" w:cs="Arial" w:eastAsia="Arial" w:hAnsi="Arial"/>
          <w:sz w:val="16"/>
          <w:szCs w:val="16"/>
          <w:color w:val="auto"/>
        </w:rPr>
      </w:pPr>
    </w:p>
    <w:p>
      <w:pPr>
        <w:ind w:left="980" w:hanging="488"/>
        <w:spacing w:after="0"/>
        <w:tabs>
          <w:tab w:leader="none" w:pos="9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if requested by major shareholders, ensures that he or she is available for consultations and direct communication;</w:t>
      </w:r>
    </w:p>
    <w:p>
      <w:pPr>
        <w:spacing w:after="0" w:line="222" w:lineRule="exact"/>
        <w:rPr>
          <w:rFonts w:ascii="Arial" w:cs="Arial" w:eastAsia="Arial" w:hAnsi="Arial"/>
          <w:sz w:val="16"/>
          <w:szCs w:val="16"/>
          <w:color w:val="auto"/>
        </w:rPr>
      </w:pPr>
    </w:p>
    <w:p>
      <w:pPr>
        <w:ind w:left="980" w:hanging="488"/>
        <w:spacing w:after="0"/>
        <w:tabs>
          <w:tab w:leader="none" w:pos="9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has the authority to retain outside advisors and consultants who report directly to the Board; and</w:t>
      </w:r>
    </w:p>
    <w:p>
      <w:pPr>
        <w:spacing w:after="0" w:line="235" w:lineRule="exact"/>
        <w:rPr>
          <w:rFonts w:ascii="Arial" w:cs="Arial" w:eastAsia="Arial" w:hAnsi="Arial"/>
          <w:sz w:val="16"/>
          <w:szCs w:val="16"/>
          <w:color w:val="auto"/>
        </w:rPr>
      </w:pPr>
    </w:p>
    <w:p>
      <w:pPr>
        <w:ind w:left="980" w:hanging="488"/>
        <w:spacing w:after="0"/>
        <w:tabs>
          <w:tab w:leader="none" w:pos="9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consults with and assists the Chief Executive Officer in accomplishing his objectives as the Chief Executive Officer deems appropriate.</w:t>
      </w:r>
    </w:p>
    <w:p>
      <w:pPr>
        <w:spacing w:after="0" w:line="211" w:lineRule="exact"/>
        <w:rPr>
          <w:sz w:val="20"/>
          <w:szCs w:val="20"/>
          <w:color w:val="auto"/>
        </w:rPr>
      </w:pPr>
    </w:p>
    <w:p>
      <w:pPr>
        <w:ind w:right="380" w:firstLine="561"/>
        <w:spacing w:after="0" w:line="284" w:lineRule="auto"/>
        <w:rPr>
          <w:sz w:val="20"/>
          <w:szCs w:val="20"/>
          <w:color w:val="auto"/>
        </w:rPr>
      </w:pPr>
      <w:r>
        <w:rPr>
          <w:rFonts w:ascii="Arial" w:cs="Arial" w:eastAsia="Arial" w:hAnsi="Arial"/>
          <w:sz w:val="16"/>
          <w:szCs w:val="16"/>
          <w:color w:val="auto"/>
        </w:rPr>
        <w:t>Currently, Mr. Roddenberry serves as our lead independent director. The Board believes that having a lead independent director benefits us and our shareholders by providing leadership and an organizational structure for the independent directors.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Shareholder Engagement</w:t>
      </w:r>
    </w:p>
    <w:p>
      <w:pPr>
        <w:spacing w:after="0" w:line="215" w:lineRule="exact"/>
        <w:rPr>
          <w:sz w:val="20"/>
          <w:szCs w:val="20"/>
          <w:color w:val="auto"/>
        </w:rPr>
      </w:pPr>
    </w:p>
    <w:p>
      <w:pPr>
        <w:ind w:right="40" w:firstLine="558"/>
        <w:spacing w:after="0" w:line="283" w:lineRule="auto"/>
        <w:rPr>
          <w:sz w:val="20"/>
          <w:szCs w:val="20"/>
          <w:color w:val="auto"/>
        </w:rPr>
      </w:pPr>
      <w:r>
        <w:rPr>
          <w:rFonts w:ascii="Arial" w:cs="Arial" w:eastAsia="Arial" w:hAnsi="Arial"/>
          <w:sz w:val="15"/>
          <w:szCs w:val="15"/>
          <w:color w:val="auto"/>
        </w:rPr>
        <w:t>We regularly engage with our shareholders to understand better their perspectives on our Company, including our strategies, performance, matters of corporate governance and executive compensation. This dialogue has helped inform the Board's decision-making and ensure our interests remain well-aligned with those of our shareholders. In recent years, these engagements covered governance issues, such as majority voting, board leadership and director nomination processes, and compensation and capital allocation policies. During 2017, we interacted with 18 of the 25 largest active shareholders of our common stock, representing approximately 52% percent of our outstanding shares. We believe that all these engagements provide valuable feedback and this feedback is shared regularly with the Board and its relevant committees. As a result of the feedback we received from our shareholders in the past few years, we have, among other things:</w:t>
      </w:r>
    </w:p>
    <w:p>
      <w:pPr>
        <w:spacing w:after="0" w:line="173" w:lineRule="exact"/>
        <w:rPr>
          <w:sz w:val="20"/>
          <w:szCs w:val="20"/>
          <w:color w:val="auto"/>
        </w:rPr>
      </w:pPr>
    </w:p>
    <w:p>
      <w:pPr>
        <w:ind w:left="980" w:hanging="488"/>
        <w:spacing w:after="0"/>
        <w:tabs>
          <w:tab w:leader="none" w:pos="9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adopted a director resignation policy for all directors in uncontested elections;</w:t>
      </w:r>
    </w:p>
    <w:p>
      <w:pPr>
        <w:spacing w:after="0" w:line="222" w:lineRule="exact"/>
        <w:rPr>
          <w:rFonts w:ascii="Arial" w:cs="Arial" w:eastAsia="Arial" w:hAnsi="Arial"/>
          <w:sz w:val="16"/>
          <w:szCs w:val="16"/>
          <w:color w:val="auto"/>
        </w:rPr>
      </w:pPr>
    </w:p>
    <w:p>
      <w:pPr>
        <w:ind w:left="980" w:hanging="488"/>
        <w:spacing w:after="0"/>
        <w:tabs>
          <w:tab w:leader="none" w:pos="9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enhanced our disclosure regarding our director nomination process and the combined skills of our board;</w:t>
      </w:r>
    </w:p>
    <w:p>
      <w:pPr>
        <w:spacing w:after="0" w:line="235" w:lineRule="exact"/>
        <w:rPr>
          <w:rFonts w:ascii="Arial" w:cs="Arial" w:eastAsia="Arial" w:hAnsi="Arial"/>
          <w:sz w:val="16"/>
          <w:szCs w:val="16"/>
          <w:color w:val="auto"/>
        </w:rPr>
      </w:pPr>
    </w:p>
    <w:p>
      <w:pPr>
        <w:ind w:left="980" w:hanging="488"/>
        <w:spacing w:after="0"/>
        <w:tabs>
          <w:tab w:leader="none" w:pos="9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modified our compensation programs for our segment executives so that their compensation is more closely aligned with our aggregate financial performance; and</w:t>
      </w:r>
    </w:p>
    <w:p>
      <w:pPr>
        <w:spacing w:after="0" w:line="245" w:lineRule="exact"/>
        <w:rPr>
          <w:rFonts w:ascii="Arial" w:cs="Arial" w:eastAsia="Arial" w:hAnsi="Arial"/>
          <w:sz w:val="14"/>
          <w:szCs w:val="14"/>
          <w:color w:val="auto"/>
        </w:rPr>
      </w:pPr>
    </w:p>
    <w:p>
      <w:pPr>
        <w:ind w:left="980" w:hanging="488"/>
        <w:spacing w:after="0"/>
        <w:tabs>
          <w:tab w:leader="none" w:pos="9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modified our 2017 long-term incentive compensation programs to enhance predictability and shareholder alignment.</w:t>
      </w:r>
    </w:p>
    <w:p>
      <w:pPr>
        <w:spacing w:after="0" w:line="21" w:lineRule="exact"/>
        <w:rPr>
          <w:sz w:val="20"/>
          <w:szCs w:val="20"/>
          <w:color w:val="auto"/>
        </w:rPr>
      </w:pPr>
    </w:p>
    <w:p>
      <w:pPr>
        <w:jc w:val="right"/>
        <w:spacing w:after="0"/>
        <w:tabs>
          <w:tab w:leader="none" w:pos="1960" w:val="left"/>
          <w:tab w:leader="none" w:pos="1720" w:val="left"/>
          <w:tab w:leader="none" w:pos="14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3"/>
          <w:szCs w:val="33"/>
          <w:b w:val="1"/>
          <w:bCs w:val="1"/>
          <w:color w:val="auto"/>
          <w:vertAlign w:val="subscript"/>
        </w:rPr>
        <w:t>|</w:t>
      </w:r>
      <w:r>
        <w:rPr>
          <w:sz w:val="20"/>
          <w:szCs w:val="20"/>
          <w:color w:val="auto"/>
        </w:rPr>
        <w:tab/>
      </w:r>
      <w:r>
        <w:rPr>
          <w:rFonts w:ascii="Arial" w:cs="Arial" w:eastAsia="Arial" w:hAnsi="Arial"/>
          <w:sz w:val="16"/>
          <w:szCs w:val="16"/>
          <w:color w:val="auto"/>
        </w:rPr>
        <w:t>2018 Proxy Statement</w:t>
      </w:r>
      <w:r>
        <w:rPr>
          <w:sz w:val="20"/>
          <w:szCs w:val="20"/>
          <w:color w:val="auto"/>
        </w:rPr>
        <w:tab/>
      </w: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133350</wp:posOffset>
            </wp:positionV>
            <wp:extent cx="7263130" cy="203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 w:name="page20"/>
    <w:bookmarkEnd w:id="19"/>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Meetings</w:t>
      </w:r>
    </w:p>
    <w:p>
      <w:pPr>
        <w:spacing w:after="0" w:line="215" w:lineRule="exact"/>
        <w:rPr>
          <w:sz w:val="20"/>
          <w:szCs w:val="20"/>
          <w:color w:val="auto"/>
        </w:rPr>
      </w:pPr>
    </w:p>
    <w:p>
      <w:pPr>
        <w:ind w:right="20" w:firstLine="561"/>
        <w:spacing w:after="0" w:line="266" w:lineRule="auto"/>
        <w:rPr>
          <w:sz w:val="20"/>
          <w:szCs w:val="20"/>
          <w:color w:val="auto"/>
        </w:rPr>
      </w:pPr>
      <w:r>
        <w:rPr>
          <w:rFonts w:ascii="Arial" w:cs="Arial" w:eastAsia="Arial" w:hAnsi="Arial"/>
          <w:sz w:val="16"/>
          <w:szCs w:val="16"/>
          <w:color w:val="auto"/>
        </w:rPr>
        <w:t>During 2017, the Board met four times. Each current director attended at least 75% of the aggregate of the total number of meetings of the Board and the total number of meetings held by each of the Board committees on which he served. In addition, it is our policy that each director should attend all meetings of shareholders, absent extenuating circumstances. All of our directors attended the 2017 annual meeting of shareholders, with the exception of Mr. Gold, who was not serving as a director on the date of the annual meeting.</w:t>
      </w:r>
    </w:p>
    <w:p>
      <w:pPr>
        <w:spacing w:after="0" w:line="171" w:lineRule="exact"/>
        <w:rPr>
          <w:sz w:val="20"/>
          <w:szCs w:val="20"/>
          <w:color w:val="auto"/>
        </w:rPr>
      </w:pPr>
    </w:p>
    <w:p>
      <w:pPr>
        <w:ind w:right="240" w:firstLine="552"/>
        <w:spacing w:after="0" w:line="284" w:lineRule="auto"/>
        <w:rPr>
          <w:sz w:val="20"/>
          <w:szCs w:val="20"/>
          <w:color w:val="auto"/>
        </w:rPr>
      </w:pPr>
      <w:r>
        <w:rPr>
          <w:rFonts w:ascii="Arial" w:cs="Arial" w:eastAsia="Arial" w:hAnsi="Arial"/>
          <w:sz w:val="16"/>
          <w:szCs w:val="16"/>
          <w:color w:val="auto"/>
        </w:rPr>
        <w:t>All of our independent directors meet in executive session (without management present) prior to each scheduled Board meeting and at other times as they may deem necessary. Mr. Roddenberry currently serves as the Presiding Director over all executive sessions of the independent directors.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Independence</w:t>
      </w:r>
    </w:p>
    <w:p>
      <w:pPr>
        <w:spacing w:after="0" w:line="215" w:lineRule="exact"/>
        <w:rPr>
          <w:sz w:val="20"/>
          <w:szCs w:val="20"/>
          <w:color w:val="auto"/>
        </w:rPr>
      </w:pPr>
    </w:p>
    <w:p>
      <w:pPr>
        <w:ind w:right="20" w:firstLine="561"/>
        <w:spacing w:after="0" w:line="262" w:lineRule="auto"/>
        <w:rPr>
          <w:sz w:val="20"/>
          <w:szCs w:val="20"/>
          <w:color w:val="auto"/>
        </w:rPr>
      </w:pPr>
      <w:r>
        <w:rPr>
          <w:rFonts w:ascii="Arial" w:cs="Arial" w:eastAsia="Arial" w:hAnsi="Arial"/>
          <w:sz w:val="16"/>
          <w:szCs w:val="16"/>
          <w:color w:val="auto"/>
        </w:rPr>
        <w:t>Our Corporate Governance Principles require that a majority of our directors meet the standards for independence required by the listing standards of the NYSE. In addition, members of our Audit Committee must meet the independence standards for Audit Committee members adopted by the SEC. Members of the Audit Committee must also have no relationship with us that interferes with their exercise of independent judgment. Members of our Compensation Committee must meet the independence standards of Rule 16b-3 of the Securities Exchange Act of 1934, as amended (the "Exchange Act"), the NYSE listing standards and Section 162(m) of the Internal Revenue Code (the "Code"). The Board may also consider other factors in making its determination that a director has no material relationship with us that could compromise that director's independence.</w:t>
      </w:r>
    </w:p>
    <w:p>
      <w:pPr>
        <w:spacing w:after="0" w:line="176" w:lineRule="exact"/>
        <w:rPr>
          <w:sz w:val="20"/>
          <w:szCs w:val="20"/>
          <w:color w:val="auto"/>
        </w:rPr>
      </w:pPr>
    </w:p>
    <w:p>
      <w:pPr>
        <w:ind w:right="80" w:firstLine="561"/>
        <w:spacing w:after="0" w:line="296" w:lineRule="auto"/>
        <w:rPr>
          <w:sz w:val="20"/>
          <w:szCs w:val="20"/>
          <w:color w:val="auto"/>
        </w:rPr>
      </w:pPr>
      <w:r>
        <w:rPr>
          <w:rFonts w:ascii="Arial" w:cs="Arial" w:eastAsia="Arial" w:hAnsi="Arial"/>
          <w:sz w:val="14"/>
          <w:szCs w:val="14"/>
          <w:color w:val="auto"/>
        </w:rPr>
        <w:t>Our Corporate Governance Principles provide that no more than two members of management shall serve on the Board and that only non-employee directors may serve on any Board Committee. Our Board affirmatively determined that all of our directors serving on a Committee, Messrs. Bakshi, Benitez, Gold, Kassar, Manley, Presby and Roddenberry are independent of us and our management under NYSE listing standards, and our Audit Committee members and Compensation Committee members are independent under the standards applicable to membership in such committees. In making this determination, our Board considered that Mr. Kassar is the first cousin of</w:t>
      </w:r>
    </w:p>
    <w:p>
      <w:pPr>
        <w:spacing w:after="0" w:line="2" w:lineRule="exact"/>
        <w:rPr>
          <w:sz w:val="20"/>
          <w:szCs w:val="20"/>
          <w:color w:val="auto"/>
        </w:rPr>
      </w:pPr>
    </w:p>
    <w:p>
      <w:pPr>
        <w:jc w:val="both"/>
        <w:ind w:right="340"/>
        <w:spacing w:after="0" w:line="291" w:lineRule="auto"/>
        <w:rPr>
          <w:sz w:val="20"/>
          <w:szCs w:val="20"/>
          <w:color w:val="auto"/>
        </w:rPr>
      </w:pPr>
      <w:r>
        <w:rPr>
          <w:rFonts w:ascii="Arial" w:cs="Arial" w:eastAsia="Arial" w:hAnsi="Arial"/>
          <w:sz w:val="15"/>
          <w:szCs w:val="15"/>
          <w:color w:val="auto"/>
        </w:rPr>
        <w:t>Mr. Kasbar, and the Board determined that the familial relationship between Messrs. Kasbar and Kassar was not material because it would not adversely affect Mr. Kassar's ability to exercise his independent judgment as our director. Mr. Kasbar is not deemed to be an independent director because of his employment relationship with us and as a result, Mr. Kasbar is precluded from sitting on our Audit, Compensation, Governance and Technology and Operations Committees.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Committees of the Board</w:t>
      </w:r>
    </w:p>
    <w:p>
      <w:pPr>
        <w:spacing w:after="0" w:line="215" w:lineRule="exact"/>
        <w:rPr>
          <w:sz w:val="20"/>
          <w:szCs w:val="20"/>
          <w:color w:val="auto"/>
        </w:rPr>
      </w:pPr>
    </w:p>
    <w:p>
      <w:pPr>
        <w:ind w:right="660" w:firstLine="561"/>
        <w:spacing w:after="0" w:line="262" w:lineRule="auto"/>
        <w:rPr>
          <w:sz w:val="20"/>
          <w:szCs w:val="20"/>
          <w:color w:val="auto"/>
        </w:rPr>
      </w:pPr>
      <w:r>
        <w:rPr>
          <w:rFonts w:ascii="Arial" w:cs="Arial" w:eastAsia="Arial" w:hAnsi="Arial"/>
          <w:sz w:val="16"/>
          <w:szCs w:val="16"/>
          <w:color w:val="auto"/>
        </w:rPr>
        <w:t>Our Board has four standing committees: the Governance Committee, the Audit Committee, the Compensation Committee and the Technology and Operations Committee. The following table</w:t>
      </w:r>
    </w:p>
    <w:p>
      <w:pPr>
        <w:jc w:val="right"/>
        <w:spacing w:after="0"/>
        <w:tabs>
          <w:tab w:leader="none" w:pos="1960" w:val="left"/>
          <w:tab w:leader="none" w:pos="1720" w:val="left"/>
          <w:tab w:leader="none" w:pos="14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3"/>
          <w:szCs w:val="33"/>
          <w:b w:val="1"/>
          <w:bCs w:val="1"/>
          <w:color w:val="auto"/>
          <w:vertAlign w:val="subscript"/>
        </w:rPr>
        <w:t>|</w:t>
      </w:r>
      <w:r>
        <w:rPr>
          <w:sz w:val="20"/>
          <w:szCs w:val="20"/>
          <w:color w:val="auto"/>
        </w:rPr>
        <w:tab/>
      </w:r>
      <w:r>
        <w:rPr>
          <w:rFonts w:ascii="Arial" w:cs="Arial" w:eastAsia="Arial" w:hAnsi="Arial"/>
          <w:sz w:val="16"/>
          <w:szCs w:val="16"/>
          <w:color w:val="auto"/>
        </w:rPr>
        <w:t>2018 Proxy Statement</w:t>
      </w:r>
      <w:r>
        <w:rPr>
          <w:sz w:val="20"/>
          <w:szCs w:val="20"/>
          <w:color w:val="auto"/>
        </w:rPr>
        <w:tab/>
      </w: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133350</wp:posOffset>
            </wp:positionV>
            <wp:extent cx="7263130" cy="203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 w:name="page21"/>
    <w:bookmarkEnd w:id="20"/>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color w:val="auto"/>
        </w:rPr>
        <w:t>illustrates the current membership of each of our Board's committees, which are composed entirely of independent directors:</w:t>
      </w:r>
    </w:p>
    <w:p>
      <w:pPr>
        <w:sectPr>
          <w:pgSz w:w="11900" w:h="16838" w:orient="portrait"/>
          <w:cols w:equalWidth="0" w:num="1">
            <w:col w:w="11420"/>
          </w:cols>
          <w:pgMar w:left="240" w:top="131" w:right="239" w:bottom="1440" w:gutter="0" w:footer="0" w:header="0"/>
        </w:sectPr>
      </w:pPr>
    </w:p>
    <w:p>
      <w:pPr>
        <w:spacing w:after="0" w:line="365" w:lineRule="exact"/>
        <w:rPr>
          <w:sz w:val="20"/>
          <w:szCs w:val="20"/>
          <w:color w:val="auto"/>
        </w:rPr>
      </w:pPr>
    </w:p>
    <w:p>
      <w:pPr>
        <w:ind w:left="1140"/>
        <w:spacing w:after="0"/>
        <w:rPr>
          <w:sz w:val="20"/>
          <w:szCs w:val="20"/>
          <w:color w:val="auto"/>
        </w:rPr>
      </w:pPr>
      <w:r>
        <w:rPr>
          <w:rFonts w:ascii="Arial" w:cs="Arial" w:eastAsia="Arial" w:hAnsi="Arial"/>
          <w:sz w:val="11"/>
          <w:szCs w:val="11"/>
          <w:b w:val="1"/>
          <w:bCs w:val="1"/>
          <w:color w:val="auto"/>
        </w:rPr>
        <w:t>Director</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Audit</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spacing w:after="0"/>
        <w:tabs>
          <w:tab w:leader="none" w:pos="960" w:val="left"/>
        </w:tabs>
        <w:rPr>
          <w:sz w:val="20"/>
          <w:szCs w:val="20"/>
          <w:color w:val="auto"/>
        </w:rPr>
      </w:pPr>
      <w:r>
        <w:rPr>
          <w:rFonts w:ascii="Arial" w:cs="Arial" w:eastAsia="Arial" w:hAnsi="Arial"/>
          <w:sz w:val="11"/>
          <w:szCs w:val="11"/>
          <w:b w:val="1"/>
          <w:bCs w:val="1"/>
          <w:color w:val="auto"/>
        </w:rPr>
        <w:t>Compensation</w:t>
      </w:r>
      <w:r>
        <w:rPr>
          <w:sz w:val="20"/>
          <w:szCs w:val="20"/>
          <w:color w:val="auto"/>
        </w:rPr>
        <w:tab/>
      </w:r>
      <w:r>
        <w:rPr>
          <w:rFonts w:ascii="Arial" w:cs="Arial" w:eastAsia="Arial" w:hAnsi="Arial"/>
          <w:sz w:val="11"/>
          <w:szCs w:val="11"/>
          <w:b w:val="1"/>
          <w:bCs w:val="1"/>
          <w:color w:val="auto"/>
        </w:rPr>
        <w:t>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745490</wp:posOffset>
            </wp:positionH>
            <wp:positionV relativeFrom="paragraph">
              <wp:posOffset>280035</wp:posOffset>
            </wp:positionV>
            <wp:extent cx="148590" cy="1409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48590" cy="1409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jc w:val="center"/>
        <w:ind w:right="1180"/>
        <w:spacing w:after="0"/>
        <w:rPr>
          <w:sz w:val="20"/>
          <w:szCs w:val="20"/>
          <w:color w:val="auto"/>
        </w:rPr>
      </w:pPr>
      <w:r>
        <w:rPr>
          <w:rFonts w:ascii="Arial" w:cs="Arial" w:eastAsia="Arial" w:hAnsi="Arial"/>
          <w:sz w:val="10"/>
          <w:szCs w:val="10"/>
          <w:b w:val="1"/>
          <w:bCs w:val="1"/>
          <w:color w:val="auto"/>
        </w:rPr>
        <w:t>Technology and</w:t>
      </w:r>
    </w:p>
    <w:p>
      <w:pPr>
        <w:spacing w:after="0" w:line="35" w:lineRule="exact"/>
        <w:rPr>
          <w:sz w:val="20"/>
          <w:szCs w:val="20"/>
          <w:color w:val="auto"/>
        </w:rPr>
      </w:pPr>
    </w:p>
    <w:p>
      <w:pPr>
        <w:jc w:val="center"/>
        <w:ind w:right="1180"/>
        <w:spacing w:after="0"/>
        <w:rPr>
          <w:sz w:val="20"/>
          <w:szCs w:val="20"/>
          <w:color w:val="auto"/>
        </w:rPr>
      </w:pPr>
      <w:r>
        <w:rPr>
          <w:rFonts w:ascii="Arial" w:cs="Arial" w:eastAsia="Arial" w:hAnsi="Arial"/>
          <w:sz w:val="12"/>
          <w:szCs w:val="12"/>
          <w:b w:val="1"/>
          <w:bCs w:val="1"/>
          <w:color w:val="auto"/>
        </w:rPr>
        <w:t>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187325</wp:posOffset>
            </wp:positionH>
            <wp:positionV relativeFrom="paragraph">
              <wp:posOffset>264160</wp:posOffset>
            </wp:positionV>
            <wp:extent cx="148590" cy="1409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48590" cy="1409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4">
            <w:col w:w="6160" w:space="720"/>
            <w:col w:w="320" w:space="380"/>
            <w:col w:w="1620" w:space="220"/>
            <w:col w:w="2000"/>
          </w:cols>
          <w:pgMar w:left="240" w:top="131" w:right="239" w:bottom="1440" w:gutter="0" w:footer="0" w:header="0"/>
          <w:type w:val="continuous"/>
        </w:sectPr>
      </w:pPr>
    </w:p>
    <w:p>
      <w:pPr>
        <w:spacing w:after="0" w:line="216" w:lineRule="exact"/>
        <w:rPr>
          <w:sz w:val="20"/>
          <w:szCs w:val="20"/>
          <w:color w:val="auto"/>
        </w:rPr>
      </w:pPr>
    </w:p>
    <w:tbl>
      <w:tblPr>
        <w:tblLayout w:type="fixed"/>
        <w:tblInd w:w="1140" w:type="dxa"/>
        <w:tblCellMar>
          <w:top w:w="0" w:type="dxa"/>
          <w:left w:w="0" w:type="dxa"/>
          <w:bottom w:w="0" w:type="dxa"/>
          <w:right w:w="0" w:type="dxa"/>
        </w:tblCellMar>
      </w:tblPr>
      <w:tr>
        <w:trPr>
          <w:trHeight w:val="222"/>
        </w:trPr>
        <w:tc>
          <w:tcPr>
            <w:tcW w:w="3580" w:type="dxa"/>
            <w:vAlign w:val="bottom"/>
            <w:shd w:val="clear" w:color="auto" w:fill="CCEEFF"/>
          </w:tcPr>
          <w:p>
            <w:pPr>
              <w:spacing w:after="0"/>
              <w:rPr>
                <w:sz w:val="20"/>
                <w:szCs w:val="20"/>
                <w:color w:val="auto"/>
              </w:rPr>
            </w:pPr>
            <w:r>
              <w:rPr>
                <w:rFonts w:ascii="Arial" w:cs="Arial" w:eastAsia="Arial" w:hAnsi="Arial"/>
                <w:sz w:val="16"/>
                <w:szCs w:val="16"/>
                <w:color w:val="auto"/>
              </w:rPr>
              <w:t>Ken Bakshi</w:t>
            </w:r>
          </w:p>
        </w:tc>
        <w:tc>
          <w:tcPr>
            <w:tcW w:w="5560" w:type="dxa"/>
            <w:vAlign w:val="bottom"/>
            <w:shd w:val="clear" w:color="auto" w:fill="CCEEFF"/>
          </w:tcPr>
          <w:p>
            <w:pPr>
              <w:ind w:left="2920"/>
              <w:spacing w:after="0"/>
              <w:rPr>
                <w:sz w:val="20"/>
                <w:szCs w:val="20"/>
                <w:color w:val="auto"/>
              </w:rPr>
            </w:pPr>
            <w:r>
              <w:rPr>
                <w:rFonts w:ascii="Arial" w:cs="Arial" w:eastAsia="Arial" w:hAnsi="Arial"/>
                <w:sz w:val="16"/>
                <w:szCs w:val="16"/>
                <w:color w:val="auto"/>
              </w:rPr>
              <w:t>Chairman</w:t>
            </w:r>
          </w:p>
        </w:tc>
      </w:tr>
      <w:tr>
        <w:trPr>
          <w:trHeight w:val="419"/>
        </w:trPr>
        <w:tc>
          <w:tcPr>
            <w:tcW w:w="3580" w:type="dxa"/>
            <w:vAlign w:val="bottom"/>
          </w:tcPr>
          <w:p>
            <w:pPr>
              <w:spacing w:after="0"/>
              <w:rPr>
                <w:sz w:val="20"/>
                <w:szCs w:val="20"/>
                <w:color w:val="auto"/>
              </w:rPr>
            </w:pPr>
            <w:r>
              <w:rPr>
                <w:rFonts w:ascii="Arial" w:cs="Arial" w:eastAsia="Arial" w:hAnsi="Arial"/>
                <w:sz w:val="16"/>
                <w:szCs w:val="16"/>
                <w:color w:val="auto"/>
              </w:rPr>
              <w:t>Jorge L. Benitez</w:t>
            </w:r>
          </w:p>
        </w:tc>
        <w:tc>
          <w:tcPr>
            <w:tcW w:w="5560" w:type="dxa"/>
            <w:vAlign w:val="bottom"/>
          </w:tcPr>
          <w:p>
            <w:pPr>
              <w:ind w:left="4800"/>
              <w:spacing w:after="0"/>
              <w:rPr>
                <w:sz w:val="20"/>
                <w:szCs w:val="20"/>
                <w:color w:val="auto"/>
              </w:rPr>
            </w:pPr>
            <w:r>
              <w:rPr>
                <w:rFonts w:ascii="Arial" w:cs="Arial" w:eastAsia="Arial" w:hAnsi="Arial"/>
                <w:sz w:val="16"/>
                <w:szCs w:val="16"/>
                <w:color w:val="auto"/>
              </w:rPr>
              <w:t>Chairman</w:t>
            </w:r>
          </w:p>
        </w:tc>
      </w:tr>
      <w:tr>
        <w:trPr>
          <w:trHeight w:val="420"/>
        </w:trPr>
        <w:tc>
          <w:tcPr>
            <w:tcW w:w="3580" w:type="dxa"/>
            <w:vAlign w:val="bottom"/>
            <w:shd w:val="clear" w:color="auto" w:fill="CCEEFF"/>
          </w:tcPr>
          <w:p>
            <w:pPr>
              <w:spacing w:after="0"/>
              <w:rPr>
                <w:sz w:val="20"/>
                <w:szCs w:val="20"/>
                <w:color w:val="auto"/>
              </w:rPr>
            </w:pPr>
            <w:r>
              <w:rPr>
                <w:rFonts w:ascii="Arial" w:cs="Arial" w:eastAsia="Arial" w:hAnsi="Arial"/>
                <w:sz w:val="16"/>
                <w:szCs w:val="16"/>
                <w:color w:val="auto"/>
              </w:rPr>
              <w:t>Stephen J. Gold</w:t>
            </w:r>
          </w:p>
        </w:tc>
        <w:tc>
          <w:tcPr>
            <w:tcW w:w="5560" w:type="dxa"/>
            <w:vAlign w:val="bottom"/>
            <w:shd w:val="clear" w:color="auto" w:fill="CCEEFF"/>
          </w:tcPr>
          <w:p>
            <w:pPr>
              <w:spacing w:after="0"/>
              <w:rPr>
                <w:sz w:val="24"/>
                <w:szCs w:val="24"/>
                <w:color w:val="auto"/>
              </w:rPr>
            </w:pPr>
          </w:p>
        </w:tc>
      </w:tr>
      <w:tr>
        <w:trPr>
          <w:trHeight w:val="419"/>
        </w:trPr>
        <w:tc>
          <w:tcPr>
            <w:tcW w:w="3580" w:type="dxa"/>
            <w:vAlign w:val="bottom"/>
          </w:tcPr>
          <w:p>
            <w:pPr>
              <w:spacing w:after="0"/>
              <w:rPr>
                <w:sz w:val="20"/>
                <w:szCs w:val="20"/>
                <w:color w:val="auto"/>
              </w:rPr>
            </w:pPr>
            <w:r>
              <w:rPr>
                <w:rFonts w:ascii="Arial" w:cs="Arial" w:eastAsia="Arial" w:hAnsi="Arial"/>
                <w:sz w:val="16"/>
                <w:szCs w:val="16"/>
                <w:color w:val="auto"/>
              </w:rPr>
              <w:t>Richard A. Kassar</w:t>
            </w:r>
          </w:p>
        </w:tc>
        <w:tc>
          <w:tcPr>
            <w:tcW w:w="5560" w:type="dxa"/>
            <w:vAlign w:val="bottom"/>
          </w:tcPr>
          <w:p>
            <w:pPr>
              <w:spacing w:after="0"/>
              <w:rPr>
                <w:sz w:val="24"/>
                <w:szCs w:val="24"/>
                <w:color w:val="auto"/>
              </w:rPr>
            </w:pPr>
          </w:p>
        </w:tc>
      </w:tr>
      <w:tr>
        <w:trPr>
          <w:trHeight w:val="420"/>
        </w:trPr>
        <w:tc>
          <w:tcPr>
            <w:tcW w:w="3580" w:type="dxa"/>
            <w:vAlign w:val="bottom"/>
            <w:shd w:val="clear" w:color="auto" w:fill="CCEEFF"/>
          </w:tcPr>
          <w:p>
            <w:pPr>
              <w:spacing w:after="0"/>
              <w:rPr>
                <w:sz w:val="20"/>
                <w:szCs w:val="20"/>
                <w:color w:val="auto"/>
              </w:rPr>
            </w:pPr>
            <w:r>
              <w:rPr>
                <w:rFonts w:ascii="Arial" w:cs="Arial" w:eastAsia="Arial" w:hAnsi="Arial"/>
                <w:sz w:val="16"/>
                <w:szCs w:val="16"/>
                <w:color w:val="auto"/>
              </w:rPr>
              <w:t>John L. Manley</w:t>
            </w:r>
          </w:p>
        </w:tc>
        <w:tc>
          <w:tcPr>
            <w:tcW w:w="5560" w:type="dxa"/>
            <w:vAlign w:val="bottom"/>
            <w:shd w:val="clear" w:color="auto" w:fill="CCEEFF"/>
          </w:tcPr>
          <w:p>
            <w:pPr>
              <w:ind w:left="2000"/>
              <w:spacing w:after="0"/>
              <w:rPr>
                <w:sz w:val="20"/>
                <w:szCs w:val="20"/>
                <w:color w:val="auto"/>
              </w:rPr>
            </w:pPr>
            <w:r>
              <w:rPr>
                <w:rFonts w:ascii="Arial" w:cs="Arial" w:eastAsia="Arial" w:hAnsi="Arial"/>
                <w:sz w:val="16"/>
                <w:szCs w:val="16"/>
                <w:color w:val="auto"/>
              </w:rPr>
              <w:t>Chairman</w:t>
            </w:r>
          </w:p>
        </w:tc>
      </w:tr>
      <w:tr>
        <w:trPr>
          <w:trHeight w:val="419"/>
        </w:trPr>
        <w:tc>
          <w:tcPr>
            <w:tcW w:w="3580" w:type="dxa"/>
            <w:vAlign w:val="bottom"/>
          </w:tcPr>
          <w:p>
            <w:pPr>
              <w:spacing w:after="0"/>
              <w:rPr>
                <w:sz w:val="20"/>
                <w:szCs w:val="20"/>
                <w:color w:val="auto"/>
              </w:rPr>
            </w:pPr>
            <w:r>
              <w:rPr>
                <w:rFonts w:ascii="Arial" w:cs="Arial" w:eastAsia="Arial" w:hAnsi="Arial"/>
                <w:sz w:val="16"/>
                <w:szCs w:val="16"/>
                <w:color w:val="auto"/>
              </w:rPr>
              <w:t>J. Thomas Presby</w:t>
            </w:r>
          </w:p>
        </w:tc>
        <w:tc>
          <w:tcPr>
            <w:tcW w:w="5560" w:type="dxa"/>
            <w:vAlign w:val="bottom"/>
          </w:tcPr>
          <w:p>
            <w:pPr>
              <w:spacing w:after="0"/>
              <w:rPr>
                <w:sz w:val="24"/>
                <w:szCs w:val="24"/>
                <w:color w:val="auto"/>
              </w:rPr>
            </w:pPr>
          </w:p>
        </w:tc>
      </w:tr>
      <w:tr>
        <w:trPr>
          <w:trHeight w:val="420"/>
        </w:trPr>
        <w:tc>
          <w:tcPr>
            <w:tcW w:w="3580" w:type="dxa"/>
            <w:vAlign w:val="bottom"/>
            <w:shd w:val="clear" w:color="auto" w:fill="CCEEFF"/>
          </w:tcPr>
          <w:p>
            <w:pPr>
              <w:spacing w:after="0"/>
              <w:rPr>
                <w:sz w:val="20"/>
                <w:szCs w:val="20"/>
                <w:color w:val="auto"/>
              </w:rPr>
            </w:pPr>
            <w:r>
              <w:rPr>
                <w:rFonts w:ascii="Arial" w:cs="Arial" w:eastAsia="Arial" w:hAnsi="Arial"/>
                <w:sz w:val="16"/>
                <w:szCs w:val="16"/>
                <w:color w:val="auto"/>
              </w:rPr>
              <w:t>Stephen K. Roddenberry</w:t>
            </w:r>
          </w:p>
        </w:tc>
        <w:tc>
          <w:tcPr>
            <w:tcW w:w="5560" w:type="dxa"/>
            <w:vAlign w:val="bottom"/>
            <w:shd w:val="clear" w:color="auto" w:fill="CCEEFF"/>
          </w:tcPr>
          <w:p>
            <w:pPr>
              <w:ind w:left="3840"/>
              <w:spacing w:after="0"/>
              <w:rPr>
                <w:sz w:val="20"/>
                <w:szCs w:val="20"/>
                <w:color w:val="auto"/>
              </w:rPr>
            </w:pPr>
            <w:r>
              <w:rPr>
                <w:rFonts w:ascii="Arial" w:cs="Arial" w:eastAsia="Arial" w:hAnsi="Arial"/>
                <w:sz w:val="16"/>
                <w:szCs w:val="16"/>
                <w:color w:val="auto"/>
              </w:rPr>
              <w:t>Chairman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5558790</wp:posOffset>
            </wp:positionH>
            <wp:positionV relativeFrom="paragraph">
              <wp:posOffset>-1471295</wp:posOffset>
            </wp:positionV>
            <wp:extent cx="148590" cy="1409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48590" cy="140970"/>
                    </a:xfrm>
                    <a:prstGeom prst="rect">
                      <a:avLst/>
                    </a:prstGeom>
                    <a:noFill/>
                  </pic:spPr>
                </pic:pic>
              </a:graphicData>
            </a:graphic>
          </wp:anchor>
        </w:drawing>
        <w:drawing>
          <wp:anchor simplePos="0" relativeHeight="251657728" behindDoc="1" locked="0" layoutInCell="0" allowOverlap="1">
            <wp:simplePos x="0" y="0"/>
            <wp:positionH relativeFrom="column">
              <wp:posOffset>5558790</wp:posOffset>
            </wp:positionH>
            <wp:positionV relativeFrom="paragraph">
              <wp:posOffset>-1205230</wp:posOffset>
            </wp:positionV>
            <wp:extent cx="148590" cy="1409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48590" cy="140970"/>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-1205230</wp:posOffset>
            </wp:positionV>
            <wp:extent cx="148590" cy="1409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48590" cy="140970"/>
                    </a:xfrm>
                    <a:prstGeom prst="rect">
                      <a:avLst/>
                    </a:prstGeom>
                    <a:noFill/>
                  </pic:spPr>
                </pic:pic>
              </a:graphicData>
            </a:graphic>
          </wp:anchor>
        </w:drawing>
        <w:drawing>
          <wp:anchor simplePos="0" relativeHeight="251657728" behindDoc="1" locked="0" layoutInCell="0" allowOverlap="1">
            <wp:simplePos x="0" y="0"/>
            <wp:positionH relativeFrom="column">
              <wp:posOffset>4391660</wp:posOffset>
            </wp:positionH>
            <wp:positionV relativeFrom="paragraph">
              <wp:posOffset>-939165</wp:posOffset>
            </wp:positionV>
            <wp:extent cx="148590" cy="1409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48590" cy="140970"/>
                    </a:xfrm>
                    <a:prstGeom prst="rect">
                      <a:avLst/>
                    </a:prstGeom>
                    <a:noFill/>
                  </pic:spPr>
                </pic:pic>
              </a:graphicData>
            </a:graphic>
          </wp:anchor>
        </w:drawing>
        <w:drawing>
          <wp:anchor simplePos="0" relativeHeight="251657728" behindDoc="1" locked="0" layoutInCell="0" allowOverlap="1">
            <wp:simplePos x="0" y="0"/>
            <wp:positionH relativeFrom="column">
              <wp:posOffset>4979035</wp:posOffset>
            </wp:positionH>
            <wp:positionV relativeFrom="paragraph">
              <wp:posOffset>-939165</wp:posOffset>
            </wp:positionV>
            <wp:extent cx="148590" cy="1409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48590" cy="140970"/>
                    </a:xfrm>
                    <a:prstGeom prst="rect">
                      <a:avLst/>
                    </a:prstGeom>
                    <a:noFill/>
                  </pic:spPr>
                </pic:pic>
              </a:graphicData>
            </a:graphic>
          </wp:anchor>
        </w:drawing>
        <w:drawing>
          <wp:anchor simplePos="0" relativeHeight="251657728" behindDoc="1" locked="0" layoutInCell="0" allowOverlap="1">
            <wp:simplePos x="0" y="0"/>
            <wp:positionH relativeFrom="column">
              <wp:posOffset>5558790</wp:posOffset>
            </wp:positionH>
            <wp:positionV relativeFrom="paragraph">
              <wp:posOffset>-939165</wp:posOffset>
            </wp:positionV>
            <wp:extent cx="148590" cy="1409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48590" cy="140970"/>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-939165</wp:posOffset>
            </wp:positionV>
            <wp:extent cx="148590" cy="1409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48590" cy="140970"/>
                    </a:xfrm>
                    <a:prstGeom prst="rect">
                      <a:avLst/>
                    </a:prstGeom>
                    <a:noFill/>
                  </pic:spPr>
                </pic:pic>
              </a:graphicData>
            </a:graphic>
          </wp:anchor>
        </w:drawing>
        <w:drawing>
          <wp:anchor simplePos="0" relativeHeight="251657728" behindDoc="1" locked="0" layoutInCell="0" allowOverlap="1">
            <wp:simplePos x="0" y="0"/>
            <wp:positionH relativeFrom="column">
              <wp:posOffset>5558790</wp:posOffset>
            </wp:positionH>
            <wp:positionV relativeFrom="paragraph">
              <wp:posOffset>-672465</wp:posOffset>
            </wp:positionV>
            <wp:extent cx="148590" cy="1409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48590" cy="140970"/>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-672465</wp:posOffset>
            </wp:positionV>
            <wp:extent cx="148590" cy="1409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48590" cy="140970"/>
                    </a:xfrm>
                    <a:prstGeom prst="rect">
                      <a:avLst/>
                    </a:prstGeom>
                    <a:noFill/>
                  </pic:spPr>
                </pic:pic>
              </a:graphicData>
            </a:graphic>
          </wp:anchor>
        </w:drawing>
        <w:drawing>
          <wp:anchor simplePos="0" relativeHeight="251657728" behindDoc="1" locked="0" layoutInCell="0" allowOverlap="1">
            <wp:simplePos x="0" y="0"/>
            <wp:positionH relativeFrom="column">
              <wp:posOffset>4391660</wp:posOffset>
            </wp:positionH>
            <wp:positionV relativeFrom="paragraph">
              <wp:posOffset>-406400</wp:posOffset>
            </wp:positionV>
            <wp:extent cx="148590" cy="1409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48590" cy="140970"/>
                    </a:xfrm>
                    <a:prstGeom prst="rect">
                      <a:avLst/>
                    </a:prstGeom>
                    <a:noFill/>
                  </pic:spPr>
                </pic:pic>
              </a:graphicData>
            </a:graphic>
          </wp:anchor>
        </w:drawing>
        <w:drawing>
          <wp:anchor simplePos="0" relativeHeight="251657728" behindDoc="1" locked="0" layoutInCell="0" allowOverlap="1">
            <wp:simplePos x="0" y="0"/>
            <wp:positionH relativeFrom="column">
              <wp:posOffset>5558790</wp:posOffset>
            </wp:positionH>
            <wp:positionV relativeFrom="paragraph">
              <wp:posOffset>-406400</wp:posOffset>
            </wp:positionV>
            <wp:extent cx="148590" cy="14097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48590" cy="140970"/>
                    </a:xfrm>
                    <a:prstGeom prst="rect">
                      <a:avLst/>
                    </a:prstGeom>
                    <a:noFill/>
                  </pic:spPr>
                </pic:pic>
              </a:graphicData>
            </a:graphic>
          </wp:anchor>
        </w:drawing>
        <w:drawing>
          <wp:anchor simplePos="0" relativeHeight="251657728" behindDoc="1" locked="0" layoutInCell="0" allowOverlap="1">
            <wp:simplePos x="0" y="0"/>
            <wp:positionH relativeFrom="column">
              <wp:posOffset>4979035</wp:posOffset>
            </wp:positionH>
            <wp:positionV relativeFrom="paragraph">
              <wp:posOffset>-140335</wp:posOffset>
            </wp:positionV>
            <wp:extent cx="148590" cy="14097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48590" cy="140970"/>
                    </a:xfrm>
                    <a:prstGeom prst="rect">
                      <a:avLst/>
                    </a:prstGeom>
                    <a:noFill/>
                  </pic:spPr>
                </pic:pic>
              </a:graphicData>
            </a:graphic>
          </wp:anchor>
        </w:drawing>
      </w:r>
    </w:p>
    <w:p>
      <w:pPr>
        <w:spacing w:after="0" w:line="168" w:lineRule="exact"/>
        <w:rPr>
          <w:sz w:val="20"/>
          <w:szCs w:val="20"/>
          <w:color w:val="auto"/>
        </w:rPr>
      </w:pPr>
    </w:p>
    <w:p>
      <w:pPr>
        <w:ind w:firstLine="561"/>
        <w:spacing w:after="0" w:line="264" w:lineRule="auto"/>
        <w:rPr>
          <w:sz w:val="20"/>
          <w:szCs w:val="20"/>
          <w:color w:val="auto"/>
        </w:rPr>
      </w:pPr>
      <w:r>
        <w:rPr>
          <w:rFonts w:ascii="Arial" w:cs="Arial" w:eastAsia="Arial" w:hAnsi="Arial"/>
          <w:sz w:val="16"/>
          <w:szCs w:val="16"/>
          <w:color w:val="auto"/>
        </w:rPr>
        <w:t>Each of the Board's committees operates under a written charter adopted by our Board which addresses the purpose, duties and responsibilities of the committee. Each committee reviews its charter at least annually and recommends charter changes to the Board as appropriate. During 2017, each of the committees reviewed its charter, and each of the committees except the Governance Committee revised its charter. A current copy of each committee charter can be found on our website at www.wfscorp.com by clicking on Investor Relations and then Corporate Governance. The members of each of the committees conducted evaluations of their respective committee's performance during 2017 in accordance with the requirements of their respective committee charters.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Audit Committee</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Audit Committee consists of Messrs. Kassar, Presby and Manley, who serves as Chairman. The Audit Committee held nine meetings during 2017.</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6"/>
          <w:szCs w:val="16"/>
          <w:i w:val="1"/>
          <w:iCs w:val="1"/>
          <w:color w:val="auto"/>
        </w:rPr>
        <w:t>Independence and Financial Expertise</w:t>
      </w:r>
    </w:p>
    <w:p>
      <w:pPr>
        <w:spacing w:after="0" w:line="211" w:lineRule="exact"/>
        <w:rPr>
          <w:sz w:val="20"/>
          <w:szCs w:val="20"/>
          <w:color w:val="auto"/>
        </w:rPr>
      </w:pPr>
    </w:p>
    <w:p>
      <w:pPr>
        <w:jc w:val="both"/>
        <w:ind w:right="460" w:firstLine="558"/>
        <w:spacing w:after="0" w:line="270" w:lineRule="auto"/>
        <w:rPr>
          <w:sz w:val="20"/>
          <w:szCs w:val="20"/>
          <w:color w:val="auto"/>
        </w:rPr>
      </w:pPr>
      <w:r>
        <w:rPr>
          <w:rFonts w:ascii="Arial" w:cs="Arial" w:eastAsia="Arial" w:hAnsi="Arial"/>
          <w:sz w:val="16"/>
          <w:szCs w:val="16"/>
          <w:color w:val="auto"/>
        </w:rPr>
        <w:t>The Board has determined that all of the members of the Audit Committee meet the NYSE standards of independence, financial literacy and accounting or related financial management expertise, and the SEC's requirements with respect to the independence of audit committee members. The Board has also determined that all of the members of the Audit Committee meet the SEC's definition of an "audit committee financial expert."</w:t>
      </w:r>
    </w:p>
    <w:p>
      <w:pPr>
        <w:spacing w:after="0" w:line="168" w:lineRule="exact"/>
        <w:rPr>
          <w:sz w:val="20"/>
          <w:szCs w:val="20"/>
          <w:color w:val="auto"/>
        </w:rPr>
      </w:pPr>
    </w:p>
    <w:p>
      <w:pPr>
        <w:ind w:right="100" w:firstLine="558"/>
        <w:spacing w:after="0" w:line="270" w:lineRule="auto"/>
        <w:rPr>
          <w:sz w:val="20"/>
          <w:szCs w:val="20"/>
          <w:color w:val="auto"/>
        </w:rPr>
      </w:pPr>
      <w:r>
        <w:rPr>
          <w:rFonts w:ascii="Arial" w:cs="Arial" w:eastAsia="Arial" w:hAnsi="Arial"/>
          <w:sz w:val="16"/>
          <w:szCs w:val="16"/>
          <w:color w:val="auto"/>
        </w:rPr>
        <w:t>The charter provides that a member of the Audit Committee shall not simultaneously serve on the audit committees of more than two other public companies unless the Board determines that simultaneous service would not impair the ability of the member to effectively serve on the Audit Committee. None of the members of our Audit Committee currently serve on the audit committees of more than two other public companies.</w:t>
      </w:r>
    </w:p>
    <w:p>
      <w:pPr>
        <w:spacing w:after="0" w:line="168" w:lineRule="exact"/>
        <w:rPr>
          <w:sz w:val="20"/>
          <w:szCs w:val="20"/>
          <w:color w:val="auto"/>
        </w:rPr>
      </w:pPr>
    </w:p>
    <w:p>
      <w:pPr>
        <w:ind w:left="980"/>
        <w:spacing w:after="0"/>
        <w:rPr>
          <w:sz w:val="20"/>
          <w:szCs w:val="20"/>
          <w:color w:val="auto"/>
        </w:rPr>
      </w:pPr>
      <w:r>
        <w:rPr>
          <w:rFonts w:ascii="Arial" w:cs="Arial" w:eastAsia="Arial" w:hAnsi="Arial"/>
          <w:sz w:val="16"/>
          <w:szCs w:val="16"/>
          <w:i w:val="1"/>
          <w:iCs w:val="1"/>
          <w:color w:val="auto"/>
        </w:rPr>
        <w:t>Responsibilities</w:t>
      </w:r>
    </w:p>
    <w:p>
      <w:pPr>
        <w:spacing w:after="0" w:line="211" w:lineRule="exact"/>
        <w:rPr>
          <w:sz w:val="20"/>
          <w:szCs w:val="20"/>
          <w:color w:val="auto"/>
        </w:rPr>
      </w:pPr>
    </w:p>
    <w:p>
      <w:pPr>
        <w:ind w:right="200" w:firstLine="561"/>
        <w:spacing w:after="0" w:line="262" w:lineRule="auto"/>
        <w:rPr>
          <w:sz w:val="20"/>
          <w:szCs w:val="20"/>
          <w:color w:val="auto"/>
        </w:rPr>
      </w:pPr>
      <w:r>
        <w:rPr>
          <w:rFonts w:ascii="Arial" w:cs="Arial" w:eastAsia="Arial" w:hAnsi="Arial"/>
          <w:sz w:val="16"/>
          <w:szCs w:val="16"/>
          <w:color w:val="auto"/>
        </w:rPr>
        <w:t>Our management is responsible for preparing our consolidated financial statements and for the financial reporting process. The independent registered certified public accounting firm is responsible for expressing an opinion on the conformity of our consolidated financial statements with accounting</w:t>
      </w:r>
    </w:p>
    <w:p>
      <w:pPr>
        <w:jc w:val="right"/>
        <w:spacing w:after="0"/>
        <w:tabs>
          <w:tab w:leader="none" w:pos="1960" w:val="left"/>
          <w:tab w:leader="none" w:pos="1720" w:val="left"/>
          <w:tab w:leader="none" w:pos="14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3"/>
          <w:szCs w:val="33"/>
          <w:b w:val="1"/>
          <w:bCs w:val="1"/>
          <w:color w:val="auto"/>
          <w:vertAlign w:val="subscript"/>
        </w:rPr>
        <w:t>|</w:t>
      </w:r>
      <w:r>
        <w:rPr>
          <w:sz w:val="20"/>
          <w:szCs w:val="20"/>
          <w:color w:val="auto"/>
        </w:rPr>
        <w:tab/>
      </w:r>
      <w:r>
        <w:rPr>
          <w:rFonts w:ascii="Arial" w:cs="Arial" w:eastAsia="Arial" w:hAnsi="Arial"/>
          <w:sz w:val="16"/>
          <w:szCs w:val="16"/>
          <w:color w:val="auto"/>
        </w:rPr>
        <w:t>2018 Proxy Statement</w:t>
      </w:r>
      <w:r>
        <w:rPr>
          <w:sz w:val="20"/>
          <w:szCs w:val="20"/>
          <w:color w:val="auto"/>
        </w:rPr>
        <w:tab/>
      </w: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133350</wp:posOffset>
            </wp:positionV>
            <wp:extent cx="7263130" cy="203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21" w:name="page22"/>
    <w:bookmarkEnd w:id="21"/>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ind w:right="480"/>
        <w:spacing w:after="0" w:line="284" w:lineRule="auto"/>
        <w:rPr>
          <w:sz w:val="20"/>
          <w:szCs w:val="20"/>
          <w:color w:val="auto"/>
        </w:rPr>
      </w:pPr>
      <w:r>
        <w:rPr>
          <w:rFonts w:ascii="Arial" w:cs="Arial" w:eastAsia="Arial" w:hAnsi="Arial"/>
          <w:sz w:val="16"/>
          <w:szCs w:val="16"/>
          <w:color w:val="auto"/>
        </w:rPr>
        <w:t>principles generally accepted in the United States. Acting for the Board, the Audit Committee provides oversight of the financial reporting process and the internal control system. The Audit Committee:</w:t>
      </w:r>
    </w:p>
    <w:p>
      <w:pPr>
        <w:spacing w:after="0" w:line="169" w:lineRule="exact"/>
        <w:rPr>
          <w:sz w:val="20"/>
          <w:szCs w:val="20"/>
          <w:color w:val="auto"/>
        </w:rPr>
      </w:pPr>
    </w:p>
    <w:p>
      <w:pPr>
        <w:ind w:left="980" w:hanging="488"/>
        <w:spacing w:after="0"/>
        <w:tabs>
          <w:tab w:leader="none" w:pos="9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reviews the qualifications, independence and performance of our independent registered certified public accounting firm;</w:t>
      </w:r>
    </w:p>
    <w:p>
      <w:pPr>
        <w:spacing w:after="0" w:line="235" w:lineRule="exact"/>
        <w:rPr>
          <w:rFonts w:ascii="Arial" w:cs="Arial" w:eastAsia="Arial" w:hAnsi="Arial"/>
          <w:sz w:val="16"/>
          <w:szCs w:val="16"/>
          <w:color w:val="auto"/>
        </w:rPr>
      </w:pPr>
    </w:p>
    <w:p>
      <w:pPr>
        <w:ind w:left="980" w:hanging="488"/>
        <w:spacing w:after="0"/>
        <w:tabs>
          <w:tab w:leader="none" w:pos="9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approves the appointment of our independent registered certified public accounting firm for the ensuing year;</w:t>
      </w:r>
    </w:p>
    <w:p>
      <w:pPr>
        <w:spacing w:after="0" w:line="222" w:lineRule="exact"/>
        <w:rPr>
          <w:rFonts w:ascii="Arial" w:cs="Arial" w:eastAsia="Arial" w:hAnsi="Arial"/>
          <w:sz w:val="16"/>
          <w:szCs w:val="16"/>
          <w:color w:val="auto"/>
        </w:rPr>
      </w:pPr>
    </w:p>
    <w:p>
      <w:pPr>
        <w:ind w:left="980" w:hanging="488"/>
        <w:spacing w:after="0"/>
        <w:tabs>
          <w:tab w:leader="none" w:pos="9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reviews the scope and budget for the annual audit;</w:t>
      </w:r>
    </w:p>
    <w:p>
      <w:pPr>
        <w:spacing w:after="0" w:line="222" w:lineRule="exact"/>
        <w:rPr>
          <w:rFonts w:ascii="Arial" w:cs="Arial" w:eastAsia="Arial" w:hAnsi="Arial"/>
          <w:sz w:val="16"/>
          <w:szCs w:val="16"/>
          <w:color w:val="auto"/>
        </w:rPr>
      </w:pPr>
    </w:p>
    <w:p>
      <w:pPr>
        <w:ind w:left="980" w:right="400" w:hanging="488"/>
        <w:spacing w:after="0" w:line="284" w:lineRule="auto"/>
        <w:tabs>
          <w:tab w:leader="none" w:pos="9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reviews with the independent registered certified public accounting firm the results of the audit engagement, including a review of the consolidated financial statements;</w:t>
      </w:r>
    </w:p>
    <w:p>
      <w:pPr>
        <w:spacing w:after="0" w:line="181" w:lineRule="exact"/>
        <w:rPr>
          <w:rFonts w:ascii="Arial" w:cs="Arial" w:eastAsia="Arial" w:hAnsi="Arial"/>
          <w:sz w:val="16"/>
          <w:szCs w:val="16"/>
          <w:color w:val="auto"/>
        </w:rPr>
      </w:pPr>
    </w:p>
    <w:p>
      <w:pPr>
        <w:ind w:left="980" w:hanging="488"/>
        <w:spacing w:after="0"/>
        <w:tabs>
          <w:tab w:leader="none" w:pos="9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approves all audit and non-audit services to be provided by the independent registered certified public accounting firm;</w:t>
      </w:r>
    </w:p>
    <w:p>
      <w:pPr>
        <w:spacing w:after="0" w:line="222" w:lineRule="exact"/>
        <w:rPr>
          <w:rFonts w:ascii="Arial" w:cs="Arial" w:eastAsia="Arial" w:hAnsi="Arial"/>
          <w:sz w:val="16"/>
          <w:szCs w:val="16"/>
          <w:color w:val="auto"/>
        </w:rPr>
      </w:pPr>
    </w:p>
    <w:p>
      <w:pPr>
        <w:ind w:left="980" w:hanging="488"/>
        <w:spacing w:after="0"/>
        <w:tabs>
          <w:tab w:leader="none" w:pos="9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reviews the scope of, and compliance with, our internal controls;</w:t>
      </w:r>
    </w:p>
    <w:p>
      <w:pPr>
        <w:spacing w:after="0" w:line="222" w:lineRule="exact"/>
        <w:rPr>
          <w:rFonts w:ascii="Arial" w:cs="Arial" w:eastAsia="Arial" w:hAnsi="Arial"/>
          <w:sz w:val="16"/>
          <w:szCs w:val="16"/>
          <w:color w:val="auto"/>
        </w:rPr>
      </w:pPr>
    </w:p>
    <w:p>
      <w:pPr>
        <w:ind w:left="980" w:hanging="488"/>
        <w:spacing w:after="0"/>
        <w:tabs>
          <w:tab w:leader="none" w:pos="9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reviews the effectiveness of our internal audit function;</w:t>
      </w:r>
    </w:p>
    <w:p>
      <w:pPr>
        <w:spacing w:after="0" w:line="235" w:lineRule="exact"/>
        <w:rPr>
          <w:rFonts w:ascii="Arial" w:cs="Arial" w:eastAsia="Arial" w:hAnsi="Arial"/>
          <w:sz w:val="16"/>
          <w:szCs w:val="16"/>
          <w:color w:val="auto"/>
        </w:rPr>
      </w:pPr>
    </w:p>
    <w:p>
      <w:pPr>
        <w:ind w:left="980" w:right="380" w:hanging="488"/>
        <w:spacing w:after="0" w:line="284" w:lineRule="auto"/>
        <w:tabs>
          <w:tab w:leader="none" w:pos="9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reviews and discusses with management and the independent auditors our major financial risk exposures and the steps management has taken to monitor and control such exposures, including our risk assessment, risk management programs, and information security;</w:t>
      </w:r>
    </w:p>
    <w:p>
      <w:pPr>
        <w:spacing w:after="0" w:line="168" w:lineRule="exact"/>
        <w:rPr>
          <w:rFonts w:ascii="Arial" w:cs="Arial" w:eastAsia="Arial" w:hAnsi="Arial"/>
          <w:sz w:val="16"/>
          <w:szCs w:val="16"/>
          <w:color w:val="auto"/>
        </w:rPr>
      </w:pPr>
    </w:p>
    <w:p>
      <w:pPr>
        <w:ind w:left="980" w:right="100" w:hanging="488"/>
        <w:spacing w:after="0" w:line="359" w:lineRule="auto"/>
        <w:tabs>
          <w:tab w:leader="none" w:pos="9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establishes procedures for: (i) the receipt, retention, and treatment of complaints we receive from our employees regarding accounting, internal accounting controls, and auditing matters; and (ii) the confidential, anonymous submission by employees of concerns regarding questionable accounting or auditing matters;</w:t>
      </w:r>
    </w:p>
    <w:p>
      <w:pPr>
        <w:spacing w:after="0" w:line="122" w:lineRule="exact"/>
        <w:rPr>
          <w:rFonts w:ascii="Arial" w:cs="Arial" w:eastAsia="Arial" w:hAnsi="Arial"/>
          <w:sz w:val="14"/>
          <w:szCs w:val="14"/>
          <w:color w:val="auto"/>
        </w:rPr>
      </w:pPr>
    </w:p>
    <w:p>
      <w:pPr>
        <w:ind w:left="980" w:hanging="488"/>
        <w:spacing w:after="0"/>
        <w:tabs>
          <w:tab w:leader="none" w:pos="9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monitors and reviews annually our compliance with our Code of Conduct;</w:t>
      </w:r>
    </w:p>
    <w:p>
      <w:pPr>
        <w:spacing w:after="0" w:line="235" w:lineRule="exact"/>
        <w:rPr>
          <w:rFonts w:ascii="Arial" w:cs="Arial" w:eastAsia="Arial" w:hAnsi="Arial"/>
          <w:sz w:val="16"/>
          <w:szCs w:val="16"/>
          <w:color w:val="auto"/>
        </w:rPr>
      </w:pPr>
    </w:p>
    <w:p>
      <w:pPr>
        <w:ind w:left="980" w:right="660" w:hanging="488"/>
        <w:spacing w:after="0" w:line="284" w:lineRule="auto"/>
        <w:tabs>
          <w:tab w:leader="none" w:pos="9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at least annually, reviews with Company counsel any legal matters that could have significant impact on our financial statements or our compliance with applicable laws and regulations; and</w:t>
      </w:r>
    </w:p>
    <w:p>
      <w:pPr>
        <w:spacing w:after="0" w:line="168" w:lineRule="exact"/>
        <w:rPr>
          <w:rFonts w:ascii="Arial" w:cs="Arial" w:eastAsia="Arial" w:hAnsi="Arial"/>
          <w:sz w:val="16"/>
          <w:szCs w:val="16"/>
          <w:color w:val="auto"/>
        </w:rPr>
      </w:pPr>
    </w:p>
    <w:p>
      <w:pPr>
        <w:ind w:left="980" w:hanging="488"/>
        <w:spacing w:after="0"/>
        <w:tabs>
          <w:tab w:leader="none" w:pos="9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recommends to the Board that the audited consolidated financial statements be included in our annual report on Form 10-K.</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Compensation Committee</w:t>
      </w:r>
    </w:p>
    <w:p>
      <w:pPr>
        <w:spacing w:after="0" w:line="211" w:lineRule="exact"/>
        <w:rPr>
          <w:sz w:val="20"/>
          <w:szCs w:val="20"/>
          <w:color w:val="auto"/>
        </w:rPr>
      </w:pPr>
    </w:p>
    <w:p>
      <w:pPr>
        <w:ind w:right="280" w:firstLine="558"/>
        <w:spacing w:after="0" w:line="284" w:lineRule="auto"/>
        <w:rPr>
          <w:sz w:val="20"/>
          <w:szCs w:val="20"/>
          <w:color w:val="auto"/>
        </w:rPr>
      </w:pPr>
      <w:r>
        <w:rPr>
          <w:rFonts w:ascii="Arial" w:cs="Arial" w:eastAsia="Arial" w:hAnsi="Arial"/>
          <w:sz w:val="16"/>
          <w:szCs w:val="16"/>
          <w:color w:val="auto"/>
        </w:rPr>
        <w:t>The Compensation Committee consists of Messrs. Kassar, Roddenberry and Bakshi, who serves as Chairman. During 2017, the Compensation Committee held eight meetings.</w:t>
      </w:r>
    </w:p>
    <w:p>
      <w:pPr>
        <w:spacing w:after="0" w:line="156" w:lineRule="exact"/>
        <w:rPr>
          <w:sz w:val="20"/>
          <w:szCs w:val="20"/>
          <w:color w:val="auto"/>
        </w:rPr>
      </w:pPr>
    </w:p>
    <w:p>
      <w:pPr>
        <w:ind w:left="980"/>
        <w:spacing w:after="0"/>
        <w:rPr>
          <w:sz w:val="20"/>
          <w:szCs w:val="20"/>
          <w:color w:val="auto"/>
        </w:rPr>
      </w:pPr>
      <w:r>
        <w:rPr>
          <w:rFonts w:ascii="Arial" w:cs="Arial" w:eastAsia="Arial" w:hAnsi="Arial"/>
          <w:sz w:val="16"/>
          <w:szCs w:val="16"/>
          <w:i w:val="1"/>
          <w:iCs w:val="1"/>
          <w:color w:val="auto"/>
        </w:rPr>
        <w:t>Independence</w:t>
      </w:r>
    </w:p>
    <w:p>
      <w:pPr>
        <w:spacing w:after="0" w:line="211" w:lineRule="exact"/>
        <w:rPr>
          <w:sz w:val="20"/>
          <w:szCs w:val="20"/>
          <w:color w:val="auto"/>
        </w:rPr>
      </w:pPr>
    </w:p>
    <w:p>
      <w:pPr>
        <w:ind w:firstLine="558"/>
        <w:spacing w:after="0" w:line="276" w:lineRule="auto"/>
        <w:rPr>
          <w:sz w:val="20"/>
          <w:szCs w:val="20"/>
          <w:color w:val="auto"/>
        </w:rPr>
      </w:pPr>
      <w:r>
        <w:rPr>
          <w:rFonts w:ascii="Arial" w:cs="Arial" w:eastAsia="Arial" w:hAnsi="Arial"/>
          <w:sz w:val="15"/>
          <w:szCs w:val="15"/>
          <w:color w:val="auto"/>
        </w:rPr>
        <w:t>The Board has determined that each member of the Compensation Committee is independent pursuant to NYSE listing standards, Rule 16b-3 of the Exchange Act and Section 162(m) of the Code. In affirmatively determining the independence of each Compensation Committee member, the Board considers all factors specifically relevant to determining whether such director has a relationship with us or any of our subsidiaries which is material to such director's ability to be independent from management in connection with the duties of a compensation committee member, including, but not limited to: (i) the source of compensation of such director, including any consulting, advisory or other compensatory fee paid by us to such director; and (ii) whether such director is affiliated with us, a</w:t>
      </w:r>
    </w:p>
    <w:p>
      <w:pPr>
        <w:spacing w:after="0" w:line="2" w:lineRule="exact"/>
        <w:rPr>
          <w:sz w:val="20"/>
          <w:szCs w:val="20"/>
          <w:color w:val="auto"/>
        </w:rPr>
      </w:pPr>
    </w:p>
    <w:p>
      <w:pPr>
        <w:jc w:val="right"/>
        <w:spacing w:after="0"/>
        <w:tabs>
          <w:tab w:leader="none" w:pos="1960" w:val="left"/>
          <w:tab w:leader="none" w:pos="1720" w:val="left"/>
          <w:tab w:leader="none" w:pos="14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3"/>
          <w:szCs w:val="33"/>
          <w:b w:val="1"/>
          <w:bCs w:val="1"/>
          <w:color w:val="auto"/>
          <w:vertAlign w:val="subscript"/>
        </w:rPr>
        <w:t>|</w:t>
      </w:r>
      <w:r>
        <w:rPr>
          <w:sz w:val="20"/>
          <w:szCs w:val="20"/>
          <w:color w:val="auto"/>
        </w:rPr>
        <w:tab/>
      </w:r>
      <w:r>
        <w:rPr>
          <w:rFonts w:ascii="Arial" w:cs="Arial" w:eastAsia="Arial" w:hAnsi="Arial"/>
          <w:sz w:val="16"/>
          <w:szCs w:val="16"/>
          <w:color w:val="auto"/>
        </w:rPr>
        <w:t>2018 Proxy Statement</w:t>
      </w:r>
      <w:r>
        <w:rPr>
          <w:sz w:val="20"/>
          <w:szCs w:val="20"/>
          <w:color w:val="auto"/>
        </w:rPr>
        <w:tab/>
      </w: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133350</wp:posOffset>
            </wp:positionV>
            <wp:extent cx="7263130" cy="203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 w:name="page23"/>
    <w:bookmarkEnd w:id="22"/>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ind w:left="980" w:right="1160" w:hanging="986"/>
        <w:spacing w:after="0" w:line="514" w:lineRule="auto"/>
        <w:rPr>
          <w:sz w:val="20"/>
          <w:szCs w:val="20"/>
          <w:color w:val="auto"/>
        </w:rPr>
      </w:pPr>
      <w:r>
        <w:rPr>
          <w:rFonts w:ascii="Arial" w:cs="Arial" w:eastAsia="Arial" w:hAnsi="Arial"/>
          <w:sz w:val="16"/>
          <w:szCs w:val="16"/>
          <w:color w:val="auto"/>
        </w:rPr>
        <w:t xml:space="preserve">subsidiary of ours or an affiliate of one of our subsidiaries. The Compensation Committee may form and delegate authority to subcommittees when appropriate. </w:t>
      </w:r>
      <w:r>
        <w:rPr>
          <w:rFonts w:ascii="Arial" w:cs="Arial" w:eastAsia="Arial" w:hAnsi="Arial"/>
          <w:sz w:val="16"/>
          <w:szCs w:val="16"/>
          <w:i w:val="1"/>
          <w:iCs w:val="1"/>
          <w:color w:val="auto"/>
        </w:rPr>
        <w:t>Responsibilities</w:t>
      </w:r>
    </w:p>
    <w:p>
      <w:pPr>
        <w:spacing w:after="0" w:line="1" w:lineRule="exact"/>
        <w:rPr>
          <w:sz w:val="20"/>
          <w:szCs w:val="20"/>
          <w:color w:val="auto"/>
        </w:rPr>
      </w:pPr>
    </w:p>
    <w:p>
      <w:pPr>
        <w:ind w:right="820" w:firstLine="558"/>
        <w:spacing w:after="0" w:line="284" w:lineRule="auto"/>
        <w:rPr>
          <w:sz w:val="20"/>
          <w:szCs w:val="20"/>
          <w:color w:val="auto"/>
        </w:rPr>
      </w:pPr>
      <w:r>
        <w:rPr>
          <w:rFonts w:ascii="Arial" w:cs="Arial" w:eastAsia="Arial" w:hAnsi="Arial"/>
          <w:sz w:val="16"/>
          <w:szCs w:val="16"/>
          <w:color w:val="auto"/>
        </w:rPr>
        <w:t>The role of the Compensation Committee is to establish and oversee the compensation plans, policies and programs applicable to our executive officers. The Compensation Committee:</w:t>
      </w:r>
    </w:p>
    <w:p>
      <w:pPr>
        <w:spacing w:after="0" w:line="169" w:lineRule="exact"/>
        <w:rPr>
          <w:sz w:val="20"/>
          <w:szCs w:val="20"/>
          <w:color w:val="auto"/>
        </w:rPr>
      </w:pPr>
    </w:p>
    <w:p>
      <w:pPr>
        <w:ind w:left="980" w:hanging="488"/>
        <w:spacing w:after="0"/>
        <w:tabs>
          <w:tab w:leader="none" w:pos="9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annually determines the goals and objectives relevant to the compensation of our Chief Executive Officer and Chairman of the Board (if our officer);</w:t>
      </w:r>
    </w:p>
    <w:p>
      <w:pPr>
        <w:spacing w:after="0" w:line="235" w:lineRule="exact"/>
        <w:rPr>
          <w:rFonts w:ascii="Arial" w:cs="Arial" w:eastAsia="Arial" w:hAnsi="Arial"/>
          <w:sz w:val="16"/>
          <w:szCs w:val="16"/>
          <w:color w:val="auto"/>
        </w:rPr>
      </w:pPr>
    </w:p>
    <w:p>
      <w:pPr>
        <w:ind w:left="980" w:hanging="488"/>
        <w:spacing w:after="0"/>
        <w:tabs>
          <w:tab w:leader="none" w:pos="9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evaluates the performance of our Chief Executive Officer and Chairman of the Board (if our officer) in light of such goals and objectives;</w:t>
      </w:r>
    </w:p>
    <w:p>
      <w:pPr>
        <w:spacing w:after="0" w:line="222" w:lineRule="exact"/>
        <w:rPr>
          <w:rFonts w:ascii="Arial" w:cs="Arial" w:eastAsia="Arial" w:hAnsi="Arial"/>
          <w:sz w:val="16"/>
          <w:szCs w:val="16"/>
          <w:color w:val="auto"/>
        </w:rPr>
      </w:pPr>
    </w:p>
    <w:p>
      <w:pPr>
        <w:ind w:left="980" w:right="40" w:hanging="488"/>
        <w:spacing w:after="0" w:line="284" w:lineRule="auto"/>
        <w:tabs>
          <w:tab w:leader="none" w:pos="9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establishes the compensation levels of our Chief Executive Officer and Chairman of the Board (if our officer), including long-term incentive compensation, based on this evaluation;</w:t>
      </w:r>
    </w:p>
    <w:p>
      <w:pPr>
        <w:spacing w:after="0" w:line="168" w:lineRule="exact"/>
        <w:rPr>
          <w:rFonts w:ascii="Arial" w:cs="Arial" w:eastAsia="Arial" w:hAnsi="Arial"/>
          <w:sz w:val="16"/>
          <w:szCs w:val="16"/>
          <w:color w:val="auto"/>
        </w:rPr>
      </w:pPr>
    </w:p>
    <w:p>
      <w:pPr>
        <w:ind w:left="980" w:hanging="488"/>
        <w:spacing w:after="0"/>
        <w:tabs>
          <w:tab w:leader="none" w:pos="9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annually reviews and approves goals and objectives relevant to the other named executive officers, based upon recommendations of our Chief Executive Officer;</w:t>
      </w:r>
    </w:p>
    <w:p>
      <w:pPr>
        <w:spacing w:after="0" w:line="258" w:lineRule="exact"/>
        <w:rPr>
          <w:rFonts w:ascii="Arial" w:cs="Arial" w:eastAsia="Arial" w:hAnsi="Arial"/>
          <w:sz w:val="14"/>
          <w:szCs w:val="14"/>
          <w:color w:val="auto"/>
        </w:rPr>
      </w:pPr>
    </w:p>
    <w:p>
      <w:pPr>
        <w:ind w:left="980" w:hanging="488"/>
        <w:spacing w:after="0"/>
        <w:tabs>
          <w:tab w:leader="none" w:pos="9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evaluates the performance of each named executive officer in light of such goals and objectives;</w:t>
      </w:r>
    </w:p>
    <w:p>
      <w:pPr>
        <w:spacing w:after="0" w:line="222" w:lineRule="exact"/>
        <w:rPr>
          <w:rFonts w:ascii="Arial" w:cs="Arial" w:eastAsia="Arial" w:hAnsi="Arial"/>
          <w:sz w:val="16"/>
          <w:szCs w:val="16"/>
          <w:color w:val="auto"/>
        </w:rPr>
      </w:pPr>
    </w:p>
    <w:p>
      <w:pPr>
        <w:ind w:left="980" w:right="80" w:hanging="488"/>
        <w:spacing w:after="0" w:line="284" w:lineRule="auto"/>
        <w:tabs>
          <w:tab w:leader="none" w:pos="9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establishes the named executive officers' compensation levels, including long-term incentive compensation, based on this evaluation and the recommendations of our Chief Executive Officer;</w:t>
      </w:r>
    </w:p>
    <w:p>
      <w:pPr>
        <w:spacing w:after="0" w:line="168" w:lineRule="exact"/>
        <w:rPr>
          <w:rFonts w:ascii="Arial" w:cs="Arial" w:eastAsia="Arial" w:hAnsi="Arial"/>
          <w:sz w:val="16"/>
          <w:szCs w:val="16"/>
          <w:color w:val="auto"/>
        </w:rPr>
      </w:pPr>
    </w:p>
    <w:p>
      <w:pPr>
        <w:ind w:left="980" w:hanging="488"/>
        <w:spacing w:after="0"/>
        <w:tabs>
          <w:tab w:leader="none" w:pos="9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annually reviews and approves the compensation of other executive officers, if any, based upon recommendations of our Chief Executive Officer;</w:t>
      </w:r>
    </w:p>
    <w:p>
      <w:pPr>
        <w:spacing w:after="0" w:line="235" w:lineRule="exact"/>
        <w:rPr>
          <w:rFonts w:ascii="Arial" w:cs="Arial" w:eastAsia="Arial" w:hAnsi="Arial"/>
          <w:sz w:val="16"/>
          <w:szCs w:val="16"/>
          <w:color w:val="auto"/>
        </w:rPr>
      </w:pPr>
    </w:p>
    <w:p>
      <w:pPr>
        <w:ind w:left="980" w:right="300" w:hanging="488"/>
        <w:spacing w:after="0" w:line="284" w:lineRule="auto"/>
        <w:tabs>
          <w:tab w:leader="none" w:pos="9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reviews and makes recommendations to the Board with respect to stock option, equity-based and incentive compensation plans and the administration of such plans;</w:t>
      </w:r>
    </w:p>
    <w:p>
      <w:pPr>
        <w:spacing w:after="0" w:line="168" w:lineRule="exact"/>
        <w:rPr>
          <w:rFonts w:ascii="Arial" w:cs="Arial" w:eastAsia="Arial" w:hAnsi="Arial"/>
          <w:sz w:val="16"/>
          <w:szCs w:val="16"/>
          <w:color w:val="auto"/>
        </w:rPr>
      </w:pPr>
    </w:p>
    <w:p>
      <w:pPr>
        <w:ind w:left="980" w:hanging="488"/>
        <w:spacing w:after="0"/>
        <w:tabs>
          <w:tab w:leader="none" w:pos="9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establishes and monitors compliance with stock retention and ownership requirements for executive officers;</w:t>
      </w:r>
    </w:p>
    <w:p>
      <w:pPr>
        <w:spacing w:after="0" w:line="222" w:lineRule="exact"/>
        <w:rPr>
          <w:rFonts w:ascii="Arial" w:cs="Arial" w:eastAsia="Arial" w:hAnsi="Arial"/>
          <w:sz w:val="16"/>
          <w:szCs w:val="16"/>
          <w:color w:val="auto"/>
        </w:rPr>
      </w:pPr>
    </w:p>
    <w:p>
      <w:pPr>
        <w:ind w:left="980" w:hanging="488"/>
        <w:spacing w:after="0"/>
        <w:tabs>
          <w:tab w:leader="none" w:pos="9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approves employment, severance and consulting contracts with executive officers;</w:t>
      </w:r>
    </w:p>
    <w:p>
      <w:pPr>
        <w:spacing w:after="0" w:line="235" w:lineRule="exact"/>
        <w:rPr>
          <w:rFonts w:ascii="Arial" w:cs="Arial" w:eastAsia="Arial" w:hAnsi="Arial"/>
          <w:sz w:val="16"/>
          <w:szCs w:val="16"/>
          <w:color w:val="auto"/>
        </w:rPr>
      </w:pPr>
    </w:p>
    <w:p>
      <w:pPr>
        <w:ind w:left="980" w:hanging="488"/>
        <w:spacing w:after="0"/>
        <w:tabs>
          <w:tab w:leader="none" w:pos="980" w:val="left"/>
        </w:tabs>
        <w:numPr>
          <w:ilvl w:val="0"/>
          <w:numId w:val="25"/>
        </w:numPr>
        <w:rPr>
          <w:rFonts w:ascii="Arial" w:cs="Arial" w:eastAsia="Arial" w:hAnsi="Arial"/>
          <w:sz w:val="15"/>
          <w:szCs w:val="15"/>
          <w:color w:val="auto"/>
        </w:rPr>
      </w:pPr>
      <w:r>
        <w:rPr>
          <w:rFonts w:ascii="Arial" w:cs="Arial" w:eastAsia="Arial" w:hAnsi="Arial"/>
          <w:sz w:val="15"/>
          <w:szCs w:val="15"/>
          <w:color w:val="auto"/>
        </w:rPr>
        <w:t>conducts a risk assessment of our compensation policies and practices with respect to all employees, including named executive officers on an annual basis;</w:t>
      </w:r>
    </w:p>
    <w:p>
      <w:pPr>
        <w:spacing w:after="0" w:line="234" w:lineRule="exact"/>
        <w:rPr>
          <w:rFonts w:ascii="Arial" w:cs="Arial" w:eastAsia="Arial" w:hAnsi="Arial"/>
          <w:sz w:val="15"/>
          <w:szCs w:val="15"/>
          <w:color w:val="auto"/>
        </w:rPr>
      </w:pPr>
    </w:p>
    <w:p>
      <w:pPr>
        <w:ind w:left="980" w:right="180" w:hanging="488"/>
        <w:spacing w:after="0" w:line="284" w:lineRule="auto"/>
        <w:tabs>
          <w:tab w:leader="none" w:pos="9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reviews and discusses with management the Compensation Discussion and Analysis included in our annual proxy statement or annual report on Form 10-K and recommends such inclusion to the Board;</w:t>
      </w:r>
    </w:p>
    <w:p>
      <w:pPr>
        <w:spacing w:after="0" w:line="168" w:lineRule="exact"/>
        <w:rPr>
          <w:rFonts w:ascii="Arial" w:cs="Arial" w:eastAsia="Arial" w:hAnsi="Arial"/>
          <w:sz w:val="16"/>
          <w:szCs w:val="16"/>
          <w:color w:val="auto"/>
        </w:rPr>
      </w:pPr>
    </w:p>
    <w:p>
      <w:pPr>
        <w:ind w:left="980" w:hanging="488"/>
        <w:spacing w:after="0"/>
        <w:tabs>
          <w:tab w:leader="none" w:pos="9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reviews and recommends to the Board the frequency with which we will conduct advisory shareholder votes on executive compensation;</w:t>
      </w:r>
    </w:p>
    <w:p>
      <w:pPr>
        <w:spacing w:after="0" w:line="235" w:lineRule="exact"/>
        <w:rPr>
          <w:rFonts w:ascii="Arial" w:cs="Arial" w:eastAsia="Arial" w:hAnsi="Arial"/>
          <w:sz w:val="16"/>
          <w:szCs w:val="16"/>
          <w:color w:val="auto"/>
        </w:rPr>
      </w:pPr>
    </w:p>
    <w:p>
      <w:pPr>
        <w:ind w:left="980" w:hanging="488"/>
        <w:spacing w:after="0" w:line="284" w:lineRule="auto"/>
        <w:tabs>
          <w:tab w:leader="none" w:pos="9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reviews the results of any advisory shareholder votes on executive compensation and considers whether to recommend adjustments to our executive compensation policies and practices as a result of such votes;</w:t>
      </w:r>
    </w:p>
    <w:p>
      <w:pPr>
        <w:spacing w:after="0" w:line="168" w:lineRule="exact"/>
        <w:rPr>
          <w:rFonts w:ascii="Arial" w:cs="Arial" w:eastAsia="Arial" w:hAnsi="Arial"/>
          <w:sz w:val="16"/>
          <w:szCs w:val="16"/>
          <w:color w:val="auto"/>
        </w:rPr>
      </w:pPr>
    </w:p>
    <w:p>
      <w:pPr>
        <w:ind w:left="980" w:hanging="488"/>
        <w:spacing w:after="0"/>
        <w:tabs>
          <w:tab w:leader="none" w:pos="9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with the Governance Committee, considers management development and succession; and</w:t>
      </w:r>
    </w:p>
    <w:p>
      <w:pPr>
        <w:spacing w:after="0" w:line="21" w:lineRule="exact"/>
        <w:rPr>
          <w:sz w:val="20"/>
          <w:szCs w:val="20"/>
          <w:color w:val="auto"/>
        </w:rPr>
      </w:pPr>
    </w:p>
    <w:p>
      <w:pPr>
        <w:jc w:val="right"/>
        <w:spacing w:after="0"/>
        <w:tabs>
          <w:tab w:leader="none" w:pos="1960" w:val="left"/>
          <w:tab w:leader="none" w:pos="1720" w:val="left"/>
          <w:tab w:leader="none" w:pos="14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3"/>
          <w:szCs w:val="33"/>
          <w:b w:val="1"/>
          <w:bCs w:val="1"/>
          <w:color w:val="auto"/>
          <w:vertAlign w:val="subscript"/>
        </w:rPr>
        <w:t>|</w:t>
      </w:r>
      <w:r>
        <w:rPr>
          <w:sz w:val="20"/>
          <w:szCs w:val="20"/>
          <w:color w:val="auto"/>
        </w:rPr>
        <w:tab/>
      </w:r>
      <w:r>
        <w:rPr>
          <w:rFonts w:ascii="Arial" w:cs="Arial" w:eastAsia="Arial" w:hAnsi="Arial"/>
          <w:sz w:val="16"/>
          <w:szCs w:val="16"/>
          <w:color w:val="auto"/>
        </w:rPr>
        <w:t>2018 Proxy Statement</w:t>
      </w:r>
      <w:r>
        <w:rPr>
          <w:sz w:val="20"/>
          <w:szCs w:val="20"/>
          <w:color w:val="auto"/>
        </w:rPr>
        <w:tab/>
      </w: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133350</wp:posOffset>
            </wp:positionV>
            <wp:extent cx="7263130" cy="203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 w:name="page24"/>
    <w:bookmarkEnd w:id="23"/>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ind w:left="980" w:hanging="488"/>
        <w:spacing w:after="0"/>
        <w:tabs>
          <w:tab w:leader="none" w:pos="9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reviews and makes recommendations to the Board on non-management director compensation, including stock ownership requirements.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Committee Interlocks and Insider Participation</w:t>
      </w:r>
    </w:p>
    <w:p>
      <w:pPr>
        <w:spacing w:after="0" w:line="215" w:lineRule="exact"/>
        <w:rPr>
          <w:sz w:val="20"/>
          <w:szCs w:val="20"/>
          <w:color w:val="auto"/>
        </w:rPr>
      </w:pPr>
    </w:p>
    <w:p>
      <w:pPr>
        <w:ind w:right="60" w:firstLine="561"/>
        <w:spacing w:after="0" w:line="284" w:lineRule="auto"/>
        <w:rPr>
          <w:sz w:val="20"/>
          <w:szCs w:val="20"/>
          <w:color w:val="auto"/>
        </w:rPr>
      </w:pPr>
      <w:r>
        <w:rPr>
          <w:rFonts w:ascii="Arial" w:cs="Arial" w:eastAsia="Arial" w:hAnsi="Arial"/>
          <w:sz w:val="16"/>
          <w:szCs w:val="16"/>
          <w:color w:val="auto"/>
        </w:rPr>
        <w:t>During the 2017 fiscal year, Messrs. Bakshi, Kassar and Roddenberry served as members of our Compensation Committee. None of these directors was employed by us during that time and there were no "compensation committee interlocks" as described under the SEC rules.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Governance Committee and Nominating Subcommittee</w:t>
      </w:r>
    </w:p>
    <w:p>
      <w:pPr>
        <w:spacing w:after="0" w:line="211" w:lineRule="exact"/>
        <w:rPr>
          <w:sz w:val="20"/>
          <w:szCs w:val="20"/>
          <w:color w:val="auto"/>
        </w:rPr>
      </w:pPr>
    </w:p>
    <w:p>
      <w:pPr>
        <w:ind w:right="140" w:firstLine="561"/>
        <w:spacing w:after="0" w:line="270" w:lineRule="auto"/>
        <w:rPr>
          <w:sz w:val="20"/>
          <w:szCs w:val="20"/>
          <w:color w:val="auto"/>
        </w:rPr>
      </w:pPr>
      <w:r>
        <w:rPr>
          <w:rFonts w:ascii="Arial" w:cs="Arial" w:eastAsia="Arial" w:hAnsi="Arial"/>
          <w:sz w:val="16"/>
          <w:szCs w:val="16"/>
          <w:color w:val="auto"/>
        </w:rPr>
        <w:t>Currently, the Governance Committee consists of seven independent directors: Messrs. Bakshi, Benitez, Gold, Kassar, Manley, Presby and Roddenberry, who serves as Chairman. The Governance Committee meets in executive session (without management present) in connection with each scheduled Board meeting and at other times as it deems necessary. The Governance Committee held four meetings during 2017.</w:t>
      </w:r>
    </w:p>
    <w:p>
      <w:pPr>
        <w:spacing w:after="0" w:line="168" w:lineRule="exact"/>
        <w:rPr>
          <w:sz w:val="20"/>
          <w:szCs w:val="20"/>
          <w:color w:val="auto"/>
        </w:rPr>
      </w:pPr>
    </w:p>
    <w:p>
      <w:pPr>
        <w:ind w:left="980"/>
        <w:spacing w:after="0"/>
        <w:rPr>
          <w:sz w:val="20"/>
          <w:szCs w:val="20"/>
          <w:color w:val="auto"/>
        </w:rPr>
      </w:pPr>
      <w:r>
        <w:rPr>
          <w:rFonts w:ascii="Arial" w:cs="Arial" w:eastAsia="Arial" w:hAnsi="Arial"/>
          <w:sz w:val="16"/>
          <w:szCs w:val="16"/>
          <w:i w:val="1"/>
          <w:iCs w:val="1"/>
          <w:color w:val="auto"/>
        </w:rPr>
        <w:t>Independence</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Board has determined that each member of the Governance Committee is independent pursuant to NYSE listing standards.</w:t>
      </w:r>
    </w:p>
    <w:p>
      <w:pPr>
        <w:spacing w:after="0" w:line="211" w:lineRule="exact"/>
        <w:rPr>
          <w:sz w:val="20"/>
          <w:szCs w:val="20"/>
          <w:color w:val="auto"/>
        </w:rPr>
      </w:pPr>
    </w:p>
    <w:p>
      <w:pPr>
        <w:jc w:val="center"/>
        <w:ind w:right="8440"/>
        <w:spacing w:after="0"/>
        <w:rPr>
          <w:sz w:val="20"/>
          <w:szCs w:val="20"/>
          <w:color w:val="auto"/>
        </w:rPr>
      </w:pPr>
      <w:r>
        <w:rPr>
          <w:rFonts w:ascii="Arial" w:cs="Arial" w:eastAsia="Arial" w:hAnsi="Arial"/>
          <w:sz w:val="16"/>
          <w:szCs w:val="16"/>
          <w:i w:val="1"/>
          <w:iCs w:val="1"/>
          <w:color w:val="auto"/>
        </w:rPr>
        <w:t>Responsibilities</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Governance Committee:</w:t>
      </w:r>
    </w:p>
    <w:p>
      <w:pPr>
        <w:spacing w:after="0" w:line="235" w:lineRule="exact"/>
        <w:rPr>
          <w:sz w:val="20"/>
          <w:szCs w:val="20"/>
          <w:color w:val="auto"/>
        </w:rPr>
      </w:pPr>
    </w:p>
    <w:p>
      <w:pPr>
        <w:ind w:left="980" w:hanging="488"/>
        <w:spacing w:after="0"/>
        <w:tabs>
          <w:tab w:leader="none" w:pos="9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recommends to the Board the corporate governance principles and polices applicable to us;</w:t>
      </w:r>
    </w:p>
    <w:p>
      <w:pPr>
        <w:spacing w:after="0" w:line="222" w:lineRule="exact"/>
        <w:rPr>
          <w:rFonts w:ascii="Arial" w:cs="Arial" w:eastAsia="Arial" w:hAnsi="Arial"/>
          <w:sz w:val="16"/>
          <w:szCs w:val="16"/>
          <w:color w:val="auto"/>
        </w:rPr>
      </w:pPr>
    </w:p>
    <w:p>
      <w:pPr>
        <w:ind w:left="980" w:hanging="488"/>
        <w:spacing w:after="0"/>
        <w:tabs>
          <w:tab w:leader="none" w:pos="9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leads the Board in its annual performance evaluation of the Board and its individual members;</w:t>
      </w:r>
    </w:p>
    <w:p>
      <w:pPr>
        <w:spacing w:after="0" w:line="222" w:lineRule="exact"/>
        <w:rPr>
          <w:rFonts w:ascii="Arial" w:cs="Arial" w:eastAsia="Arial" w:hAnsi="Arial"/>
          <w:sz w:val="16"/>
          <w:szCs w:val="16"/>
          <w:color w:val="auto"/>
        </w:rPr>
      </w:pPr>
    </w:p>
    <w:p>
      <w:pPr>
        <w:ind w:left="980" w:hanging="488"/>
        <w:spacing w:after="0"/>
        <w:tabs>
          <w:tab w:leader="none" w:pos="9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identifies individuals qualified to become members of the Board;</w:t>
      </w:r>
    </w:p>
    <w:p>
      <w:pPr>
        <w:spacing w:after="0" w:line="235" w:lineRule="exact"/>
        <w:rPr>
          <w:rFonts w:ascii="Arial" w:cs="Arial" w:eastAsia="Arial" w:hAnsi="Arial"/>
          <w:sz w:val="16"/>
          <w:szCs w:val="16"/>
          <w:color w:val="auto"/>
        </w:rPr>
      </w:pPr>
    </w:p>
    <w:p>
      <w:pPr>
        <w:ind w:left="980" w:right="340" w:hanging="488"/>
        <w:spacing w:after="0" w:line="284" w:lineRule="auto"/>
        <w:tabs>
          <w:tab w:leader="none" w:pos="9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reviews qualifications of, and recommends to the Board, the director nominees for the annual meeting of shareholders and to fill vacancies and newly created directorships;</w:t>
      </w:r>
    </w:p>
    <w:p>
      <w:pPr>
        <w:spacing w:after="0" w:line="168" w:lineRule="exact"/>
        <w:rPr>
          <w:rFonts w:ascii="Arial" w:cs="Arial" w:eastAsia="Arial" w:hAnsi="Arial"/>
          <w:sz w:val="16"/>
          <w:szCs w:val="16"/>
          <w:color w:val="auto"/>
        </w:rPr>
      </w:pPr>
    </w:p>
    <w:p>
      <w:pPr>
        <w:ind w:left="980" w:hanging="488"/>
        <w:spacing w:after="0"/>
        <w:tabs>
          <w:tab w:leader="none" w:pos="9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recommends to the Board the members to serve on the Board's committees;</w:t>
      </w:r>
    </w:p>
    <w:p>
      <w:pPr>
        <w:spacing w:after="0" w:line="222" w:lineRule="exact"/>
        <w:rPr>
          <w:rFonts w:ascii="Arial" w:cs="Arial" w:eastAsia="Arial" w:hAnsi="Arial"/>
          <w:sz w:val="16"/>
          <w:szCs w:val="16"/>
          <w:color w:val="auto"/>
        </w:rPr>
      </w:pPr>
    </w:p>
    <w:p>
      <w:pPr>
        <w:ind w:left="980" w:hanging="488"/>
        <w:spacing w:after="0"/>
        <w:tabs>
          <w:tab w:leader="none" w:pos="9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recommends to the Board criteria for Board membership and the size and composition of the Board;</w:t>
      </w:r>
    </w:p>
    <w:p>
      <w:pPr>
        <w:spacing w:after="0" w:line="235" w:lineRule="exact"/>
        <w:rPr>
          <w:rFonts w:ascii="Arial" w:cs="Arial" w:eastAsia="Arial" w:hAnsi="Arial"/>
          <w:sz w:val="16"/>
          <w:szCs w:val="16"/>
          <w:color w:val="auto"/>
        </w:rPr>
      </w:pPr>
    </w:p>
    <w:p>
      <w:pPr>
        <w:ind w:left="980" w:right="160" w:hanging="488"/>
        <w:spacing w:after="0" w:line="284" w:lineRule="auto"/>
        <w:tabs>
          <w:tab w:leader="none" w:pos="9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recommends performance criteria for the Board and reviews the procedures, effectiveness and performance of the Board as a whole, the individual directors and the Board's committees;</w:t>
      </w:r>
    </w:p>
    <w:p>
      <w:pPr>
        <w:spacing w:after="0" w:line="168" w:lineRule="exact"/>
        <w:rPr>
          <w:rFonts w:ascii="Arial" w:cs="Arial" w:eastAsia="Arial" w:hAnsi="Arial"/>
          <w:sz w:val="16"/>
          <w:szCs w:val="16"/>
          <w:color w:val="auto"/>
        </w:rPr>
      </w:pPr>
    </w:p>
    <w:p>
      <w:pPr>
        <w:ind w:left="980" w:right="280" w:hanging="488"/>
        <w:spacing w:after="0" w:line="284" w:lineRule="auto"/>
        <w:tabs>
          <w:tab w:leader="none" w:pos="9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recommends to the Board whether to accept or reject a director resignation, or take other action, where a director receives a greater number of "withheld" than "for" votes in an uncontested election;</w:t>
      </w:r>
    </w:p>
    <w:p>
      <w:pPr>
        <w:spacing w:after="0" w:line="168" w:lineRule="exact"/>
        <w:rPr>
          <w:rFonts w:ascii="Arial" w:cs="Arial" w:eastAsia="Arial" w:hAnsi="Arial"/>
          <w:sz w:val="16"/>
          <w:szCs w:val="16"/>
          <w:color w:val="auto"/>
        </w:rPr>
      </w:pPr>
    </w:p>
    <w:p>
      <w:pPr>
        <w:ind w:left="980" w:hanging="488"/>
        <w:spacing w:after="0"/>
        <w:tabs>
          <w:tab w:leader="none" w:pos="9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recommends overall compensation for directors;</w:t>
      </w:r>
    </w:p>
    <w:p>
      <w:pPr>
        <w:spacing w:after="0" w:line="235" w:lineRule="exact"/>
        <w:rPr>
          <w:rFonts w:ascii="Arial" w:cs="Arial" w:eastAsia="Arial" w:hAnsi="Arial"/>
          <w:sz w:val="16"/>
          <w:szCs w:val="16"/>
          <w:color w:val="auto"/>
        </w:rPr>
      </w:pPr>
    </w:p>
    <w:p>
      <w:pPr>
        <w:ind w:left="980" w:hanging="488"/>
        <w:spacing w:after="0"/>
        <w:tabs>
          <w:tab w:leader="none" w:pos="9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reviews and approves related person transactions;</w:t>
      </w:r>
    </w:p>
    <w:p>
      <w:pPr>
        <w:spacing w:after="0" w:line="207" w:lineRule="exact"/>
        <w:rPr>
          <w:sz w:val="20"/>
          <w:szCs w:val="20"/>
          <w:color w:val="auto"/>
        </w:rPr>
      </w:pPr>
    </w:p>
    <w:p>
      <w:pPr>
        <w:jc w:val="right"/>
        <w:spacing w:after="0"/>
        <w:tabs>
          <w:tab w:leader="none" w:pos="1960" w:val="left"/>
          <w:tab w:leader="none" w:pos="1720" w:val="left"/>
          <w:tab w:leader="none" w:pos="14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16"/>
          <w:szCs w:val="16"/>
          <w:b w:val="1"/>
          <w:bCs w:val="1"/>
          <w:color w:val="auto"/>
        </w:rPr>
        <w:t>|</w:t>
      </w:r>
      <w:r>
        <w:rPr>
          <w:sz w:val="20"/>
          <w:szCs w:val="20"/>
          <w:color w:val="auto"/>
        </w:rPr>
        <w:tab/>
      </w:r>
      <w:r>
        <w:rPr>
          <w:rFonts w:ascii="Arial" w:cs="Arial" w:eastAsia="Arial" w:hAnsi="Arial"/>
          <w:sz w:val="16"/>
          <w:szCs w:val="16"/>
          <w:color w:val="auto"/>
        </w:rPr>
        <w:t>2018 Proxy Statement</w:t>
      </w:r>
      <w:r>
        <w:rPr>
          <w:sz w:val="20"/>
          <w:szCs w:val="20"/>
          <w:color w:val="auto"/>
        </w:rPr>
        <w:tab/>
      </w: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139700</wp:posOffset>
            </wp:positionV>
            <wp:extent cx="7263130" cy="203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 w:name="page25"/>
    <w:bookmarkEnd w:id="24"/>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ind w:left="980" w:hanging="488"/>
        <w:spacing w:after="0"/>
        <w:tabs>
          <w:tab w:leader="none" w:pos="9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with the Compensation Committee, considers management development and succession; and</w:t>
      </w:r>
    </w:p>
    <w:p>
      <w:pPr>
        <w:spacing w:after="0" w:line="235" w:lineRule="exact"/>
        <w:rPr>
          <w:rFonts w:ascii="Arial" w:cs="Arial" w:eastAsia="Arial" w:hAnsi="Arial"/>
          <w:sz w:val="16"/>
          <w:szCs w:val="16"/>
          <w:color w:val="auto"/>
        </w:rPr>
      </w:pPr>
    </w:p>
    <w:p>
      <w:pPr>
        <w:ind w:left="980" w:right="1320" w:hanging="488"/>
        <w:spacing w:after="0" w:line="514" w:lineRule="auto"/>
        <w:tabs>
          <w:tab w:leader="none" w:pos="9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 xml:space="preserve">annually evaluates the performance of the named executive officers and discusses any changes to the named executive officers' compensation. </w:t>
      </w:r>
      <w:r>
        <w:rPr>
          <w:rFonts w:ascii="Arial" w:cs="Arial" w:eastAsia="Arial" w:hAnsi="Arial"/>
          <w:sz w:val="16"/>
          <w:szCs w:val="16"/>
          <w:i w:val="1"/>
          <w:iCs w:val="1"/>
          <w:color w:val="auto"/>
        </w:rPr>
        <w:t>Nominating Subcommittee</w:t>
      </w:r>
    </w:p>
    <w:p>
      <w:pPr>
        <w:spacing w:after="0" w:line="1" w:lineRule="exact"/>
        <w:rPr>
          <w:sz w:val="20"/>
          <w:szCs w:val="20"/>
          <w:color w:val="auto"/>
        </w:rPr>
      </w:pPr>
    </w:p>
    <w:p>
      <w:pPr>
        <w:ind w:right="140" w:firstLine="558"/>
        <w:spacing w:after="0" w:line="270" w:lineRule="auto"/>
        <w:rPr>
          <w:sz w:val="20"/>
          <w:szCs w:val="20"/>
          <w:color w:val="auto"/>
        </w:rPr>
      </w:pPr>
      <w:r>
        <w:rPr>
          <w:rFonts w:ascii="Arial" w:cs="Arial" w:eastAsia="Arial" w:hAnsi="Arial"/>
          <w:sz w:val="16"/>
          <w:szCs w:val="16"/>
          <w:color w:val="auto"/>
        </w:rPr>
        <w:t>The Nominating Subcommittee was formed by the Governance Committee to assist the Governance Committee with identifying and recruiting qualified candidates for Board membership. The Nominating Subcommittee, which does not have a separate committee charter, consists of two of the members at large of the Governance Committee, currently Messrs. Presby and Bakshi, who serves as Chairman.</w:t>
      </w:r>
    </w:p>
    <w:p>
      <w:pPr>
        <w:spacing w:after="0" w:line="168" w:lineRule="exact"/>
        <w:rPr>
          <w:sz w:val="20"/>
          <w:szCs w:val="20"/>
          <w:color w:val="auto"/>
        </w:rPr>
      </w:pPr>
    </w:p>
    <w:p>
      <w:pPr>
        <w:ind w:left="980"/>
        <w:spacing w:after="0"/>
        <w:rPr>
          <w:sz w:val="20"/>
          <w:szCs w:val="20"/>
          <w:color w:val="auto"/>
        </w:rPr>
      </w:pPr>
      <w:r>
        <w:rPr>
          <w:rFonts w:ascii="Arial" w:cs="Arial" w:eastAsia="Arial" w:hAnsi="Arial"/>
          <w:sz w:val="16"/>
          <w:szCs w:val="16"/>
          <w:i w:val="1"/>
          <w:iCs w:val="1"/>
          <w:color w:val="auto"/>
        </w:rPr>
        <w:t>Director Nominee Qualifications and the Nomination Process</w:t>
      </w:r>
    </w:p>
    <w:p>
      <w:pPr>
        <w:spacing w:after="0" w:line="211" w:lineRule="exact"/>
        <w:rPr>
          <w:sz w:val="20"/>
          <w:szCs w:val="20"/>
          <w:color w:val="auto"/>
        </w:rPr>
      </w:pPr>
    </w:p>
    <w:p>
      <w:pPr>
        <w:ind w:right="40" w:firstLine="558"/>
        <w:spacing w:after="0" w:line="305" w:lineRule="auto"/>
        <w:rPr>
          <w:sz w:val="20"/>
          <w:szCs w:val="20"/>
          <w:color w:val="auto"/>
        </w:rPr>
      </w:pPr>
      <w:r>
        <w:rPr>
          <w:rFonts w:ascii="Arial" w:cs="Arial" w:eastAsia="Arial" w:hAnsi="Arial"/>
          <w:sz w:val="14"/>
          <w:szCs w:val="14"/>
          <w:color w:val="auto"/>
        </w:rPr>
        <w:t>The Governance Committee believes that the Board should collectively possess a broad range of skills, knowledge, business experience and diversity of backgrounds that provides effective oversight of our business. The Governance Committee has established a matrix of skills and experience which it has determined would be beneficial to have represented on our Board based on a number of factors, including our current operating requirements, business strategy, and the long-term interests of our shareholders. The Governance Committee periodically assesses the skills and experience required of directors, comparing our needs in Board composition and the individual skills and experience of our directors. This assessment enables the Governance Committee to update the skills and experience it seeks in the Board, as a whole and in individual directors, as our needs evolve over time in order to maintain a balance of knowledge, experience and capabilities. As a result of such periodic assessment, the Governance Committee evaluates current directors and potential director nominees and will recommend any changes to Board size or composition that it believes is necessary to create a balanced and effective Board.</w:t>
      </w:r>
    </w:p>
    <w:p>
      <w:pPr>
        <w:spacing w:after="0" w:line="146" w:lineRule="exact"/>
        <w:rPr>
          <w:sz w:val="20"/>
          <w:szCs w:val="20"/>
          <w:color w:val="auto"/>
        </w:rPr>
      </w:pPr>
    </w:p>
    <w:p>
      <w:pPr>
        <w:ind w:right="140" w:firstLine="558"/>
        <w:spacing w:after="0" w:line="297" w:lineRule="auto"/>
        <w:rPr>
          <w:sz w:val="20"/>
          <w:szCs w:val="20"/>
          <w:color w:val="auto"/>
        </w:rPr>
      </w:pPr>
      <w:r>
        <w:rPr>
          <w:rFonts w:ascii="Arial" w:cs="Arial" w:eastAsia="Arial" w:hAnsi="Arial"/>
          <w:sz w:val="15"/>
          <w:szCs w:val="15"/>
          <w:color w:val="auto"/>
        </w:rPr>
        <w:t>The skills, experience and qualifications that the Board considered in determining that each director nominee should serve on the Board are included in their individual biographies beginning on page 8 of this proxy statement. The table on the following page further highlights certain of the skills and experience of each director that our Board considers important in determining that each nominee should serve on the Board in light of our business, operational objectives and strategic direction.</w:t>
      </w:r>
    </w:p>
    <w:p>
      <w:pPr>
        <w:spacing w:after="0" w:line="145" w:lineRule="exact"/>
        <w:rPr>
          <w:sz w:val="20"/>
          <w:szCs w:val="20"/>
          <w:color w:val="auto"/>
        </w:rPr>
      </w:pPr>
    </w:p>
    <w:p>
      <w:pPr>
        <w:jc w:val="right"/>
        <w:spacing w:after="0"/>
        <w:tabs>
          <w:tab w:leader="none" w:pos="1960" w:val="left"/>
          <w:tab w:leader="none" w:pos="1720" w:val="left"/>
          <w:tab w:leader="none" w:pos="14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16"/>
          <w:szCs w:val="16"/>
          <w:b w:val="1"/>
          <w:bCs w:val="1"/>
          <w:color w:val="auto"/>
        </w:rPr>
        <w:t>|</w:t>
      </w:r>
      <w:r>
        <w:rPr>
          <w:sz w:val="20"/>
          <w:szCs w:val="20"/>
          <w:color w:val="auto"/>
        </w:rPr>
        <w:tab/>
      </w:r>
      <w:r>
        <w:rPr>
          <w:rFonts w:ascii="Arial" w:cs="Arial" w:eastAsia="Arial" w:hAnsi="Arial"/>
          <w:sz w:val="16"/>
          <w:szCs w:val="16"/>
          <w:color w:val="auto"/>
        </w:rPr>
        <w:t>2018 Proxy Statement</w:t>
      </w:r>
      <w:r>
        <w:rPr>
          <w:sz w:val="20"/>
          <w:szCs w:val="20"/>
          <w:color w:val="auto"/>
        </w:rPr>
        <w:tab/>
      </w: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139700</wp:posOffset>
            </wp:positionV>
            <wp:extent cx="7263130" cy="203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 w:name="page26"/>
    <w:bookmarkEnd w:id="25"/>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1165860</wp:posOffset>
            </wp:positionH>
            <wp:positionV relativeFrom="paragraph">
              <wp:posOffset>139065</wp:posOffset>
            </wp:positionV>
            <wp:extent cx="4932680" cy="55753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932680" cy="5575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right="80" w:firstLine="558"/>
        <w:spacing w:after="0" w:line="276" w:lineRule="auto"/>
        <w:rPr>
          <w:sz w:val="20"/>
          <w:szCs w:val="20"/>
          <w:color w:val="auto"/>
        </w:rPr>
      </w:pPr>
      <w:r>
        <w:rPr>
          <w:rFonts w:ascii="Arial" w:cs="Arial" w:eastAsia="Arial" w:hAnsi="Arial"/>
          <w:sz w:val="15"/>
          <w:szCs w:val="15"/>
          <w:color w:val="auto"/>
        </w:rPr>
        <w:t>To the extent that the Governance Committee believes that specific skills or experience needs to be added to the Board, the Governance Committee initiates a search for a Board nominee, seeking input from board members and senior management, and hiring a search firm, if deemed necessary. In 2016, the Governance Committee assessed the Board's matrix of skills and experience for the purpose of identifying additional skills and experience that would benefit the current composition of the Board. Based on this assessment and its consideration of our current operating requirements, business strategy and the long-term interests of our shareholders, the Governance Committee identified the need for skills and experience in the area of commercialization of technology to be represented on our Board. As a result, in 2017, at the direction of the Governance Committee, we engaged a search firm to conduct a search on our behalf to identify potential candidates with, among other qualifications,</w:t>
      </w:r>
    </w:p>
    <w:p>
      <w:pPr>
        <w:spacing w:after="0" w:line="1" w:lineRule="exact"/>
        <w:rPr>
          <w:sz w:val="20"/>
          <w:szCs w:val="20"/>
          <w:color w:val="auto"/>
        </w:rPr>
      </w:pPr>
    </w:p>
    <w:p>
      <w:pPr>
        <w:jc w:val="right"/>
        <w:spacing w:after="0"/>
        <w:tabs>
          <w:tab w:leader="none" w:pos="1960" w:val="left"/>
          <w:tab w:leader="none" w:pos="1720" w:val="left"/>
          <w:tab w:leader="none" w:pos="14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3"/>
          <w:szCs w:val="33"/>
          <w:b w:val="1"/>
          <w:bCs w:val="1"/>
          <w:color w:val="auto"/>
          <w:vertAlign w:val="subscript"/>
        </w:rPr>
        <w:t>|</w:t>
      </w:r>
      <w:r>
        <w:rPr>
          <w:sz w:val="20"/>
          <w:szCs w:val="20"/>
          <w:color w:val="auto"/>
        </w:rPr>
        <w:tab/>
      </w:r>
      <w:r>
        <w:rPr>
          <w:rFonts w:ascii="Arial" w:cs="Arial" w:eastAsia="Arial" w:hAnsi="Arial"/>
          <w:sz w:val="16"/>
          <w:szCs w:val="16"/>
          <w:color w:val="auto"/>
        </w:rPr>
        <w:t>2018 Proxy Statement</w:t>
      </w:r>
      <w:r>
        <w:rPr>
          <w:sz w:val="20"/>
          <w:szCs w:val="20"/>
          <w:color w:val="auto"/>
        </w:rPr>
        <w:tab/>
      </w: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133350</wp:posOffset>
            </wp:positionV>
            <wp:extent cx="7263130" cy="203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 w:name="page27"/>
    <w:bookmarkEnd w:id="26"/>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ind w:right="300"/>
        <w:spacing w:after="0" w:line="289" w:lineRule="auto"/>
        <w:rPr>
          <w:sz w:val="20"/>
          <w:szCs w:val="20"/>
          <w:color w:val="auto"/>
        </w:rPr>
      </w:pPr>
      <w:r>
        <w:rPr>
          <w:rFonts w:ascii="Arial" w:cs="Arial" w:eastAsia="Arial" w:hAnsi="Arial"/>
          <w:sz w:val="15"/>
          <w:szCs w:val="15"/>
          <w:color w:val="auto"/>
        </w:rPr>
        <w:t>experience in the use of technology in transforming business processes and was instructed to include diverse candidates, such as by race, gender and ethnicity. Based on such search, the search firm identified and recommended to the Governance Committee Mr. Gold as a director candidate with extensive relevant experience. The Governance Committee interviewed Mr. Gold and recommended his appointment to the Board. The Board appointed Mr. Gold as a director in October 2017. Further details regarding Mr. Gold's qualifications, skills and experience are set forth in his individual biography on page 9 of this proxy statement and in the table above.</w:t>
      </w:r>
    </w:p>
    <w:p>
      <w:pPr>
        <w:spacing w:after="0" w:line="156" w:lineRule="exact"/>
        <w:rPr>
          <w:sz w:val="20"/>
          <w:szCs w:val="20"/>
          <w:color w:val="auto"/>
        </w:rPr>
      </w:pPr>
    </w:p>
    <w:p>
      <w:pPr>
        <w:ind w:firstLine="558"/>
        <w:spacing w:after="0" w:line="262" w:lineRule="auto"/>
        <w:rPr>
          <w:sz w:val="20"/>
          <w:szCs w:val="20"/>
          <w:color w:val="auto"/>
        </w:rPr>
      </w:pPr>
      <w:r>
        <w:rPr>
          <w:rFonts w:ascii="Arial" w:cs="Arial" w:eastAsia="Arial" w:hAnsi="Arial"/>
          <w:sz w:val="16"/>
          <w:szCs w:val="16"/>
          <w:color w:val="auto"/>
        </w:rPr>
        <w:t>The Governance Committee believes that its goal is to assemble the best Board possible that will bring to us a variety of perspectives and skills derived from high quality business and professional experience. There are no specific, minimum qualifications that must be met by each nominee, however, the Governance Committee evaluates a candidate's intellect, integrity and judgment as well other factors deemed appropriate in adding value to the composition of the Board, such as public service. In addition, the Governance Committee evaluates a nominee based on his or her diversity of background, skills, experience and viewpoints. The Governance Committee believes that it has been able to attract and appoint directors of diverse backgrounds in the past using the criteria such as that described above and will continue to include diversity, such as race, gender and ethnicity, as a component of its candidate searches.</w:t>
      </w:r>
    </w:p>
    <w:p>
      <w:pPr>
        <w:spacing w:after="0" w:line="176" w:lineRule="exact"/>
        <w:rPr>
          <w:sz w:val="20"/>
          <w:szCs w:val="20"/>
          <w:color w:val="auto"/>
        </w:rPr>
      </w:pPr>
    </w:p>
    <w:p>
      <w:pPr>
        <w:jc w:val="both"/>
        <w:ind w:right="160" w:firstLine="561"/>
        <w:spacing w:after="0" w:line="270" w:lineRule="auto"/>
        <w:rPr>
          <w:sz w:val="20"/>
          <w:szCs w:val="20"/>
          <w:color w:val="auto"/>
        </w:rPr>
      </w:pPr>
      <w:r>
        <w:rPr>
          <w:rFonts w:ascii="Arial" w:cs="Arial" w:eastAsia="Arial" w:hAnsi="Arial"/>
          <w:sz w:val="16"/>
          <w:szCs w:val="16"/>
          <w:color w:val="auto"/>
        </w:rPr>
        <w:t>Finally, in order to ensure that our independent directors have sufficient time to devote to overseeing the Company, our Corporate Governance Principles prohibit such directors from serving on the board of directors of more than three other publicly-traded companies, unless the Board determines that such service will not impair the ability of such director to effectively perform his or her obligations as our director.</w:t>
      </w:r>
    </w:p>
    <w:p>
      <w:pPr>
        <w:spacing w:after="0" w:line="168" w:lineRule="exact"/>
        <w:rPr>
          <w:sz w:val="20"/>
          <w:szCs w:val="20"/>
          <w:color w:val="auto"/>
        </w:rPr>
      </w:pPr>
    </w:p>
    <w:p>
      <w:pPr>
        <w:ind w:right="120" w:firstLine="558"/>
        <w:spacing w:after="0" w:line="264" w:lineRule="auto"/>
        <w:rPr>
          <w:sz w:val="20"/>
          <w:szCs w:val="20"/>
          <w:color w:val="auto"/>
        </w:rPr>
      </w:pPr>
      <w:r>
        <w:rPr>
          <w:rFonts w:ascii="Arial" w:cs="Arial" w:eastAsia="Arial" w:hAnsi="Arial"/>
          <w:sz w:val="16"/>
          <w:szCs w:val="16"/>
          <w:color w:val="auto"/>
        </w:rPr>
        <w:t>We believe the Governance Committee has a sound director evaluation process and that such process is an effective method for determining whether a director is fit to serve on the Board. Our Governance Committee welcomes candidates recommended by shareholders and, assuming a submission is in proper form as provided under our By-Laws, it will apply the same standards described above to the evaluation of a shareholder nominee as it applies to all nominees, including those recommended by current directors, employees and others. The Governance Committee may also retain professional search firms to identify director candidates and maintains the authority to approve the fees and other retention terms of any such firm.</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Technology and Operations Committee</w:t>
      </w:r>
    </w:p>
    <w:p>
      <w:pPr>
        <w:spacing w:after="0" w:line="211" w:lineRule="exact"/>
        <w:rPr>
          <w:sz w:val="20"/>
          <w:szCs w:val="20"/>
          <w:color w:val="auto"/>
        </w:rPr>
      </w:pPr>
    </w:p>
    <w:p>
      <w:pPr>
        <w:ind w:right="680" w:firstLine="558"/>
        <w:spacing w:after="0" w:line="284" w:lineRule="auto"/>
        <w:rPr>
          <w:sz w:val="20"/>
          <w:szCs w:val="20"/>
          <w:color w:val="auto"/>
        </w:rPr>
      </w:pPr>
      <w:r>
        <w:rPr>
          <w:rFonts w:ascii="Arial" w:cs="Arial" w:eastAsia="Arial" w:hAnsi="Arial"/>
          <w:sz w:val="16"/>
          <w:szCs w:val="16"/>
          <w:color w:val="auto"/>
        </w:rPr>
        <w:t>The Technology and Operations Committee currently consists of five independent directors, Messrs. Bakshi, Gold, Kassar, Manley and Benitez, who serves as Chairman. The Technology and Operations Committee held four meetings during 2017.</w:t>
      </w:r>
    </w:p>
    <w:p>
      <w:pPr>
        <w:spacing w:after="0" w:line="156" w:lineRule="exact"/>
        <w:rPr>
          <w:sz w:val="20"/>
          <w:szCs w:val="20"/>
          <w:color w:val="auto"/>
        </w:rPr>
      </w:pPr>
    </w:p>
    <w:p>
      <w:pPr>
        <w:ind w:left="980"/>
        <w:spacing w:after="0"/>
        <w:rPr>
          <w:sz w:val="20"/>
          <w:szCs w:val="20"/>
          <w:color w:val="auto"/>
        </w:rPr>
      </w:pPr>
      <w:r>
        <w:rPr>
          <w:rFonts w:ascii="Arial" w:cs="Arial" w:eastAsia="Arial" w:hAnsi="Arial"/>
          <w:sz w:val="16"/>
          <w:szCs w:val="16"/>
          <w:i w:val="1"/>
          <w:iCs w:val="1"/>
          <w:color w:val="auto"/>
        </w:rPr>
        <w:t>Responsibilities</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4"/>
          <w:szCs w:val="14"/>
          <w:color w:val="auto"/>
        </w:rPr>
        <w:t>The role of the Technology and Operations Committee is to assist the Board in overseeing our significant technology and operations initiatives. The Technology and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Operations Committee reviews and discusses:</w:t>
      </w:r>
    </w:p>
    <w:p>
      <w:pPr>
        <w:spacing w:after="0" w:line="215" w:lineRule="exact"/>
        <w:rPr>
          <w:sz w:val="20"/>
          <w:szCs w:val="20"/>
          <w:color w:val="auto"/>
        </w:rPr>
      </w:pPr>
    </w:p>
    <w:p>
      <w:pPr>
        <w:ind w:left="980" w:hanging="488"/>
        <w:spacing w:after="0"/>
        <w:tabs>
          <w:tab w:leader="none" w:pos="9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financial, tactical and strategic benefits of our significant technology and operations initiatives;</w:t>
      </w:r>
    </w:p>
    <w:p>
      <w:pPr>
        <w:spacing w:after="0" w:line="235" w:lineRule="exact"/>
        <w:rPr>
          <w:rFonts w:ascii="Arial" w:cs="Arial" w:eastAsia="Arial" w:hAnsi="Arial"/>
          <w:sz w:val="16"/>
          <w:szCs w:val="16"/>
          <w:color w:val="auto"/>
        </w:rPr>
      </w:pPr>
    </w:p>
    <w:p>
      <w:pPr>
        <w:ind w:left="980" w:hanging="488"/>
        <w:spacing w:after="0"/>
        <w:tabs>
          <w:tab w:leader="none" w:pos="9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our progress on significant technology and operations projects and initiatives;</w:t>
      </w:r>
    </w:p>
    <w:p>
      <w:pPr>
        <w:spacing w:after="0" w:line="222" w:lineRule="exact"/>
        <w:rPr>
          <w:rFonts w:ascii="Arial" w:cs="Arial" w:eastAsia="Arial" w:hAnsi="Arial"/>
          <w:sz w:val="16"/>
          <w:szCs w:val="16"/>
          <w:color w:val="auto"/>
        </w:rPr>
      </w:pPr>
    </w:p>
    <w:p>
      <w:pPr>
        <w:ind w:left="980" w:hanging="488"/>
        <w:spacing w:after="0"/>
        <w:tabs>
          <w:tab w:leader="none" w:pos="9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our technology and operations policies;</w:t>
      </w:r>
    </w:p>
    <w:p>
      <w:pPr>
        <w:spacing w:after="0" w:line="222" w:lineRule="exact"/>
        <w:rPr>
          <w:rFonts w:ascii="Arial" w:cs="Arial" w:eastAsia="Arial" w:hAnsi="Arial"/>
          <w:sz w:val="16"/>
          <w:szCs w:val="16"/>
          <w:color w:val="auto"/>
        </w:rPr>
      </w:pPr>
    </w:p>
    <w:p>
      <w:pPr>
        <w:ind w:left="980" w:hanging="488"/>
        <w:spacing w:after="0"/>
        <w:tabs>
          <w:tab w:leader="none" w:pos="9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our programs relating to business continuity and disaster recovery; and</w:t>
      </w:r>
    </w:p>
    <w:p>
      <w:pPr>
        <w:spacing w:after="0" w:line="235" w:lineRule="exact"/>
        <w:rPr>
          <w:rFonts w:ascii="Arial" w:cs="Arial" w:eastAsia="Arial" w:hAnsi="Arial"/>
          <w:sz w:val="16"/>
          <w:szCs w:val="16"/>
          <w:color w:val="auto"/>
        </w:rPr>
      </w:pPr>
    </w:p>
    <w:p>
      <w:pPr>
        <w:ind w:left="980" w:hanging="488"/>
        <w:spacing w:after="0"/>
        <w:tabs>
          <w:tab w:leader="none" w:pos="9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our other significant technology-related risks.</w:t>
      </w:r>
    </w:p>
    <w:p>
      <w:pPr>
        <w:spacing w:after="0" w:line="207" w:lineRule="exact"/>
        <w:rPr>
          <w:sz w:val="20"/>
          <w:szCs w:val="20"/>
          <w:color w:val="auto"/>
        </w:rPr>
      </w:pPr>
    </w:p>
    <w:p>
      <w:pPr>
        <w:ind w:left="6980"/>
        <w:spacing w:after="0"/>
        <w:tabs>
          <w:tab w:leader="none" w:pos="9420" w:val="left"/>
          <w:tab w:leader="none" w:pos="9660" w:val="left"/>
          <w:tab w:leader="none" w:pos="1124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16"/>
          <w:szCs w:val="16"/>
          <w:b w:val="1"/>
          <w:bCs w:val="1"/>
          <w:color w:val="auto"/>
        </w:rPr>
        <w:t>|</w:t>
      </w:r>
      <w:r>
        <w:rPr>
          <w:sz w:val="20"/>
          <w:szCs w:val="20"/>
          <w:color w:val="auto"/>
        </w:rPr>
        <w:tab/>
      </w:r>
      <w:r>
        <w:rPr>
          <w:rFonts w:ascii="Arial" w:cs="Arial" w:eastAsia="Arial" w:hAnsi="Arial"/>
          <w:sz w:val="16"/>
          <w:szCs w:val="16"/>
          <w:color w:val="auto"/>
        </w:rPr>
        <w:t>2018 Proxy Statement</w:t>
      </w:r>
      <w:r>
        <w:rPr>
          <w:sz w:val="20"/>
          <w:szCs w:val="20"/>
          <w:color w:val="auto"/>
        </w:rPr>
        <w:tab/>
      </w: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139700</wp:posOffset>
            </wp:positionV>
            <wp:extent cx="7263130" cy="203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 w:name="page28"/>
    <w:bookmarkEnd w:id="27"/>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ind w:right="620" w:firstLine="558"/>
        <w:spacing w:after="0" w:line="284" w:lineRule="auto"/>
        <w:rPr>
          <w:sz w:val="20"/>
          <w:szCs w:val="20"/>
          <w:color w:val="auto"/>
        </w:rPr>
      </w:pPr>
      <w:r>
        <w:rPr>
          <w:rFonts w:ascii="Arial" w:cs="Arial" w:eastAsia="Arial" w:hAnsi="Arial"/>
          <w:sz w:val="16"/>
          <w:szCs w:val="16"/>
          <w:color w:val="auto"/>
        </w:rPr>
        <w:t>The Technology and Operations Committee also periodically consults with the Audit Committee of the Board regarding technology and operations systems and processes that relate to our internal control systems, as well as information security.</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Corporate Governance Principles</w:t>
      </w:r>
    </w:p>
    <w:p>
      <w:pPr>
        <w:spacing w:after="0" w:line="215" w:lineRule="exact"/>
        <w:rPr>
          <w:sz w:val="20"/>
          <w:szCs w:val="20"/>
          <w:color w:val="auto"/>
        </w:rPr>
      </w:pPr>
    </w:p>
    <w:p>
      <w:pPr>
        <w:ind w:left="560"/>
        <w:spacing w:after="0"/>
        <w:rPr>
          <w:sz w:val="20"/>
          <w:szCs w:val="20"/>
          <w:color w:val="auto"/>
        </w:rPr>
      </w:pPr>
      <w:r>
        <w:rPr>
          <w:rFonts w:ascii="Arial" w:cs="Arial" w:eastAsia="Arial" w:hAnsi="Arial"/>
          <w:sz w:val="14"/>
          <w:szCs w:val="14"/>
          <w:color w:val="auto"/>
        </w:rPr>
        <w:t>The Board has adopted Corporate Governance Principles, which are amended from time to time to incorporate certain current best practices in corporate governance.</w:t>
      </w:r>
    </w:p>
    <w:p>
      <w:pPr>
        <w:spacing w:after="0" w:line="44" w:lineRule="exact"/>
        <w:rPr>
          <w:sz w:val="20"/>
          <w:szCs w:val="20"/>
          <w:color w:val="auto"/>
        </w:rPr>
      </w:pPr>
    </w:p>
    <w:p>
      <w:pPr>
        <w:spacing w:after="0"/>
        <w:rPr>
          <w:sz w:val="20"/>
          <w:szCs w:val="20"/>
          <w:color w:val="auto"/>
        </w:rPr>
      </w:pPr>
      <w:r>
        <w:rPr>
          <w:rFonts w:ascii="Arial" w:cs="Arial" w:eastAsia="Arial" w:hAnsi="Arial"/>
          <w:sz w:val="14"/>
          <w:szCs w:val="14"/>
          <w:color w:val="auto"/>
        </w:rPr>
        <w:t>The Corporate Governance Principles describe our corporate governance practices and policies and provide a framework for our Board governance. The topics addressed in our</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Corporate Governance Principles include, among other things:</w:t>
      </w:r>
    </w:p>
    <w:p>
      <w:pPr>
        <w:spacing w:after="0" w:line="215" w:lineRule="exact"/>
        <w:rPr>
          <w:sz w:val="20"/>
          <w:szCs w:val="20"/>
          <w:color w:val="auto"/>
        </w:rPr>
      </w:pPr>
    </w:p>
    <w:p>
      <w:pPr>
        <w:ind w:left="980" w:hanging="488"/>
        <w:spacing w:after="0"/>
        <w:tabs>
          <w:tab w:leader="none" w:pos="9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Role of the lead independent director;</w:t>
      </w:r>
    </w:p>
    <w:p>
      <w:pPr>
        <w:spacing w:after="0" w:line="235" w:lineRule="exact"/>
        <w:rPr>
          <w:rFonts w:ascii="Arial" w:cs="Arial" w:eastAsia="Arial" w:hAnsi="Arial"/>
          <w:sz w:val="16"/>
          <w:szCs w:val="16"/>
          <w:color w:val="auto"/>
        </w:rPr>
      </w:pPr>
    </w:p>
    <w:p>
      <w:pPr>
        <w:ind w:left="980" w:hanging="488"/>
        <w:spacing w:after="0"/>
        <w:tabs>
          <w:tab w:leader="none" w:pos="9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Director independence;</w:t>
      </w:r>
    </w:p>
    <w:p>
      <w:pPr>
        <w:spacing w:after="0" w:line="222" w:lineRule="exact"/>
        <w:rPr>
          <w:rFonts w:ascii="Arial" w:cs="Arial" w:eastAsia="Arial" w:hAnsi="Arial"/>
          <w:sz w:val="16"/>
          <w:szCs w:val="16"/>
          <w:color w:val="auto"/>
        </w:rPr>
      </w:pPr>
    </w:p>
    <w:p>
      <w:pPr>
        <w:ind w:left="980" w:hanging="488"/>
        <w:spacing w:after="0"/>
        <w:tabs>
          <w:tab w:leader="none" w:pos="9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Director qualifications, functions and tenure;</w:t>
      </w:r>
    </w:p>
    <w:p>
      <w:pPr>
        <w:spacing w:after="0" w:line="222" w:lineRule="exact"/>
        <w:rPr>
          <w:rFonts w:ascii="Arial" w:cs="Arial" w:eastAsia="Arial" w:hAnsi="Arial"/>
          <w:sz w:val="16"/>
          <w:szCs w:val="16"/>
          <w:color w:val="auto"/>
        </w:rPr>
      </w:pPr>
    </w:p>
    <w:p>
      <w:pPr>
        <w:ind w:left="980" w:hanging="488"/>
        <w:spacing w:after="0"/>
        <w:tabs>
          <w:tab w:leader="none" w:pos="9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Committees of the Board;</w:t>
      </w:r>
    </w:p>
    <w:p>
      <w:pPr>
        <w:spacing w:after="0" w:line="235" w:lineRule="exact"/>
        <w:rPr>
          <w:rFonts w:ascii="Arial" w:cs="Arial" w:eastAsia="Arial" w:hAnsi="Arial"/>
          <w:sz w:val="16"/>
          <w:szCs w:val="16"/>
          <w:color w:val="auto"/>
        </w:rPr>
      </w:pPr>
    </w:p>
    <w:p>
      <w:pPr>
        <w:ind w:left="980" w:hanging="488"/>
        <w:spacing w:after="0"/>
        <w:tabs>
          <w:tab w:leader="none" w:pos="9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Director orientation and continuing education;</w:t>
      </w:r>
    </w:p>
    <w:p>
      <w:pPr>
        <w:spacing w:after="0" w:line="222" w:lineRule="exact"/>
        <w:rPr>
          <w:rFonts w:ascii="Arial" w:cs="Arial" w:eastAsia="Arial" w:hAnsi="Arial"/>
          <w:sz w:val="16"/>
          <w:szCs w:val="16"/>
          <w:color w:val="auto"/>
        </w:rPr>
      </w:pPr>
    </w:p>
    <w:p>
      <w:pPr>
        <w:ind w:left="980" w:hanging="488"/>
        <w:spacing w:after="0"/>
        <w:tabs>
          <w:tab w:leader="none" w:pos="9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Management development and succession planning;</w:t>
      </w:r>
    </w:p>
    <w:p>
      <w:pPr>
        <w:spacing w:after="0" w:line="222" w:lineRule="exact"/>
        <w:rPr>
          <w:rFonts w:ascii="Arial" w:cs="Arial" w:eastAsia="Arial" w:hAnsi="Arial"/>
          <w:sz w:val="16"/>
          <w:szCs w:val="16"/>
          <w:color w:val="auto"/>
        </w:rPr>
      </w:pPr>
    </w:p>
    <w:p>
      <w:pPr>
        <w:ind w:left="980" w:hanging="488"/>
        <w:spacing w:after="0"/>
        <w:tabs>
          <w:tab w:leader="none" w:pos="9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Director resignation policy in uncontested elections; and</w:t>
      </w:r>
    </w:p>
    <w:p>
      <w:pPr>
        <w:spacing w:after="0" w:line="235" w:lineRule="exact"/>
        <w:rPr>
          <w:rFonts w:ascii="Arial" w:cs="Arial" w:eastAsia="Arial" w:hAnsi="Arial"/>
          <w:sz w:val="16"/>
          <w:szCs w:val="16"/>
          <w:color w:val="auto"/>
        </w:rPr>
      </w:pPr>
    </w:p>
    <w:p>
      <w:pPr>
        <w:ind w:left="980" w:hanging="488"/>
        <w:spacing w:after="0"/>
        <w:tabs>
          <w:tab w:leader="none" w:pos="9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Director compensation.</w:t>
      </w:r>
    </w:p>
    <w:p>
      <w:pPr>
        <w:spacing w:after="0" w:line="211" w:lineRule="exact"/>
        <w:rPr>
          <w:sz w:val="20"/>
          <w:szCs w:val="20"/>
          <w:color w:val="auto"/>
        </w:rPr>
      </w:pPr>
    </w:p>
    <w:p>
      <w:pPr>
        <w:ind w:right="160" w:firstLine="561"/>
        <w:spacing w:after="0" w:line="270" w:lineRule="auto"/>
        <w:rPr>
          <w:sz w:val="20"/>
          <w:szCs w:val="20"/>
          <w:color w:val="auto"/>
        </w:rPr>
      </w:pPr>
      <w:r>
        <w:rPr>
          <w:rFonts w:ascii="Arial" w:cs="Arial" w:eastAsia="Arial" w:hAnsi="Arial"/>
          <w:sz w:val="16"/>
          <w:szCs w:val="16"/>
          <w:color w:val="auto"/>
        </w:rPr>
        <w:t>Our Corporate Governance Principles are available on our website at www.wfscorp.com by clicking on Investor Relations and then Corporate Governance. Copies of this document may also be obtained by any shareholder, without charge, by writing to our Corporate Secretary at World Fuel Services Corporation, 9800 Northwest 41st Street, Miami, Florida 33178.</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Code of Conduct</w:t>
      </w:r>
    </w:p>
    <w:p>
      <w:pPr>
        <w:spacing w:after="0" w:line="215" w:lineRule="exact"/>
        <w:rPr>
          <w:sz w:val="20"/>
          <w:szCs w:val="20"/>
          <w:color w:val="auto"/>
        </w:rPr>
      </w:pPr>
    </w:p>
    <w:p>
      <w:pPr>
        <w:ind w:firstLine="552"/>
        <w:spacing w:after="0" w:line="261" w:lineRule="auto"/>
        <w:rPr>
          <w:sz w:val="20"/>
          <w:szCs w:val="20"/>
          <w:color w:val="auto"/>
        </w:rPr>
      </w:pPr>
      <w:r>
        <w:rPr>
          <w:rFonts w:ascii="Arial" w:cs="Arial" w:eastAsia="Arial" w:hAnsi="Arial"/>
          <w:sz w:val="16"/>
          <w:szCs w:val="16"/>
          <w:color w:val="auto"/>
        </w:rPr>
        <w:t>All of our employees, officers (including our principal executive, financial and accounting officers) and directors are held accountable for adherence to our Code of Conduct. Our Code of Conduct is designed to help us meet our responsibility of conducting our business in compliance with laws and good ethical practice. Our Code of Conduct is available in multiple languages on our website at www.wfscorp.com, either by clicking on About Us and then Ethics &amp; Compliance, or by clicking on Investor Relations and then Corporate Governance. We intend to disclose any substantive amendments to our Code of Conduct and any waivers with respect to our Code of Conduct granted to our principal executive, financial and accounting officers on our website at www.wfscorp.com. We have also established a separate Business Partner Code of Conduct outlining our standards and expectations of our suppliers and other business partners, which can also be found on our website at www.wfscorp.com, by clicking on About Us and then Ethics &amp; Compliance.</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Review and Approval of Related Person Transactions</w:t>
      </w:r>
    </w:p>
    <w:p>
      <w:pPr>
        <w:spacing w:after="0" w:line="215" w:lineRule="exact"/>
        <w:rPr>
          <w:sz w:val="20"/>
          <w:szCs w:val="20"/>
          <w:color w:val="auto"/>
        </w:rPr>
      </w:pPr>
    </w:p>
    <w:p>
      <w:pPr>
        <w:ind w:right="40" w:firstLine="561"/>
        <w:spacing w:after="0" w:line="289" w:lineRule="auto"/>
        <w:rPr>
          <w:sz w:val="20"/>
          <w:szCs w:val="20"/>
          <w:color w:val="auto"/>
        </w:rPr>
      </w:pPr>
      <w:r>
        <w:rPr>
          <w:rFonts w:ascii="Arial" w:cs="Arial" w:eastAsia="Arial" w:hAnsi="Arial"/>
          <w:sz w:val="15"/>
          <w:szCs w:val="15"/>
          <w:color w:val="auto"/>
        </w:rPr>
        <w:t>Related person transactions can create actual or potential conflicts of interests and can create the appearance that certain decisions may not be in the best interest of us or our shareholders. Therefore, our Board has adopted a written policy with respect to related person transactions. It is our policy that, as a general matter, we should avoid related person transactions except in circumstances where the transaction is consistent with our best interests, such as obtaining products or services that are not readily available from alternative sources or when the transaction meets the standards that apply to similar transactions with unrelated third parties.</w:t>
      </w:r>
    </w:p>
    <w:p>
      <w:pPr>
        <w:spacing w:after="0" w:line="152" w:lineRule="exact"/>
        <w:rPr>
          <w:sz w:val="20"/>
          <w:szCs w:val="20"/>
          <w:color w:val="auto"/>
        </w:rPr>
      </w:pPr>
    </w:p>
    <w:p>
      <w:pPr>
        <w:jc w:val="right"/>
        <w:spacing w:after="0"/>
        <w:tabs>
          <w:tab w:leader="none" w:pos="1960" w:val="left"/>
          <w:tab w:leader="none" w:pos="1720" w:val="left"/>
          <w:tab w:leader="none" w:pos="14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16"/>
          <w:szCs w:val="16"/>
          <w:b w:val="1"/>
          <w:bCs w:val="1"/>
          <w:color w:val="auto"/>
        </w:rPr>
        <w:t>|</w:t>
      </w:r>
      <w:r>
        <w:rPr>
          <w:sz w:val="20"/>
          <w:szCs w:val="20"/>
          <w:color w:val="auto"/>
        </w:rPr>
        <w:tab/>
      </w:r>
      <w:r>
        <w:rPr>
          <w:rFonts w:ascii="Arial" w:cs="Arial" w:eastAsia="Arial" w:hAnsi="Arial"/>
          <w:sz w:val="16"/>
          <w:szCs w:val="16"/>
          <w:color w:val="auto"/>
        </w:rPr>
        <w:t>2018 Proxy Statement</w:t>
      </w:r>
      <w:r>
        <w:rPr>
          <w:sz w:val="20"/>
          <w:szCs w:val="20"/>
          <w:color w:val="auto"/>
        </w:rPr>
        <w:tab/>
      </w: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139700</wp:posOffset>
            </wp:positionV>
            <wp:extent cx="7263130" cy="203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 w:name="page29"/>
    <w:bookmarkEnd w:id="28"/>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For purposes of our policy, we review all of the following relationships and transactions between us and:</w:t>
      </w:r>
    </w:p>
    <w:p>
      <w:pPr>
        <w:spacing w:after="0" w:line="223" w:lineRule="exact"/>
        <w:rPr>
          <w:sz w:val="20"/>
          <w:szCs w:val="20"/>
          <w:color w:val="auto"/>
        </w:rPr>
      </w:pPr>
    </w:p>
    <w:p>
      <w:pPr>
        <w:ind w:left="980" w:right="300" w:hanging="488"/>
        <w:spacing w:after="0" w:line="284" w:lineRule="auto"/>
        <w:tabs>
          <w:tab w:leader="none" w:pos="9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our directors and executive officers, including persons who have at any time since the beginning of our last fiscal year served in that role and any nominees to become a director;</w:t>
      </w:r>
    </w:p>
    <w:p>
      <w:pPr>
        <w:spacing w:after="0" w:line="181" w:lineRule="exact"/>
        <w:rPr>
          <w:rFonts w:ascii="Arial" w:cs="Arial" w:eastAsia="Arial" w:hAnsi="Arial"/>
          <w:sz w:val="16"/>
          <w:szCs w:val="16"/>
          <w:color w:val="auto"/>
        </w:rPr>
      </w:pPr>
    </w:p>
    <w:p>
      <w:pPr>
        <w:ind w:left="980" w:hanging="488"/>
        <w:spacing w:after="0"/>
        <w:tabs>
          <w:tab w:leader="none" w:pos="9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any person we know to be the beneficial owner of more than 5% of any class of our voting securities; and</w:t>
      </w:r>
    </w:p>
    <w:p>
      <w:pPr>
        <w:spacing w:after="0" w:line="222" w:lineRule="exact"/>
        <w:rPr>
          <w:rFonts w:ascii="Arial" w:cs="Arial" w:eastAsia="Arial" w:hAnsi="Arial"/>
          <w:sz w:val="16"/>
          <w:szCs w:val="16"/>
          <w:color w:val="auto"/>
        </w:rPr>
      </w:pPr>
    </w:p>
    <w:p>
      <w:pPr>
        <w:ind w:left="980" w:right="160" w:hanging="488"/>
        <w:spacing w:after="0" w:line="284" w:lineRule="auto"/>
        <w:tabs>
          <w:tab w:leader="none" w:pos="9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any immediate family member or any person (other than tenants or employees) sharing the household of any of the foregoing or any primary business affiliation of any of the foregoing.</w:t>
      </w:r>
    </w:p>
    <w:p>
      <w:pPr>
        <w:spacing w:after="0" w:line="156" w:lineRule="exact"/>
        <w:rPr>
          <w:sz w:val="20"/>
          <w:szCs w:val="20"/>
          <w:color w:val="auto"/>
        </w:rPr>
      </w:pPr>
    </w:p>
    <w:p>
      <w:pPr>
        <w:ind w:right="40" w:firstLine="561"/>
        <w:spacing w:after="0" w:line="266" w:lineRule="auto"/>
        <w:rPr>
          <w:sz w:val="20"/>
          <w:szCs w:val="20"/>
          <w:color w:val="auto"/>
        </w:rPr>
      </w:pPr>
      <w:r>
        <w:rPr>
          <w:rFonts w:ascii="Arial" w:cs="Arial" w:eastAsia="Arial" w:hAnsi="Arial"/>
          <w:sz w:val="16"/>
          <w:szCs w:val="16"/>
          <w:color w:val="auto"/>
        </w:rPr>
        <w:t>Pursuant to our policy, the Governance Committee will review any transaction, arrangement or relationship (including any indebtedness or guarantee of indebtedness) or any series of similar transactions, arrangements or relationships in which we (including any of our subsidiaries) were, are or will be a participant and the amount involved exceeds $120,000, and in which any related person had, has or will have a direct or indirect material interest. The foregoing rule will not be applied to those transactions exempt under Item 404(a) of Regulation S-K.</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4"/>
          <w:szCs w:val="14"/>
          <w:color w:val="auto"/>
        </w:rPr>
        <w:t>In addition, the Governance Committee has determined that the following types of transactions, which involve ordinary course business transactions shall not be deemed</w:t>
      </w:r>
    </w:p>
    <w:p>
      <w:pPr>
        <w:spacing w:after="0" w:line="44" w:lineRule="exact"/>
        <w:rPr>
          <w:sz w:val="20"/>
          <w:szCs w:val="20"/>
          <w:color w:val="auto"/>
        </w:rPr>
      </w:pPr>
    </w:p>
    <w:p>
      <w:pPr>
        <w:spacing w:after="0"/>
        <w:rPr>
          <w:sz w:val="20"/>
          <w:szCs w:val="20"/>
          <w:color w:val="auto"/>
        </w:rPr>
      </w:pPr>
      <w:r>
        <w:rPr>
          <w:rFonts w:ascii="Arial" w:cs="Arial" w:eastAsia="Arial" w:hAnsi="Arial"/>
          <w:sz w:val="14"/>
          <w:szCs w:val="14"/>
          <w:color w:val="auto"/>
        </w:rPr>
        <w:t>to create or involve a direct or indirect "material" interest for a related person, even if the aggregate amount involved exceeds $120,000: (1) a transaction in which the related</w:t>
      </w:r>
    </w:p>
    <w:p>
      <w:pPr>
        <w:spacing w:after="0" w:line="36" w:lineRule="exact"/>
        <w:rPr>
          <w:sz w:val="20"/>
          <w:szCs w:val="20"/>
          <w:color w:val="auto"/>
        </w:rPr>
      </w:pPr>
    </w:p>
    <w:p>
      <w:pPr>
        <w:spacing w:after="0"/>
        <w:rPr>
          <w:sz w:val="20"/>
          <w:szCs w:val="20"/>
          <w:color w:val="auto"/>
        </w:rPr>
      </w:pPr>
      <w:r>
        <w:rPr>
          <w:rFonts w:ascii="Arial" w:cs="Arial" w:eastAsia="Arial" w:hAnsi="Arial"/>
          <w:sz w:val="14"/>
          <w:szCs w:val="14"/>
          <w:color w:val="auto"/>
        </w:rPr>
        <w:t>person's interest arises solely based on his or her position as (a) a director of the other entity, (b) a holder, together with his or her immediate family members, of less than 10%</w:t>
      </w:r>
    </w:p>
    <w:p>
      <w:pPr>
        <w:spacing w:after="0" w:line="36" w:lineRule="exact"/>
        <w:rPr>
          <w:sz w:val="20"/>
          <w:szCs w:val="20"/>
          <w:color w:val="auto"/>
        </w:rPr>
      </w:pPr>
    </w:p>
    <w:p>
      <w:pPr>
        <w:spacing w:after="0"/>
        <w:rPr>
          <w:sz w:val="20"/>
          <w:szCs w:val="20"/>
          <w:color w:val="auto"/>
        </w:rPr>
      </w:pPr>
      <w:r>
        <w:rPr>
          <w:rFonts w:ascii="Arial" w:cs="Arial" w:eastAsia="Arial" w:hAnsi="Arial"/>
          <w:sz w:val="14"/>
          <w:szCs w:val="14"/>
          <w:color w:val="auto"/>
        </w:rPr>
        <w:t>equity interest in the aggregate in the other entity (other than a partnership), (c) a limited partner in a partnership in which the related person, together with his or her immediate</w:t>
      </w:r>
    </w:p>
    <w:p>
      <w:pPr>
        <w:spacing w:after="0" w:line="36" w:lineRule="exact"/>
        <w:rPr>
          <w:sz w:val="20"/>
          <w:szCs w:val="20"/>
          <w:color w:val="auto"/>
        </w:rPr>
      </w:pPr>
    </w:p>
    <w:p>
      <w:pPr>
        <w:spacing w:after="0"/>
        <w:rPr>
          <w:sz w:val="20"/>
          <w:szCs w:val="20"/>
          <w:color w:val="auto"/>
        </w:rPr>
      </w:pPr>
      <w:r>
        <w:rPr>
          <w:rFonts w:ascii="Arial" w:cs="Arial" w:eastAsia="Arial" w:hAnsi="Arial"/>
          <w:sz w:val="15"/>
          <w:szCs w:val="15"/>
          <w:color w:val="auto"/>
        </w:rPr>
        <w:t>family members, has an interest of less than 10% and such person is not a general partner of and does not hold another position in the partnership, and (d) an employee or</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executive officer of the other entity and (i) the related person was not involved in the transaction, (ii) the transaction was entered into in our ordinary course of business and on</w:t>
      </w:r>
    </w:p>
    <w:p>
      <w:pPr>
        <w:spacing w:after="0" w:line="36" w:lineRule="exact"/>
        <w:rPr>
          <w:sz w:val="20"/>
          <w:szCs w:val="20"/>
          <w:color w:val="auto"/>
        </w:rPr>
      </w:pPr>
    </w:p>
    <w:p>
      <w:pPr>
        <w:spacing w:after="0"/>
        <w:rPr>
          <w:sz w:val="20"/>
          <w:szCs w:val="20"/>
          <w:color w:val="auto"/>
        </w:rPr>
      </w:pPr>
      <w:r>
        <w:rPr>
          <w:rFonts w:ascii="Arial" w:cs="Arial" w:eastAsia="Arial" w:hAnsi="Arial"/>
          <w:sz w:val="15"/>
          <w:szCs w:val="15"/>
          <w:color w:val="auto"/>
        </w:rPr>
        <w:t>substantially the same terms as those prevailing at the time for comparable transactions with non-affiliated persons, and (iii) the transaction does not involve the greater of</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$500,000 or 2% of the recipient's total annual revenues, (2) any transaction where the related person's interest arises solely from the ownership of our common stock and where</w:t>
      </w:r>
    </w:p>
    <w:p>
      <w:pPr>
        <w:spacing w:after="0" w:line="36" w:lineRule="exact"/>
        <w:rPr>
          <w:sz w:val="20"/>
          <w:szCs w:val="20"/>
          <w:color w:val="auto"/>
        </w:rPr>
      </w:pPr>
    </w:p>
    <w:p>
      <w:pPr>
        <w:spacing w:after="0"/>
        <w:rPr>
          <w:sz w:val="20"/>
          <w:szCs w:val="20"/>
          <w:color w:val="auto"/>
        </w:rPr>
      </w:pPr>
      <w:r>
        <w:rPr>
          <w:rFonts w:ascii="Arial" w:cs="Arial" w:eastAsia="Arial" w:hAnsi="Arial"/>
          <w:sz w:val="14"/>
          <w:szCs w:val="14"/>
          <w:color w:val="auto"/>
        </w:rPr>
        <w:t>all shareholders received the same benefit on a pro rata basis (e.g. dividends), and (3) any charitable contributions if the related person's interest arises only from (a) the person's</w:t>
      </w:r>
    </w:p>
    <w:p>
      <w:pPr>
        <w:spacing w:after="0" w:line="36" w:lineRule="exact"/>
        <w:rPr>
          <w:sz w:val="20"/>
          <w:szCs w:val="20"/>
          <w:color w:val="auto"/>
        </w:rPr>
      </w:pPr>
    </w:p>
    <w:p>
      <w:pPr>
        <w:spacing w:after="0"/>
        <w:rPr>
          <w:sz w:val="20"/>
          <w:szCs w:val="20"/>
          <w:color w:val="auto"/>
        </w:rPr>
      </w:pPr>
      <w:r>
        <w:rPr>
          <w:rFonts w:ascii="Arial" w:cs="Arial" w:eastAsia="Arial" w:hAnsi="Arial"/>
          <w:sz w:val="14"/>
          <w:szCs w:val="14"/>
          <w:color w:val="auto"/>
        </w:rPr>
        <w:t>or the person's immediate family member's position as an employee (other than an executive officer) or other position that does not involve policy-making decisions or (b) the</w:t>
      </w:r>
    </w:p>
    <w:p>
      <w:pPr>
        <w:spacing w:after="0" w:line="36" w:lineRule="exact"/>
        <w:rPr>
          <w:sz w:val="20"/>
          <w:szCs w:val="20"/>
          <w:color w:val="auto"/>
        </w:rPr>
      </w:pPr>
    </w:p>
    <w:p>
      <w:pPr>
        <w:spacing w:after="0"/>
        <w:rPr>
          <w:sz w:val="20"/>
          <w:szCs w:val="20"/>
          <w:color w:val="auto"/>
        </w:rPr>
      </w:pPr>
      <w:r>
        <w:rPr>
          <w:rFonts w:ascii="Arial" w:cs="Arial" w:eastAsia="Arial" w:hAnsi="Arial"/>
          <w:sz w:val="14"/>
          <w:szCs w:val="14"/>
          <w:color w:val="auto"/>
        </w:rPr>
        <w:t>person's or person's immediate family member's position as an executive officer or director and the aggregate amount involved does not exceed the lesser of $1,000,000 or 2% of</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the charitable organization's total annual receipts.</w:t>
      </w:r>
    </w:p>
    <w:p>
      <w:pPr>
        <w:spacing w:after="0" w:line="203" w:lineRule="exact"/>
        <w:rPr>
          <w:sz w:val="20"/>
          <w:szCs w:val="20"/>
          <w:color w:val="auto"/>
        </w:rPr>
      </w:pPr>
    </w:p>
    <w:p>
      <w:pPr>
        <w:ind w:right="60" w:firstLine="561"/>
        <w:spacing w:after="0" w:line="266" w:lineRule="auto"/>
        <w:rPr>
          <w:sz w:val="20"/>
          <w:szCs w:val="20"/>
          <w:color w:val="auto"/>
        </w:rPr>
      </w:pPr>
      <w:r>
        <w:rPr>
          <w:rFonts w:ascii="Arial" w:cs="Arial" w:eastAsia="Arial" w:hAnsi="Arial"/>
          <w:sz w:val="16"/>
          <w:szCs w:val="16"/>
          <w:color w:val="auto"/>
        </w:rPr>
        <w:t>If the Chairman of the Governance Committee determines that a proposed transaction is a related person transaction, it will submit the proposed transaction to the Governance Committee for approval. The Governance Committee reviews any related person transactions that are not among the types described above, and determines whether to approve or ratify any such transaction. The Governance Committee will analyze the following factors, in addition to any other factors the Governance Committee deems appropriate, in determining whether to approve a related person transaction:</w:t>
      </w:r>
    </w:p>
    <w:p>
      <w:pPr>
        <w:spacing w:after="0" w:line="183" w:lineRule="exact"/>
        <w:rPr>
          <w:sz w:val="20"/>
          <w:szCs w:val="20"/>
          <w:color w:val="auto"/>
        </w:rPr>
      </w:pPr>
    </w:p>
    <w:p>
      <w:pPr>
        <w:ind w:left="980" w:hanging="488"/>
        <w:spacing w:after="0"/>
        <w:tabs>
          <w:tab w:leader="none" w:pos="9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benefits to us;</w:t>
      </w:r>
    </w:p>
    <w:p>
      <w:pPr>
        <w:spacing w:after="0" w:line="235" w:lineRule="exact"/>
        <w:rPr>
          <w:rFonts w:ascii="Arial" w:cs="Arial" w:eastAsia="Arial" w:hAnsi="Arial"/>
          <w:sz w:val="16"/>
          <w:szCs w:val="16"/>
          <w:color w:val="auto"/>
        </w:rPr>
      </w:pPr>
    </w:p>
    <w:p>
      <w:pPr>
        <w:ind w:left="980" w:hanging="488"/>
        <w:spacing w:after="0"/>
        <w:tabs>
          <w:tab w:leader="none" w:pos="9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impact on a director's independence, if relevant;</w:t>
      </w:r>
    </w:p>
    <w:p>
      <w:pPr>
        <w:spacing w:after="0" w:line="222" w:lineRule="exact"/>
        <w:rPr>
          <w:rFonts w:ascii="Arial" w:cs="Arial" w:eastAsia="Arial" w:hAnsi="Arial"/>
          <w:sz w:val="16"/>
          <w:szCs w:val="16"/>
          <w:color w:val="auto"/>
        </w:rPr>
      </w:pPr>
    </w:p>
    <w:p>
      <w:pPr>
        <w:ind w:left="980" w:hanging="488"/>
        <w:spacing w:after="0"/>
        <w:tabs>
          <w:tab w:leader="none" w:pos="9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availability of other sources for comparable products or services;</w:t>
      </w:r>
    </w:p>
    <w:p>
      <w:pPr>
        <w:spacing w:after="0" w:line="21" w:lineRule="exact"/>
        <w:rPr>
          <w:sz w:val="20"/>
          <w:szCs w:val="20"/>
          <w:color w:val="auto"/>
        </w:rPr>
      </w:pPr>
    </w:p>
    <w:p>
      <w:pPr>
        <w:jc w:val="right"/>
        <w:spacing w:after="0"/>
        <w:tabs>
          <w:tab w:leader="none" w:pos="1960" w:val="left"/>
          <w:tab w:leader="none" w:pos="1720" w:val="left"/>
          <w:tab w:leader="none" w:pos="14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3"/>
          <w:szCs w:val="33"/>
          <w:b w:val="1"/>
          <w:bCs w:val="1"/>
          <w:color w:val="auto"/>
          <w:vertAlign w:val="subscript"/>
        </w:rPr>
        <w:t>|</w:t>
      </w:r>
      <w:r>
        <w:rPr>
          <w:sz w:val="20"/>
          <w:szCs w:val="20"/>
          <w:color w:val="auto"/>
        </w:rPr>
        <w:tab/>
      </w:r>
      <w:r>
        <w:rPr>
          <w:rFonts w:ascii="Arial" w:cs="Arial" w:eastAsia="Arial" w:hAnsi="Arial"/>
          <w:sz w:val="16"/>
          <w:szCs w:val="16"/>
          <w:color w:val="auto"/>
        </w:rPr>
        <w:t>2018 Proxy Statement</w:t>
      </w:r>
      <w:r>
        <w:rPr>
          <w:sz w:val="20"/>
          <w:szCs w:val="20"/>
          <w:color w:val="auto"/>
        </w:rPr>
        <w:tab/>
      </w: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133350</wp:posOffset>
            </wp:positionV>
            <wp:extent cx="7263130" cy="203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9" w:name="page30"/>
    <w:bookmarkEnd w:id="29"/>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ind w:left="980" w:hanging="488"/>
        <w:spacing w:after="0"/>
        <w:tabs>
          <w:tab w:leader="none" w:pos="9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terms of the transaction; and</w:t>
      </w:r>
    </w:p>
    <w:p>
      <w:pPr>
        <w:spacing w:after="0" w:line="235" w:lineRule="exact"/>
        <w:rPr>
          <w:rFonts w:ascii="Arial" w:cs="Arial" w:eastAsia="Arial" w:hAnsi="Arial"/>
          <w:sz w:val="16"/>
          <w:szCs w:val="16"/>
          <w:color w:val="auto"/>
        </w:rPr>
      </w:pPr>
    </w:p>
    <w:p>
      <w:pPr>
        <w:ind w:left="980" w:hanging="488"/>
        <w:spacing w:after="0"/>
        <w:tabs>
          <w:tab w:leader="none" w:pos="9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terms available to unrelated third parties or to employees generally.</w:t>
      </w:r>
    </w:p>
    <w:p>
      <w:pPr>
        <w:spacing w:after="0" w:line="211" w:lineRule="exact"/>
        <w:rPr>
          <w:sz w:val="20"/>
          <w:szCs w:val="20"/>
          <w:color w:val="auto"/>
        </w:rPr>
      </w:pPr>
    </w:p>
    <w:p>
      <w:pPr>
        <w:ind w:right="280" w:firstLine="558"/>
        <w:spacing w:after="0" w:line="266" w:lineRule="auto"/>
        <w:rPr>
          <w:sz w:val="20"/>
          <w:szCs w:val="20"/>
          <w:color w:val="auto"/>
        </w:rPr>
      </w:pPr>
      <w:r>
        <w:rPr>
          <w:rFonts w:ascii="Arial" w:cs="Arial" w:eastAsia="Arial" w:hAnsi="Arial"/>
          <w:sz w:val="16"/>
          <w:szCs w:val="16"/>
          <w:color w:val="auto"/>
        </w:rPr>
        <w:t>The Governance Committee will only approve or ratify related person transactions that are consistent with our best interests and those of our shareholders. The Governance Committee's approval is not a directive to enter into the related person transaction, rather it is evidence that the Governance Committee does not object to the transaction based on relatedness issues. The Governance Committee will regularly review any ongoing related person transactions to determine whether it remains in our best interests and those of our shareholders to continue, modify or terminate the transactions.</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There were no reportable transactions in 2017.</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Board's Role in Risk Oversight</w:t>
      </w:r>
    </w:p>
    <w:p>
      <w:pPr>
        <w:spacing w:after="0" w:line="215" w:lineRule="exact"/>
        <w:rPr>
          <w:sz w:val="20"/>
          <w:szCs w:val="20"/>
          <w:color w:val="auto"/>
        </w:rPr>
      </w:pPr>
    </w:p>
    <w:p>
      <w:pPr>
        <w:ind w:right="100" w:firstLine="558"/>
        <w:spacing w:after="0" w:line="266" w:lineRule="auto"/>
        <w:rPr>
          <w:sz w:val="20"/>
          <w:szCs w:val="20"/>
          <w:color w:val="auto"/>
        </w:rPr>
      </w:pPr>
      <w:r>
        <w:rPr>
          <w:rFonts w:ascii="Arial" w:cs="Arial" w:eastAsia="Arial" w:hAnsi="Arial"/>
          <w:sz w:val="16"/>
          <w:szCs w:val="16"/>
          <w:color w:val="auto"/>
        </w:rPr>
        <w:t>The role of the Board is to understand the nature of the material risks we face and, based upon the information brought to its attention by management and our risk management processes, policies and procedures, evaluate whether such processes, policies and procedures are reasonably designed to respond to and mitigate the risks we face. Throughout the year, the Board and its committees receive periodic reports from management identifying and explaining key areas of risk applicable to us and an explanation of the processes, policies and procedures in place to monitor and assess those risks.</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Board and each of its committees oversee the risks pertaining to their principal areas of focus as described in the table below:</w:t>
      </w:r>
    </w:p>
    <w:p>
      <w:pPr>
        <w:spacing w:after="0" w:line="204" w:lineRule="exact"/>
        <w:rPr>
          <w:sz w:val="20"/>
          <w:szCs w:val="20"/>
          <w:color w:val="auto"/>
        </w:rPr>
      </w:pPr>
    </w:p>
    <w:tbl>
      <w:tblPr>
        <w:tblLayout w:type="fixed"/>
        <w:tblInd w:w="1360" w:type="dxa"/>
        <w:tblCellMar>
          <w:top w:w="0" w:type="dxa"/>
          <w:left w:w="0" w:type="dxa"/>
          <w:bottom w:w="0" w:type="dxa"/>
          <w:right w:w="0" w:type="dxa"/>
        </w:tblCellMar>
      </w:tblPr>
      <w:tr>
        <w:trPr>
          <w:trHeight w:val="138"/>
        </w:trPr>
        <w:tc>
          <w:tcPr>
            <w:tcW w:w="1020" w:type="dxa"/>
            <w:vAlign w:val="bottom"/>
            <w:shd w:val="clear" w:color="auto" w:fill="00529B"/>
          </w:tcPr>
          <w:p>
            <w:pPr>
              <w:ind w:left="20"/>
              <w:spacing w:after="0"/>
              <w:rPr>
                <w:sz w:val="20"/>
                <w:szCs w:val="20"/>
                <w:color w:val="auto"/>
              </w:rPr>
            </w:pPr>
            <w:r>
              <w:rPr>
                <w:rFonts w:ascii="Arial" w:cs="Arial" w:eastAsia="Arial" w:hAnsi="Arial"/>
                <w:sz w:val="12"/>
                <w:szCs w:val="12"/>
                <w:b w:val="1"/>
                <w:bCs w:val="1"/>
                <w:color w:val="FFFFFE"/>
              </w:rPr>
              <w:t>Board or</w:t>
            </w:r>
          </w:p>
        </w:tc>
        <w:tc>
          <w:tcPr>
            <w:tcW w:w="7560" w:type="dxa"/>
            <w:vAlign w:val="bottom"/>
            <w:vMerge w:val="restart"/>
            <w:shd w:val="clear" w:color="auto" w:fill="00529B"/>
          </w:tcPr>
          <w:p>
            <w:pPr>
              <w:ind w:left="3220"/>
              <w:spacing w:after="0"/>
              <w:rPr>
                <w:sz w:val="20"/>
                <w:szCs w:val="20"/>
                <w:color w:val="auto"/>
              </w:rPr>
            </w:pPr>
            <w:r>
              <w:rPr>
                <w:rFonts w:ascii="Arial" w:cs="Arial" w:eastAsia="Arial" w:hAnsi="Arial"/>
                <w:sz w:val="12"/>
                <w:szCs w:val="12"/>
                <w:b w:val="1"/>
                <w:bCs w:val="1"/>
                <w:color w:val="FFFFFE"/>
              </w:rPr>
              <w:t>Area of Risk Oversight</w:t>
            </w:r>
          </w:p>
        </w:tc>
        <w:tc>
          <w:tcPr>
            <w:tcW w:w="0" w:type="dxa"/>
            <w:vAlign w:val="bottom"/>
          </w:tcPr>
          <w:p>
            <w:pPr>
              <w:spacing w:after="0"/>
              <w:rPr>
                <w:sz w:val="1"/>
                <w:szCs w:val="1"/>
                <w:color w:val="auto"/>
              </w:rPr>
            </w:pPr>
          </w:p>
        </w:tc>
      </w:tr>
      <w:tr>
        <w:trPr>
          <w:trHeight w:val="86"/>
        </w:trPr>
        <w:tc>
          <w:tcPr>
            <w:tcW w:w="1020" w:type="dxa"/>
            <w:vAlign w:val="bottom"/>
            <w:vMerge w:val="restart"/>
            <w:shd w:val="clear" w:color="auto" w:fill="00529B"/>
          </w:tcPr>
          <w:p>
            <w:pPr>
              <w:ind w:left="180"/>
              <w:spacing w:after="0"/>
              <w:rPr>
                <w:sz w:val="20"/>
                <w:szCs w:val="20"/>
                <w:color w:val="auto"/>
              </w:rPr>
            </w:pPr>
            <w:r>
              <w:rPr>
                <w:rFonts w:ascii="Arial" w:cs="Arial" w:eastAsia="Arial" w:hAnsi="Arial"/>
                <w:sz w:val="12"/>
                <w:szCs w:val="12"/>
                <w:b w:val="1"/>
                <w:bCs w:val="1"/>
                <w:color w:val="FFFFFE"/>
              </w:rPr>
              <w:t>Committee</w:t>
            </w:r>
          </w:p>
        </w:tc>
        <w:tc>
          <w:tcPr>
            <w:tcW w:w="7560" w:type="dxa"/>
            <w:vAlign w:val="bottom"/>
            <w:vMerge w:val="continue"/>
            <w:shd w:val="clear" w:color="auto" w:fill="00529B"/>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1020" w:type="dxa"/>
            <w:vAlign w:val="bottom"/>
            <w:vMerge w:val="continue"/>
            <w:shd w:val="clear" w:color="auto" w:fill="00529B"/>
          </w:tcPr>
          <w:p>
            <w:pPr>
              <w:spacing w:after="0"/>
              <w:rPr>
                <w:sz w:val="5"/>
                <w:szCs w:val="5"/>
                <w:color w:val="auto"/>
              </w:rPr>
            </w:pPr>
          </w:p>
        </w:tc>
        <w:tc>
          <w:tcPr>
            <w:tcW w:w="7560" w:type="dxa"/>
            <w:vAlign w:val="bottom"/>
            <w:shd w:val="clear" w:color="auto" w:fill="00529B"/>
          </w:tcPr>
          <w:p>
            <w:pPr>
              <w:spacing w:after="0"/>
              <w:rPr>
                <w:sz w:val="5"/>
                <w:szCs w:val="5"/>
                <w:color w:val="auto"/>
              </w:rPr>
            </w:pPr>
          </w:p>
        </w:tc>
        <w:tc>
          <w:tcPr>
            <w:tcW w:w="0" w:type="dxa"/>
            <w:vAlign w:val="bottom"/>
          </w:tcPr>
          <w:p>
            <w:pPr>
              <w:spacing w:after="0"/>
              <w:rPr>
                <w:sz w:val="1"/>
                <w:szCs w:val="1"/>
                <w:color w:val="auto"/>
              </w:rPr>
            </w:pPr>
          </w:p>
        </w:tc>
      </w:tr>
      <w:tr>
        <w:trPr>
          <w:trHeight w:val="386"/>
        </w:trPr>
        <w:tc>
          <w:tcPr>
            <w:tcW w:w="1020" w:type="dxa"/>
            <w:vAlign w:val="bottom"/>
          </w:tcPr>
          <w:p>
            <w:pPr>
              <w:ind w:left="20"/>
              <w:spacing w:after="0"/>
              <w:rPr>
                <w:sz w:val="20"/>
                <w:szCs w:val="20"/>
                <w:color w:val="auto"/>
              </w:rPr>
            </w:pPr>
            <w:r>
              <w:rPr>
                <w:rFonts w:ascii="Arial" w:cs="Arial" w:eastAsia="Arial" w:hAnsi="Arial"/>
                <w:sz w:val="16"/>
                <w:szCs w:val="16"/>
                <w:color w:val="auto"/>
              </w:rPr>
              <w:t>Board</w:t>
            </w:r>
          </w:p>
        </w:tc>
        <w:tc>
          <w:tcPr>
            <w:tcW w:w="7560" w:type="dxa"/>
            <w:vAlign w:val="bottom"/>
          </w:tcPr>
          <w:p>
            <w:pPr>
              <w:ind w:left="80"/>
              <w:spacing w:after="0"/>
              <w:rPr>
                <w:sz w:val="20"/>
                <w:szCs w:val="20"/>
                <w:color w:val="auto"/>
              </w:rPr>
            </w:pPr>
            <w:r>
              <w:rPr>
                <w:rFonts w:ascii="Arial" w:cs="Arial" w:eastAsia="Arial" w:hAnsi="Arial"/>
                <w:sz w:val="16"/>
                <w:szCs w:val="16"/>
                <w:color w:val="auto"/>
                <w:w w:val="94"/>
              </w:rPr>
              <w:t>•   Considers strategic and operational risks associated with the annual operating plan and other current matters</w:t>
            </w:r>
          </w:p>
        </w:tc>
        <w:tc>
          <w:tcPr>
            <w:tcW w:w="0" w:type="dxa"/>
            <w:vAlign w:val="bottom"/>
          </w:tcPr>
          <w:p>
            <w:pPr>
              <w:spacing w:after="0"/>
              <w:rPr>
                <w:sz w:val="1"/>
                <w:szCs w:val="1"/>
                <w:color w:val="auto"/>
              </w:rPr>
            </w:pPr>
          </w:p>
        </w:tc>
      </w:tr>
      <w:tr>
        <w:trPr>
          <w:trHeight w:val="197"/>
        </w:trPr>
        <w:tc>
          <w:tcPr>
            <w:tcW w:w="1020" w:type="dxa"/>
            <w:vAlign w:val="bottom"/>
          </w:tcPr>
          <w:p>
            <w:pPr>
              <w:spacing w:after="0"/>
              <w:rPr>
                <w:sz w:val="17"/>
                <w:szCs w:val="17"/>
                <w:color w:val="auto"/>
              </w:rPr>
            </w:pPr>
          </w:p>
        </w:tc>
        <w:tc>
          <w:tcPr>
            <w:tcW w:w="7560" w:type="dxa"/>
            <w:vAlign w:val="bottom"/>
          </w:tcPr>
          <w:p>
            <w:pPr>
              <w:ind w:left="360"/>
              <w:spacing w:after="0"/>
              <w:rPr>
                <w:sz w:val="20"/>
                <w:szCs w:val="20"/>
                <w:color w:val="auto"/>
              </w:rPr>
            </w:pPr>
            <w:r>
              <w:rPr>
                <w:rFonts w:ascii="Arial" w:cs="Arial" w:eastAsia="Arial" w:hAnsi="Arial"/>
                <w:sz w:val="16"/>
                <w:szCs w:val="16"/>
                <w:color w:val="auto"/>
                <w:w w:val="96"/>
              </w:rPr>
              <w:t>that may present material risks to our operations, plans, prospects or reputation and risks associated with</w:t>
            </w:r>
          </w:p>
        </w:tc>
        <w:tc>
          <w:tcPr>
            <w:tcW w:w="0" w:type="dxa"/>
            <w:vAlign w:val="bottom"/>
          </w:tcPr>
          <w:p>
            <w:pPr>
              <w:spacing w:after="0"/>
              <w:rPr>
                <w:sz w:val="1"/>
                <w:szCs w:val="1"/>
                <w:color w:val="auto"/>
              </w:rPr>
            </w:pPr>
          </w:p>
        </w:tc>
      </w:tr>
      <w:tr>
        <w:trPr>
          <w:trHeight w:val="205"/>
        </w:trPr>
        <w:tc>
          <w:tcPr>
            <w:tcW w:w="1020" w:type="dxa"/>
            <w:vAlign w:val="bottom"/>
          </w:tcPr>
          <w:p>
            <w:pPr>
              <w:spacing w:after="0"/>
              <w:rPr>
                <w:sz w:val="17"/>
                <w:szCs w:val="17"/>
                <w:color w:val="auto"/>
              </w:rPr>
            </w:pPr>
          </w:p>
        </w:tc>
        <w:tc>
          <w:tcPr>
            <w:tcW w:w="7560" w:type="dxa"/>
            <w:vAlign w:val="bottom"/>
          </w:tcPr>
          <w:p>
            <w:pPr>
              <w:ind w:left="360"/>
              <w:spacing w:after="0"/>
              <w:rPr>
                <w:sz w:val="20"/>
                <w:szCs w:val="20"/>
                <w:color w:val="auto"/>
              </w:rPr>
            </w:pPr>
            <w:r>
              <w:rPr>
                <w:rFonts w:ascii="Arial" w:cs="Arial" w:eastAsia="Arial" w:hAnsi="Arial"/>
                <w:sz w:val="16"/>
                <w:szCs w:val="16"/>
                <w:color w:val="auto"/>
              </w:rPr>
              <w:t>acquisitions.</w:t>
            </w:r>
          </w:p>
        </w:tc>
        <w:tc>
          <w:tcPr>
            <w:tcW w:w="0" w:type="dxa"/>
            <w:vAlign w:val="bottom"/>
          </w:tcPr>
          <w:p>
            <w:pPr>
              <w:spacing w:after="0"/>
              <w:rPr>
                <w:sz w:val="1"/>
                <w:szCs w:val="1"/>
                <w:color w:val="auto"/>
              </w:rPr>
            </w:pPr>
          </w:p>
        </w:tc>
      </w:tr>
      <w:tr>
        <w:trPr>
          <w:trHeight w:val="189"/>
        </w:trPr>
        <w:tc>
          <w:tcPr>
            <w:tcW w:w="1020" w:type="dxa"/>
            <w:vAlign w:val="bottom"/>
            <w:shd w:val="clear" w:color="auto" w:fill="D1D7EB"/>
          </w:tcPr>
          <w:p>
            <w:pPr>
              <w:ind w:left="20"/>
              <w:spacing w:after="0"/>
              <w:rPr>
                <w:sz w:val="20"/>
                <w:szCs w:val="20"/>
                <w:color w:val="auto"/>
              </w:rPr>
            </w:pPr>
            <w:r>
              <w:rPr>
                <w:rFonts w:ascii="Arial" w:cs="Arial" w:eastAsia="Arial" w:hAnsi="Arial"/>
                <w:sz w:val="16"/>
                <w:szCs w:val="16"/>
                <w:color w:val="auto"/>
              </w:rPr>
              <w:t>Audit</w:t>
            </w:r>
          </w:p>
        </w:tc>
        <w:tc>
          <w:tcPr>
            <w:tcW w:w="7560" w:type="dxa"/>
            <w:vAlign w:val="bottom"/>
            <w:shd w:val="clear" w:color="auto" w:fill="D1D7EB"/>
          </w:tcPr>
          <w:p>
            <w:pPr>
              <w:ind w:left="80"/>
              <w:spacing w:after="0"/>
              <w:rPr>
                <w:sz w:val="20"/>
                <w:szCs w:val="20"/>
                <w:color w:val="auto"/>
              </w:rPr>
            </w:pPr>
            <w:r>
              <w:rPr>
                <w:rFonts w:ascii="Arial" w:cs="Arial" w:eastAsia="Arial" w:hAnsi="Arial"/>
                <w:sz w:val="16"/>
                <w:szCs w:val="16"/>
                <w:color w:val="auto"/>
                <w:w w:val="97"/>
              </w:rPr>
              <w:t>•   Considers risks associated with the financial reporting and disclosure process, major litigation, information</w:t>
            </w:r>
          </w:p>
        </w:tc>
        <w:tc>
          <w:tcPr>
            <w:tcW w:w="0" w:type="dxa"/>
            <w:vAlign w:val="bottom"/>
          </w:tcPr>
          <w:p>
            <w:pPr>
              <w:spacing w:after="0"/>
              <w:rPr>
                <w:sz w:val="1"/>
                <w:szCs w:val="1"/>
                <w:color w:val="auto"/>
              </w:rPr>
            </w:pPr>
          </w:p>
        </w:tc>
      </w:tr>
      <w:tr>
        <w:trPr>
          <w:trHeight w:val="197"/>
        </w:trPr>
        <w:tc>
          <w:tcPr>
            <w:tcW w:w="1020" w:type="dxa"/>
            <w:vAlign w:val="bottom"/>
            <w:shd w:val="clear" w:color="auto" w:fill="D1D7EB"/>
          </w:tcPr>
          <w:p>
            <w:pPr>
              <w:spacing w:after="0"/>
              <w:rPr>
                <w:sz w:val="17"/>
                <w:szCs w:val="17"/>
                <w:color w:val="auto"/>
              </w:rPr>
            </w:pPr>
          </w:p>
        </w:tc>
        <w:tc>
          <w:tcPr>
            <w:tcW w:w="7560" w:type="dxa"/>
            <w:vAlign w:val="bottom"/>
            <w:shd w:val="clear" w:color="auto" w:fill="D1D7EB"/>
          </w:tcPr>
          <w:p>
            <w:pPr>
              <w:ind w:left="360"/>
              <w:spacing w:after="0"/>
              <w:rPr>
                <w:sz w:val="20"/>
                <w:szCs w:val="20"/>
                <w:color w:val="auto"/>
              </w:rPr>
            </w:pPr>
            <w:r>
              <w:rPr>
                <w:rFonts w:ascii="Arial" w:cs="Arial" w:eastAsia="Arial" w:hAnsi="Arial"/>
                <w:sz w:val="16"/>
                <w:szCs w:val="16"/>
                <w:color w:val="auto"/>
                <w:w w:val="90"/>
              </w:rPr>
              <w:t>security, and regulation and legal compliance and discusses the guidelines and policies that govern the process</w:t>
            </w:r>
          </w:p>
        </w:tc>
        <w:tc>
          <w:tcPr>
            <w:tcW w:w="0" w:type="dxa"/>
            <w:vAlign w:val="bottom"/>
          </w:tcPr>
          <w:p>
            <w:pPr>
              <w:spacing w:after="0"/>
              <w:rPr>
                <w:sz w:val="1"/>
                <w:szCs w:val="1"/>
                <w:color w:val="auto"/>
              </w:rPr>
            </w:pPr>
          </w:p>
        </w:tc>
      </w:tr>
      <w:tr>
        <w:trPr>
          <w:trHeight w:val="206"/>
        </w:trPr>
        <w:tc>
          <w:tcPr>
            <w:tcW w:w="1020" w:type="dxa"/>
            <w:vAlign w:val="bottom"/>
            <w:shd w:val="clear" w:color="auto" w:fill="D1D7EB"/>
          </w:tcPr>
          <w:p>
            <w:pPr>
              <w:spacing w:after="0"/>
              <w:rPr>
                <w:sz w:val="17"/>
                <w:szCs w:val="17"/>
                <w:color w:val="auto"/>
              </w:rPr>
            </w:pPr>
          </w:p>
        </w:tc>
        <w:tc>
          <w:tcPr>
            <w:tcW w:w="7560" w:type="dxa"/>
            <w:vAlign w:val="bottom"/>
            <w:shd w:val="clear" w:color="auto" w:fill="D1D7EB"/>
          </w:tcPr>
          <w:p>
            <w:pPr>
              <w:ind w:left="360"/>
              <w:spacing w:after="0"/>
              <w:rPr>
                <w:sz w:val="20"/>
                <w:szCs w:val="20"/>
                <w:color w:val="auto"/>
              </w:rPr>
            </w:pPr>
            <w:r>
              <w:rPr>
                <w:rFonts w:ascii="Arial" w:cs="Arial" w:eastAsia="Arial" w:hAnsi="Arial"/>
                <w:sz w:val="16"/>
                <w:szCs w:val="16"/>
                <w:color w:val="auto"/>
                <w:w w:val="96"/>
              </w:rPr>
              <w:t>by which risk assessment and management is undertaken in accordance with its charter and NYSE rules.</w:t>
            </w:r>
          </w:p>
        </w:tc>
        <w:tc>
          <w:tcPr>
            <w:tcW w:w="0" w:type="dxa"/>
            <w:vAlign w:val="bottom"/>
          </w:tcPr>
          <w:p>
            <w:pPr>
              <w:spacing w:after="0"/>
              <w:rPr>
                <w:sz w:val="1"/>
                <w:szCs w:val="1"/>
                <w:color w:val="auto"/>
              </w:rPr>
            </w:pPr>
          </w:p>
        </w:tc>
      </w:tr>
      <w:tr>
        <w:trPr>
          <w:trHeight w:val="197"/>
        </w:trPr>
        <w:tc>
          <w:tcPr>
            <w:tcW w:w="1020" w:type="dxa"/>
            <w:vAlign w:val="bottom"/>
          </w:tcPr>
          <w:p>
            <w:pPr>
              <w:ind w:left="20"/>
              <w:spacing w:after="0"/>
              <w:rPr>
                <w:sz w:val="20"/>
                <w:szCs w:val="20"/>
                <w:color w:val="auto"/>
              </w:rPr>
            </w:pPr>
            <w:r>
              <w:rPr>
                <w:rFonts w:ascii="Arial" w:cs="Arial" w:eastAsia="Arial" w:hAnsi="Arial"/>
                <w:sz w:val="16"/>
                <w:szCs w:val="16"/>
                <w:color w:val="auto"/>
                <w:w w:val="94"/>
              </w:rPr>
              <w:t>Compensation</w:t>
            </w:r>
          </w:p>
        </w:tc>
        <w:tc>
          <w:tcPr>
            <w:tcW w:w="7560" w:type="dxa"/>
            <w:vAlign w:val="bottom"/>
          </w:tcPr>
          <w:p>
            <w:pPr>
              <w:ind w:left="80"/>
              <w:spacing w:after="0"/>
              <w:rPr>
                <w:sz w:val="20"/>
                <w:szCs w:val="20"/>
                <w:color w:val="auto"/>
              </w:rPr>
            </w:pPr>
            <w:r>
              <w:rPr>
                <w:rFonts w:ascii="Arial" w:cs="Arial" w:eastAsia="Arial" w:hAnsi="Arial"/>
                <w:sz w:val="16"/>
                <w:szCs w:val="16"/>
                <w:color w:val="auto"/>
              </w:rPr>
              <w:t>•   Considers risks associated with our compensation programs, policies and practices.</w:t>
            </w:r>
          </w:p>
        </w:tc>
        <w:tc>
          <w:tcPr>
            <w:tcW w:w="0" w:type="dxa"/>
            <w:vAlign w:val="bottom"/>
          </w:tcPr>
          <w:p>
            <w:pPr>
              <w:spacing w:after="0"/>
              <w:rPr>
                <w:sz w:val="1"/>
                <w:szCs w:val="1"/>
                <w:color w:val="auto"/>
              </w:rPr>
            </w:pPr>
          </w:p>
        </w:tc>
      </w:tr>
      <w:tr>
        <w:trPr>
          <w:trHeight w:val="188"/>
        </w:trPr>
        <w:tc>
          <w:tcPr>
            <w:tcW w:w="1020" w:type="dxa"/>
            <w:vAlign w:val="bottom"/>
            <w:shd w:val="clear" w:color="auto" w:fill="D1D7EB"/>
          </w:tcPr>
          <w:p>
            <w:pPr>
              <w:ind w:left="20"/>
              <w:spacing w:after="0"/>
              <w:rPr>
                <w:sz w:val="20"/>
                <w:szCs w:val="20"/>
                <w:color w:val="auto"/>
              </w:rPr>
            </w:pPr>
            <w:r>
              <w:rPr>
                <w:rFonts w:ascii="Arial" w:cs="Arial" w:eastAsia="Arial" w:hAnsi="Arial"/>
                <w:sz w:val="16"/>
                <w:szCs w:val="16"/>
                <w:color w:val="auto"/>
              </w:rPr>
              <w:t>Governance</w:t>
            </w:r>
          </w:p>
        </w:tc>
        <w:tc>
          <w:tcPr>
            <w:tcW w:w="7560" w:type="dxa"/>
            <w:vAlign w:val="bottom"/>
            <w:shd w:val="clear" w:color="auto" w:fill="D1D7EB"/>
          </w:tcPr>
          <w:p>
            <w:pPr>
              <w:ind w:left="80"/>
              <w:spacing w:after="0"/>
              <w:rPr>
                <w:sz w:val="20"/>
                <w:szCs w:val="20"/>
                <w:color w:val="auto"/>
              </w:rPr>
            </w:pPr>
            <w:r>
              <w:rPr>
                <w:rFonts w:ascii="Arial" w:cs="Arial" w:eastAsia="Arial" w:hAnsi="Arial"/>
                <w:sz w:val="16"/>
                <w:szCs w:val="16"/>
                <w:color w:val="auto"/>
                <w:w w:val="94"/>
              </w:rPr>
              <w:t>•   In conjunction with the Compensation Committee, considers risks associated with management development</w:t>
            </w:r>
          </w:p>
        </w:tc>
        <w:tc>
          <w:tcPr>
            <w:tcW w:w="0" w:type="dxa"/>
            <w:vAlign w:val="bottom"/>
          </w:tcPr>
          <w:p>
            <w:pPr>
              <w:spacing w:after="0"/>
              <w:rPr>
                <w:sz w:val="1"/>
                <w:szCs w:val="1"/>
                <w:color w:val="auto"/>
              </w:rPr>
            </w:pPr>
          </w:p>
        </w:tc>
      </w:tr>
      <w:tr>
        <w:trPr>
          <w:trHeight w:val="206"/>
        </w:trPr>
        <w:tc>
          <w:tcPr>
            <w:tcW w:w="1020" w:type="dxa"/>
            <w:vAlign w:val="bottom"/>
            <w:shd w:val="clear" w:color="auto" w:fill="D1D7EB"/>
          </w:tcPr>
          <w:p>
            <w:pPr>
              <w:spacing w:after="0"/>
              <w:rPr>
                <w:sz w:val="17"/>
                <w:szCs w:val="17"/>
                <w:color w:val="auto"/>
              </w:rPr>
            </w:pPr>
          </w:p>
        </w:tc>
        <w:tc>
          <w:tcPr>
            <w:tcW w:w="7560" w:type="dxa"/>
            <w:vAlign w:val="bottom"/>
            <w:shd w:val="clear" w:color="auto" w:fill="D1D7EB"/>
          </w:tcPr>
          <w:p>
            <w:pPr>
              <w:ind w:left="360"/>
              <w:spacing w:after="0"/>
              <w:rPr>
                <w:sz w:val="20"/>
                <w:szCs w:val="20"/>
                <w:color w:val="auto"/>
              </w:rPr>
            </w:pPr>
            <w:r>
              <w:rPr>
                <w:rFonts w:ascii="Arial" w:cs="Arial" w:eastAsia="Arial" w:hAnsi="Arial"/>
                <w:sz w:val="16"/>
                <w:szCs w:val="16"/>
                <w:color w:val="auto"/>
              </w:rPr>
              <w:t>and succession.</w:t>
            </w:r>
          </w:p>
        </w:tc>
        <w:tc>
          <w:tcPr>
            <w:tcW w:w="0" w:type="dxa"/>
            <w:vAlign w:val="bottom"/>
          </w:tcPr>
          <w:p>
            <w:pPr>
              <w:spacing w:after="0"/>
              <w:rPr>
                <w:sz w:val="1"/>
                <w:szCs w:val="1"/>
                <w:color w:val="auto"/>
              </w:rPr>
            </w:pPr>
          </w:p>
        </w:tc>
      </w:tr>
      <w:tr>
        <w:trPr>
          <w:trHeight w:val="188"/>
        </w:trPr>
        <w:tc>
          <w:tcPr>
            <w:tcW w:w="1020" w:type="dxa"/>
            <w:vAlign w:val="bottom"/>
          </w:tcPr>
          <w:p>
            <w:pPr>
              <w:ind w:left="20"/>
              <w:spacing w:after="0"/>
              <w:rPr>
                <w:sz w:val="20"/>
                <w:szCs w:val="20"/>
                <w:color w:val="auto"/>
              </w:rPr>
            </w:pPr>
            <w:r>
              <w:rPr>
                <w:rFonts w:ascii="Arial" w:cs="Arial" w:eastAsia="Arial" w:hAnsi="Arial"/>
                <w:sz w:val="16"/>
                <w:szCs w:val="16"/>
                <w:color w:val="auto"/>
              </w:rPr>
              <w:t>Technology</w:t>
            </w:r>
          </w:p>
        </w:tc>
        <w:tc>
          <w:tcPr>
            <w:tcW w:w="7560" w:type="dxa"/>
            <w:vAlign w:val="bottom"/>
          </w:tcPr>
          <w:p>
            <w:pPr>
              <w:ind w:left="80"/>
              <w:spacing w:after="0"/>
              <w:rPr>
                <w:sz w:val="20"/>
                <w:szCs w:val="20"/>
                <w:color w:val="auto"/>
              </w:rPr>
            </w:pPr>
            <w:r>
              <w:rPr>
                <w:rFonts w:ascii="Arial" w:cs="Arial" w:eastAsia="Arial" w:hAnsi="Arial"/>
                <w:sz w:val="16"/>
                <w:szCs w:val="16"/>
                <w:color w:val="auto"/>
              </w:rPr>
              <w:t>•   Considers risks associated with technology-related operations and processes.</w:t>
            </w:r>
          </w:p>
        </w:tc>
        <w:tc>
          <w:tcPr>
            <w:tcW w:w="0" w:type="dxa"/>
            <w:vAlign w:val="bottom"/>
          </w:tcPr>
          <w:p>
            <w:pPr>
              <w:spacing w:after="0"/>
              <w:rPr>
                <w:sz w:val="1"/>
                <w:szCs w:val="1"/>
                <w:color w:val="auto"/>
              </w:rPr>
            </w:pPr>
          </w:p>
        </w:tc>
      </w:tr>
      <w:tr>
        <w:trPr>
          <w:trHeight w:val="197"/>
        </w:trPr>
        <w:tc>
          <w:tcPr>
            <w:tcW w:w="1020" w:type="dxa"/>
            <w:vAlign w:val="bottom"/>
          </w:tcPr>
          <w:p>
            <w:pPr>
              <w:ind w:left="180"/>
              <w:spacing w:after="0"/>
              <w:rPr>
                <w:sz w:val="20"/>
                <w:szCs w:val="20"/>
                <w:color w:val="auto"/>
              </w:rPr>
            </w:pPr>
            <w:r>
              <w:rPr>
                <w:rFonts w:ascii="Arial" w:cs="Arial" w:eastAsia="Arial" w:hAnsi="Arial"/>
                <w:sz w:val="16"/>
                <w:szCs w:val="16"/>
                <w:color w:val="auto"/>
              </w:rPr>
              <w:t>and</w:t>
            </w:r>
          </w:p>
        </w:tc>
        <w:tc>
          <w:tcPr>
            <w:tcW w:w="7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020" w:type="dxa"/>
            <w:vAlign w:val="bottom"/>
          </w:tcPr>
          <w:p>
            <w:pPr>
              <w:ind w:left="180"/>
              <w:spacing w:after="0"/>
              <w:rPr>
                <w:sz w:val="20"/>
                <w:szCs w:val="20"/>
                <w:color w:val="auto"/>
              </w:rPr>
            </w:pPr>
            <w:r>
              <w:rPr>
                <w:rFonts w:ascii="Arial" w:cs="Arial" w:eastAsia="Arial" w:hAnsi="Arial"/>
                <w:sz w:val="16"/>
                <w:szCs w:val="16"/>
                <w:color w:val="auto"/>
              </w:rPr>
              <w:t>Operations</w:t>
            </w:r>
          </w:p>
        </w:tc>
        <w:tc>
          <w:tcPr>
            <w:tcW w:w="75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ind w:left="560"/>
        <w:spacing w:after="0"/>
        <w:rPr>
          <w:sz w:val="20"/>
          <w:szCs w:val="20"/>
          <w:color w:val="auto"/>
        </w:rPr>
      </w:pPr>
      <w:r>
        <w:rPr>
          <w:rFonts w:ascii="Arial" w:cs="Arial" w:eastAsia="Arial" w:hAnsi="Arial"/>
          <w:sz w:val="15"/>
          <w:szCs w:val="15"/>
          <w:color w:val="auto"/>
        </w:rPr>
        <w:t>Each committee also provides periodic reports to the Board on the risks pertaining to their principal areas of focus so that the Board is informed of our risk profile.</w:t>
      </w:r>
    </w:p>
    <w:p>
      <w:pPr>
        <w:spacing w:after="0" w:line="222" w:lineRule="exact"/>
        <w:rPr>
          <w:sz w:val="20"/>
          <w:szCs w:val="20"/>
          <w:color w:val="auto"/>
        </w:rPr>
      </w:pPr>
    </w:p>
    <w:p>
      <w:pPr>
        <w:ind w:right="520" w:firstLine="561"/>
        <w:spacing w:after="0" w:line="284" w:lineRule="auto"/>
        <w:rPr>
          <w:sz w:val="20"/>
          <w:szCs w:val="20"/>
          <w:color w:val="auto"/>
        </w:rPr>
      </w:pPr>
      <w:r>
        <w:rPr>
          <w:rFonts w:ascii="Arial" w:cs="Arial" w:eastAsia="Arial" w:hAnsi="Arial"/>
          <w:sz w:val="16"/>
          <w:szCs w:val="16"/>
          <w:color w:val="auto"/>
        </w:rPr>
        <w:t>Periodically, we also perform risk management assessments, both in specific areas of our business or on an enterprise-wide basis. The principal purposes of these assessments are to:</w:t>
      </w:r>
    </w:p>
    <w:p>
      <w:pPr>
        <w:spacing w:after="0" w:line="169" w:lineRule="exact"/>
        <w:rPr>
          <w:sz w:val="20"/>
          <w:szCs w:val="20"/>
          <w:color w:val="auto"/>
        </w:rPr>
      </w:pPr>
    </w:p>
    <w:p>
      <w:pPr>
        <w:ind w:left="980" w:hanging="488"/>
        <w:spacing w:after="0"/>
        <w:tabs>
          <w:tab w:leader="none" w:pos="9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ensure that risk management efforts are focused and directly linked to the underlying strategy of the organization;</w:t>
      </w:r>
    </w:p>
    <w:p>
      <w:pPr>
        <w:spacing w:after="0" w:line="222" w:lineRule="exact"/>
        <w:rPr>
          <w:rFonts w:ascii="Arial" w:cs="Arial" w:eastAsia="Arial" w:hAnsi="Arial"/>
          <w:sz w:val="16"/>
          <w:szCs w:val="16"/>
          <w:color w:val="auto"/>
        </w:rPr>
      </w:pPr>
    </w:p>
    <w:p>
      <w:pPr>
        <w:ind w:left="980" w:hanging="488"/>
        <w:spacing w:after="0"/>
        <w:tabs>
          <w:tab w:leader="none" w:pos="9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implement a sustainable and scalable framework to identify, manage and monitor risk;</w:t>
      </w:r>
    </w:p>
    <w:p>
      <w:pPr>
        <w:spacing w:after="0" w:line="21" w:lineRule="exact"/>
        <w:rPr>
          <w:sz w:val="20"/>
          <w:szCs w:val="20"/>
          <w:color w:val="auto"/>
        </w:rPr>
      </w:pPr>
    </w:p>
    <w:p>
      <w:pPr>
        <w:jc w:val="right"/>
        <w:spacing w:after="0"/>
        <w:tabs>
          <w:tab w:leader="none" w:pos="1960" w:val="left"/>
          <w:tab w:leader="none" w:pos="1720" w:val="left"/>
          <w:tab w:leader="none" w:pos="14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3"/>
          <w:szCs w:val="33"/>
          <w:b w:val="1"/>
          <w:bCs w:val="1"/>
          <w:color w:val="auto"/>
          <w:vertAlign w:val="subscript"/>
        </w:rPr>
        <w:t>|</w:t>
      </w:r>
      <w:r>
        <w:rPr>
          <w:sz w:val="20"/>
          <w:szCs w:val="20"/>
          <w:color w:val="auto"/>
        </w:rPr>
        <w:tab/>
      </w:r>
      <w:r>
        <w:rPr>
          <w:rFonts w:ascii="Arial" w:cs="Arial" w:eastAsia="Arial" w:hAnsi="Arial"/>
          <w:sz w:val="16"/>
          <w:szCs w:val="16"/>
          <w:color w:val="auto"/>
        </w:rPr>
        <w:t>2018 Proxy Statement</w:t>
      </w:r>
      <w:r>
        <w:rPr>
          <w:sz w:val="20"/>
          <w:szCs w:val="20"/>
          <w:color w:val="auto"/>
        </w:rPr>
        <w:tab/>
      </w: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133350</wp:posOffset>
            </wp:positionV>
            <wp:extent cx="7263130" cy="203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0" w:name="page31"/>
    <w:bookmarkEnd w:id="30"/>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ind w:left="980" w:hanging="488"/>
        <w:spacing w:after="0"/>
        <w:tabs>
          <w:tab w:leader="none" w:pos="9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assign responsibility for each risk, put mitigation plans in place and assess the effectiveness of such mitigation plans; and</w:t>
      </w:r>
    </w:p>
    <w:p>
      <w:pPr>
        <w:spacing w:after="0" w:line="235" w:lineRule="exact"/>
        <w:rPr>
          <w:rFonts w:ascii="Arial" w:cs="Arial" w:eastAsia="Arial" w:hAnsi="Arial"/>
          <w:sz w:val="16"/>
          <w:szCs w:val="16"/>
          <w:color w:val="auto"/>
        </w:rPr>
      </w:pPr>
    </w:p>
    <w:p>
      <w:pPr>
        <w:ind w:left="980" w:right="140" w:hanging="488"/>
        <w:spacing w:after="0" w:line="284" w:lineRule="auto"/>
        <w:tabs>
          <w:tab w:leader="none" w:pos="9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enhance our risk management capabilities for priority risks and continue the development of risk management policies and action plans. The results of these risk assessments are regularly communicated to the Board.</w:t>
      </w:r>
    </w:p>
    <w:p>
      <w:pPr>
        <w:spacing w:after="0" w:line="156" w:lineRule="exact"/>
        <w:rPr>
          <w:sz w:val="20"/>
          <w:szCs w:val="20"/>
          <w:color w:val="auto"/>
        </w:rPr>
      </w:pPr>
    </w:p>
    <w:p>
      <w:pPr>
        <w:ind w:right="60" w:firstLine="561"/>
        <w:spacing w:after="0" w:line="283" w:lineRule="auto"/>
        <w:rPr>
          <w:sz w:val="20"/>
          <w:szCs w:val="20"/>
          <w:color w:val="auto"/>
        </w:rPr>
      </w:pPr>
      <w:r>
        <w:rPr>
          <w:rFonts w:ascii="Arial" w:cs="Arial" w:eastAsia="Arial" w:hAnsi="Arial"/>
          <w:sz w:val="15"/>
          <w:szCs w:val="15"/>
          <w:color w:val="auto"/>
        </w:rPr>
        <w:t>Each year management conducts, and the Compensation Committee oversees, a risk assessment of our compensation policies and practices with respect to all employees, including named executive officers. The employee population is segmented into groups based on commonalities across their reward programs. Each program is then evaluated using the key design features of the program and the applicable risk mitigation features that exist in such programs. Once the assessment is completed, management reviews the assessment data, methodology and findings with the Compensation Committee. A key goal of this process is to ensure that there are controls in place to (i) safeguard us from unwarranted exposure to particular risks that individual employees might choose to take and (ii) avoid any inadvertent incentives for employees to take inappropriate business risks by making decisions that may be in their best interests but not in the best interests of our shareholders.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of Directors</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Fees Earned or Paid in Cash</w:t>
      </w:r>
    </w:p>
    <w:p>
      <w:pPr>
        <w:spacing w:after="0" w:line="211" w:lineRule="exact"/>
        <w:rPr>
          <w:sz w:val="20"/>
          <w:szCs w:val="20"/>
          <w:color w:val="auto"/>
        </w:rPr>
      </w:pPr>
    </w:p>
    <w:p>
      <w:pPr>
        <w:ind w:firstLine="561"/>
        <w:spacing w:after="0" w:line="284" w:lineRule="auto"/>
        <w:rPr>
          <w:sz w:val="20"/>
          <w:szCs w:val="20"/>
          <w:color w:val="auto"/>
        </w:rPr>
      </w:pPr>
      <w:r>
        <w:rPr>
          <w:rFonts w:ascii="Arial" w:cs="Arial" w:eastAsia="Arial" w:hAnsi="Arial"/>
          <w:sz w:val="16"/>
          <w:szCs w:val="16"/>
          <w:color w:val="auto"/>
        </w:rPr>
        <w:t>Non-management directors earn fees for their services that are paid in cash on an annual basis. If a non-management director does not serve a full year in a position, such fees are paid on a pro-rated basis. The current fee structure for our non-management directors is as follows:</w:t>
      </w:r>
    </w:p>
    <w:p>
      <w:pPr>
        <w:spacing w:after="0" w:line="169" w:lineRule="exact"/>
        <w:rPr>
          <w:sz w:val="20"/>
          <w:szCs w:val="20"/>
          <w:color w:val="auto"/>
        </w:rPr>
      </w:pPr>
    </w:p>
    <w:p>
      <w:pPr>
        <w:ind w:left="980" w:hanging="488"/>
        <w:spacing w:after="0"/>
        <w:tabs>
          <w:tab w:leader="none" w:pos="9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annual fee payable to non-management directors for their service on the Board is $75,000;</w:t>
      </w:r>
    </w:p>
    <w:p>
      <w:pPr>
        <w:spacing w:after="0" w:line="222" w:lineRule="exact"/>
        <w:rPr>
          <w:rFonts w:ascii="Arial" w:cs="Arial" w:eastAsia="Arial" w:hAnsi="Arial"/>
          <w:sz w:val="16"/>
          <w:szCs w:val="16"/>
          <w:color w:val="auto"/>
        </w:rPr>
      </w:pPr>
    </w:p>
    <w:p>
      <w:pPr>
        <w:ind w:left="980" w:hanging="488"/>
        <w:spacing w:after="0"/>
        <w:tabs>
          <w:tab w:leader="none" w:pos="9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additional fee payable to the lead independent director is $40,000 per year;</w:t>
      </w:r>
    </w:p>
    <w:p>
      <w:pPr>
        <w:spacing w:after="0" w:line="235" w:lineRule="exact"/>
        <w:rPr>
          <w:rFonts w:ascii="Arial" w:cs="Arial" w:eastAsia="Arial" w:hAnsi="Arial"/>
          <w:sz w:val="16"/>
          <w:szCs w:val="16"/>
          <w:color w:val="auto"/>
        </w:rPr>
      </w:pPr>
    </w:p>
    <w:p>
      <w:pPr>
        <w:ind w:left="980" w:right="160" w:hanging="488"/>
        <w:spacing w:after="0" w:line="270" w:lineRule="auto"/>
        <w:tabs>
          <w:tab w:leader="none" w:pos="9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additional fee payable to members of the Audit Committee is $12,000, while the additional fee payable to members of each of the Compensation Committee and Technology and Operations Committee is $10,000 per year for each committee served and the additional fee payable to members of the Nominating Subcommittee is $4,000 per year; and</w:t>
      </w:r>
    </w:p>
    <w:p>
      <w:pPr>
        <w:spacing w:after="0" w:line="180" w:lineRule="exact"/>
        <w:rPr>
          <w:rFonts w:ascii="Arial" w:cs="Arial" w:eastAsia="Arial" w:hAnsi="Arial"/>
          <w:sz w:val="16"/>
          <w:szCs w:val="16"/>
          <w:color w:val="auto"/>
        </w:rPr>
      </w:pPr>
    </w:p>
    <w:p>
      <w:pPr>
        <w:ind w:left="980" w:right="100" w:hanging="488"/>
        <w:spacing w:after="0" w:line="270" w:lineRule="auto"/>
        <w:tabs>
          <w:tab w:leader="none" w:pos="9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additional fee payable to the Chairman of each of the Audit Committee, Compensation Committee and Technology and Operations Committee is $20,000 per year, while the additional fee payable to the Chairman of the Governance Committee is $15,000 per year and the additional fee payable to the Chairman of the Nominating Subcommittee is $12,000 per year.</w:t>
      </w:r>
    </w:p>
    <w:p>
      <w:pPr>
        <w:spacing w:after="0" w:line="168" w:lineRule="exact"/>
        <w:rPr>
          <w:sz w:val="20"/>
          <w:szCs w:val="20"/>
          <w:color w:val="auto"/>
        </w:rPr>
      </w:pPr>
    </w:p>
    <w:p>
      <w:pPr>
        <w:ind w:firstLine="561"/>
        <w:spacing w:after="0" w:line="284" w:lineRule="auto"/>
        <w:rPr>
          <w:sz w:val="20"/>
          <w:szCs w:val="20"/>
          <w:color w:val="auto"/>
        </w:rPr>
      </w:pPr>
      <w:r>
        <w:rPr>
          <w:rFonts w:ascii="Arial" w:cs="Arial" w:eastAsia="Arial" w:hAnsi="Arial"/>
          <w:sz w:val="16"/>
          <w:szCs w:val="16"/>
          <w:color w:val="auto"/>
        </w:rPr>
        <w:t>Our non-management directors are also reimbursed by us for their travel, food, lodging and related expenses incurred in connection with attending Board, committee and shareholder meetings, as well as continuing education programs.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Equity Awards</w:t>
      </w:r>
    </w:p>
    <w:p>
      <w:pPr>
        <w:spacing w:after="0" w:line="211" w:lineRule="exact"/>
        <w:rPr>
          <w:sz w:val="20"/>
          <w:szCs w:val="20"/>
          <w:color w:val="auto"/>
        </w:rPr>
      </w:pPr>
    </w:p>
    <w:p>
      <w:pPr>
        <w:jc w:val="both"/>
        <w:ind w:right="60" w:firstLine="561"/>
        <w:spacing w:after="0" w:line="278" w:lineRule="auto"/>
        <w:rPr>
          <w:sz w:val="20"/>
          <w:szCs w:val="20"/>
          <w:color w:val="auto"/>
        </w:rPr>
      </w:pPr>
      <w:r>
        <w:rPr>
          <w:rFonts w:ascii="Arial" w:cs="Arial" w:eastAsia="Arial" w:hAnsi="Arial"/>
          <w:sz w:val="15"/>
          <w:szCs w:val="15"/>
          <w:color w:val="auto"/>
        </w:rPr>
        <w:t>In 2017, the Board elected to grant each non-management director approximately $145,000 worth of restricted stock units ("RSUs") for board service and an additional $10,000 worth of RSUs as the fee for service on the Governance Committee. This resulted in each non-management director (other than Mr. Stebbins) receiving 4,280 RSUs and Mr. Stebbins, who does not serve on the Governance Committee received 4,004 RSUs. In connection with his appointment to the Board as a</w:t>
      </w:r>
    </w:p>
    <w:p>
      <w:pPr>
        <w:jc w:val="right"/>
        <w:spacing w:after="0"/>
        <w:tabs>
          <w:tab w:leader="none" w:pos="1960" w:val="left"/>
          <w:tab w:leader="none" w:pos="1720" w:val="left"/>
          <w:tab w:leader="none" w:pos="14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3"/>
          <w:szCs w:val="33"/>
          <w:b w:val="1"/>
          <w:bCs w:val="1"/>
          <w:color w:val="auto"/>
          <w:vertAlign w:val="subscript"/>
        </w:rPr>
        <w:t>|</w:t>
      </w:r>
      <w:r>
        <w:rPr>
          <w:sz w:val="20"/>
          <w:szCs w:val="20"/>
          <w:color w:val="auto"/>
        </w:rPr>
        <w:tab/>
      </w:r>
      <w:r>
        <w:rPr>
          <w:rFonts w:ascii="Arial" w:cs="Arial" w:eastAsia="Arial" w:hAnsi="Arial"/>
          <w:sz w:val="16"/>
          <w:szCs w:val="16"/>
          <w:color w:val="auto"/>
        </w:rPr>
        <w:t>2018 Proxy Statement</w:t>
      </w:r>
      <w:r>
        <w:rPr>
          <w:sz w:val="20"/>
          <w:szCs w:val="20"/>
          <w:color w:val="auto"/>
        </w:rPr>
        <w:tab/>
      </w: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133350</wp:posOffset>
            </wp:positionV>
            <wp:extent cx="7263130" cy="203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director on October 4, 2017, Mr. Gold received 2,732 RSUs representing a pro-rated portion of the annual equity grant.</w:t>
      </w:r>
    </w:p>
    <w:p>
      <w:pPr>
        <w:spacing w:after="0" w:line="211" w:lineRule="exact"/>
        <w:rPr>
          <w:sz w:val="20"/>
          <w:szCs w:val="20"/>
          <w:color w:val="auto"/>
        </w:rPr>
      </w:pPr>
    </w:p>
    <w:p>
      <w:pPr>
        <w:ind w:right="60" w:firstLine="558"/>
        <w:spacing w:after="0" w:line="270" w:lineRule="auto"/>
        <w:rPr>
          <w:sz w:val="20"/>
          <w:szCs w:val="20"/>
          <w:color w:val="auto"/>
        </w:rPr>
      </w:pPr>
      <w:r>
        <w:rPr>
          <w:rFonts w:ascii="Arial" w:cs="Arial" w:eastAsia="Arial" w:hAnsi="Arial"/>
          <w:sz w:val="16"/>
          <w:szCs w:val="16"/>
          <w:color w:val="auto"/>
        </w:rPr>
        <w:t>The RSUs vest on the earlier of: (i) the day prior to the Annual Meeting that next follows the grant date or (ii) one year from the grant date. Upon vesting of the RSUs, 50% of the underlying shares will be issued. The issuance of the remaining 50% of the shares will be deferred for three years from the grant date or until the director ceases to be a member of the Board, whichever occurs first.</w:t>
      </w:r>
    </w:p>
    <w:p>
      <w:pPr>
        <w:spacing w:after="0" w:line="168" w:lineRule="exact"/>
        <w:rPr>
          <w:sz w:val="20"/>
          <w:szCs w:val="20"/>
          <w:color w:val="auto"/>
        </w:rPr>
      </w:pPr>
    </w:p>
    <w:p>
      <w:pPr>
        <w:ind w:firstLine="561"/>
        <w:spacing w:after="0" w:line="319" w:lineRule="auto"/>
        <w:rPr>
          <w:sz w:val="20"/>
          <w:szCs w:val="20"/>
          <w:color w:val="auto"/>
        </w:rPr>
      </w:pPr>
      <w:r>
        <w:rPr>
          <w:rFonts w:ascii="Arial" w:cs="Arial" w:eastAsia="Arial" w:hAnsi="Arial"/>
          <w:sz w:val="15"/>
          <w:szCs w:val="15"/>
          <w:color w:val="auto"/>
        </w:rPr>
        <w:t>Our 2016 Omnibus Plan includes limits on equity awards that may be granted to non-management directors. The table below summarizes the compensation paid by us to our non-management directors for services rendered in 2017. Directors who are employed by us do not receive additional compensation for serving as directors.</w:t>
      </w:r>
    </w:p>
    <w:p>
      <w:pPr>
        <w:spacing w:after="0" w:line="327"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DIRECTOR COMPENSATION</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center"/>
              <w:spacing w:after="0"/>
              <w:rPr>
                <w:sz w:val="20"/>
                <w:szCs w:val="20"/>
                <w:color w:val="auto"/>
              </w:rPr>
            </w:pPr>
            <w:r>
              <w:rPr>
                <w:rFonts w:ascii="Arial" w:cs="Arial" w:eastAsia="Arial" w:hAnsi="Arial"/>
                <w:sz w:val="12"/>
                <w:szCs w:val="12"/>
                <w:b w:val="1"/>
                <w:bCs w:val="1"/>
                <w:color w:val="auto"/>
                <w:w w:val="87"/>
              </w:rPr>
              <w:t>Fees</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6"/>
              </w:rPr>
              <w:t>Earned or</w:t>
            </w:r>
          </w:p>
        </w:tc>
        <w:tc>
          <w:tcPr>
            <w:tcW w:w="140" w:type="dxa"/>
            <w:vAlign w:val="bottom"/>
          </w:tcPr>
          <w:p>
            <w:pPr>
              <w:spacing w:after="0"/>
              <w:rPr>
                <w:sz w:val="11"/>
                <w:szCs w:val="11"/>
                <w:color w:val="auto"/>
              </w:rPr>
            </w:pPr>
          </w:p>
        </w:tc>
        <w:tc>
          <w:tcPr>
            <w:tcW w:w="100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1"/>
              </w:rPr>
              <w:t>Stock</w:t>
            </w:r>
          </w:p>
        </w:tc>
        <w:tc>
          <w:tcPr>
            <w:tcW w:w="140" w:type="dxa"/>
            <w:vAlign w:val="bottom"/>
          </w:tcPr>
          <w:p>
            <w:pPr>
              <w:spacing w:after="0"/>
              <w:rPr>
                <w:sz w:val="11"/>
                <w:szCs w:val="11"/>
                <w:color w:val="auto"/>
              </w:rPr>
            </w:pPr>
          </w:p>
        </w:tc>
        <w:tc>
          <w:tcPr>
            <w:tcW w:w="114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8"/>
              </w:rPr>
              <w:t>All Other</w:t>
            </w: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jc w:val="center"/>
              <w:spacing w:after="0" w:line="124" w:lineRule="exact"/>
              <w:rPr>
                <w:sz w:val="20"/>
                <w:szCs w:val="20"/>
                <w:color w:val="auto"/>
              </w:rPr>
            </w:pPr>
            <w:r>
              <w:rPr>
                <w:rFonts w:ascii="Arial" w:cs="Arial" w:eastAsia="Arial" w:hAnsi="Arial"/>
                <w:sz w:val="12"/>
                <w:szCs w:val="12"/>
                <w:b w:val="1"/>
                <w:bCs w:val="1"/>
                <w:color w:val="auto"/>
                <w:w w:val="96"/>
              </w:rPr>
              <w:t>Paid in</w:t>
            </w:r>
          </w:p>
        </w:tc>
        <w:tc>
          <w:tcPr>
            <w:tcW w:w="14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4780" w:type="dxa"/>
            <w:vAlign w:val="bottom"/>
            <w:gridSpan w:val="3"/>
          </w:tcPr>
          <w:p>
            <w:pPr>
              <w:spacing w:after="0"/>
              <w:rPr>
                <w:sz w:val="20"/>
                <w:szCs w:val="20"/>
                <w:color w:val="auto"/>
              </w:rPr>
            </w:pPr>
            <w:r>
              <w:rPr>
                <w:rFonts w:ascii="Arial" w:cs="Arial" w:eastAsia="Arial" w:hAnsi="Arial"/>
                <w:sz w:val="12"/>
                <w:szCs w:val="12"/>
                <w:b w:val="1"/>
                <w:bCs w:val="1"/>
                <w:color w:val="auto"/>
              </w:rPr>
              <w:t>Name</w:t>
            </w:r>
          </w:p>
        </w:tc>
        <w:tc>
          <w:tcPr>
            <w:tcW w:w="14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Arial" w:cs="Arial" w:eastAsia="Arial" w:hAnsi="Arial"/>
                <w:sz w:val="12"/>
                <w:szCs w:val="12"/>
                <w:b w:val="1"/>
                <w:bCs w:val="1"/>
                <w:color w:val="auto"/>
                <w:w w:val="88"/>
              </w:rPr>
              <w:t>Cash</w:t>
            </w:r>
          </w:p>
        </w:tc>
        <w:tc>
          <w:tcPr>
            <w:tcW w:w="140" w:type="dxa"/>
            <w:vAlign w:val="bottom"/>
          </w:tcPr>
          <w:p>
            <w:pPr>
              <w:spacing w:after="0"/>
              <w:rPr>
                <w:sz w:val="13"/>
                <w:szCs w:val="13"/>
                <w:color w:val="auto"/>
              </w:rPr>
            </w:pPr>
          </w:p>
        </w:tc>
        <w:tc>
          <w:tcPr>
            <w:tcW w:w="1000" w:type="dxa"/>
            <w:vAlign w:val="bottom"/>
          </w:tcPr>
          <w:p>
            <w:pPr>
              <w:jc w:val="center"/>
              <w:spacing w:after="0" w:line="160" w:lineRule="exact"/>
              <w:rPr>
                <w:sz w:val="20"/>
                <w:szCs w:val="20"/>
                <w:color w:val="auto"/>
              </w:rPr>
            </w:pPr>
            <w:r>
              <w:rPr>
                <w:rFonts w:ascii="Arial" w:cs="Arial" w:eastAsia="Arial" w:hAnsi="Arial"/>
                <w:sz w:val="11"/>
                <w:szCs w:val="11"/>
                <w:b w:val="1"/>
                <w:bCs w:val="1"/>
                <w:color w:val="auto"/>
                <w:w w:val="92"/>
              </w:rPr>
              <w:t>Awards</w:t>
            </w:r>
            <w:r>
              <w:rPr>
                <w:rFonts w:ascii="Arial" w:cs="Arial" w:eastAsia="Arial" w:hAnsi="Arial"/>
                <w:sz w:val="18"/>
                <w:szCs w:val="18"/>
                <w:b w:val="1"/>
                <w:bCs w:val="1"/>
                <w:color w:val="auto"/>
                <w:w w:val="92"/>
                <w:vertAlign w:val="superscript"/>
              </w:rPr>
              <w:t>(1)(2)</w:t>
            </w:r>
          </w:p>
        </w:tc>
        <w:tc>
          <w:tcPr>
            <w:tcW w:w="140" w:type="dxa"/>
            <w:vAlign w:val="bottom"/>
          </w:tcPr>
          <w:p>
            <w:pPr>
              <w:spacing w:after="0"/>
              <w:rPr>
                <w:sz w:val="13"/>
                <w:szCs w:val="13"/>
                <w:color w:val="auto"/>
              </w:rPr>
            </w:pPr>
          </w:p>
        </w:tc>
        <w:tc>
          <w:tcPr>
            <w:tcW w:w="1140" w:type="dxa"/>
            <w:vAlign w:val="bottom"/>
          </w:tcPr>
          <w:p>
            <w:pPr>
              <w:jc w:val="center"/>
              <w:spacing w:after="0" w:line="160" w:lineRule="exact"/>
              <w:rPr>
                <w:sz w:val="20"/>
                <w:szCs w:val="20"/>
                <w:color w:val="auto"/>
              </w:rPr>
            </w:pPr>
            <w:r>
              <w:rPr>
                <w:rFonts w:ascii="Arial" w:cs="Arial" w:eastAsia="Arial" w:hAnsi="Arial"/>
                <w:sz w:val="11"/>
                <w:szCs w:val="11"/>
                <w:b w:val="1"/>
                <w:bCs w:val="1"/>
                <w:color w:val="auto"/>
                <w:w w:val="96"/>
              </w:rPr>
              <w:t>Compensation</w:t>
            </w:r>
            <w:r>
              <w:rPr>
                <w:rFonts w:ascii="Arial" w:cs="Arial" w:eastAsia="Arial" w:hAnsi="Arial"/>
                <w:sz w:val="18"/>
                <w:szCs w:val="18"/>
                <w:b w:val="1"/>
                <w:bCs w:val="1"/>
                <w:color w:val="auto"/>
                <w:w w:val="96"/>
                <w:vertAlign w:val="superscript"/>
              </w:rPr>
              <w:t>(3)</w:t>
            </w:r>
          </w:p>
        </w:tc>
        <w:tc>
          <w:tcPr>
            <w:tcW w:w="140" w:type="dxa"/>
            <w:vAlign w:val="bottom"/>
          </w:tcPr>
          <w:p>
            <w:pPr>
              <w:spacing w:after="0"/>
              <w:rPr>
                <w:sz w:val="13"/>
                <w:szCs w:val="13"/>
                <w:color w:val="auto"/>
              </w:rPr>
            </w:pPr>
          </w:p>
        </w:tc>
        <w:tc>
          <w:tcPr>
            <w:tcW w:w="800" w:type="dxa"/>
            <w:vAlign w:val="bottom"/>
          </w:tcPr>
          <w:p>
            <w:pPr>
              <w:ind w:left="26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7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Ken Bakshi</w:t>
            </w:r>
          </w:p>
        </w:tc>
        <w:tc>
          <w:tcPr>
            <w:tcW w:w="140" w:type="dxa"/>
            <w:vAlign w:val="bottom"/>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$131,000</w:t>
            </w:r>
          </w:p>
        </w:tc>
        <w:tc>
          <w:tcPr>
            <w:tcW w:w="140" w:type="dxa"/>
            <w:vAlign w:val="bottom"/>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$154,979</w:t>
            </w:r>
          </w:p>
        </w:tc>
        <w:tc>
          <w:tcPr>
            <w:tcW w:w="140" w:type="dxa"/>
            <w:vAlign w:val="bottom"/>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$1,468</w:t>
            </w:r>
          </w:p>
        </w:tc>
        <w:tc>
          <w:tcPr>
            <w:tcW w:w="140" w:type="dxa"/>
            <w:vAlign w:val="bottom"/>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$287,447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760" w:type="dxa"/>
            <w:vAlign w:val="bottom"/>
            <w:gridSpan w:val="2"/>
          </w:tcPr>
          <w:p>
            <w:pPr>
              <w:spacing w:after="0"/>
              <w:rPr>
                <w:sz w:val="20"/>
                <w:szCs w:val="20"/>
                <w:color w:val="auto"/>
              </w:rPr>
            </w:pPr>
            <w:r>
              <w:rPr>
                <w:rFonts w:ascii="Arial" w:cs="Arial" w:eastAsia="Arial" w:hAnsi="Arial"/>
                <w:sz w:val="16"/>
                <w:szCs w:val="16"/>
                <w:color w:val="auto"/>
              </w:rPr>
              <w:t>Jorge L. Benitez</w:t>
            </w:r>
          </w:p>
        </w:tc>
        <w:tc>
          <w:tcPr>
            <w:tcW w:w="1040" w:type="dxa"/>
            <w:vAlign w:val="bottom"/>
            <w:gridSpan w:val="2"/>
          </w:tcPr>
          <w:p>
            <w:pPr>
              <w:jc w:val="center"/>
              <w:ind w:left="40"/>
              <w:spacing w:after="0"/>
              <w:rPr>
                <w:sz w:val="20"/>
                <w:szCs w:val="20"/>
                <w:color w:val="auto"/>
              </w:rPr>
            </w:pPr>
            <w:r>
              <w:rPr>
                <w:rFonts w:ascii="Arial" w:cs="Arial" w:eastAsia="Arial" w:hAnsi="Arial"/>
                <w:sz w:val="16"/>
                <w:szCs w:val="16"/>
                <w:color w:val="auto"/>
                <w:w w:val="89"/>
              </w:rPr>
              <w:t>105,000</w:t>
            </w:r>
          </w:p>
        </w:tc>
        <w:tc>
          <w:tcPr>
            <w:tcW w:w="1140" w:type="dxa"/>
            <w:vAlign w:val="bottom"/>
            <w:gridSpan w:val="2"/>
          </w:tcPr>
          <w:p>
            <w:pPr>
              <w:jc w:val="center"/>
              <w:ind w:left="60"/>
              <w:spacing w:after="0"/>
              <w:rPr>
                <w:sz w:val="20"/>
                <w:szCs w:val="20"/>
                <w:color w:val="auto"/>
              </w:rPr>
            </w:pPr>
            <w:r>
              <w:rPr>
                <w:rFonts w:ascii="Arial" w:cs="Arial" w:eastAsia="Arial" w:hAnsi="Arial"/>
                <w:sz w:val="16"/>
                <w:szCs w:val="16"/>
                <w:color w:val="auto"/>
                <w:w w:val="89"/>
              </w:rPr>
              <w:t>154,979</w:t>
            </w:r>
          </w:p>
        </w:tc>
        <w:tc>
          <w:tcPr>
            <w:tcW w:w="1280" w:type="dxa"/>
            <w:vAlign w:val="bottom"/>
            <w:gridSpan w:val="2"/>
          </w:tcPr>
          <w:p>
            <w:pPr>
              <w:jc w:val="center"/>
              <w:ind w:left="40"/>
              <w:spacing w:after="0"/>
              <w:rPr>
                <w:sz w:val="20"/>
                <w:szCs w:val="20"/>
                <w:color w:val="auto"/>
              </w:rPr>
            </w:pPr>
            <w:r>
              <w:rPr>
                <w:rFonts w:ascii="Arial" w:cs="Arial" w:eastAsia="Arial" w:hAnsi="Arial"/>
                <w:sz w:val="16"/>
                <w:szCs w:val="16"/>
                <w:color w:val="auto"/>
                <w:w w:val="89"/>
              </w:rPr>
              <w:t>1,054</w:t>
            </w:r>
          </w:p>
        </w:tc>
        <w:tc>
          <w:tcPr>
            <w:tcW w:w="940" w:type="dxa"/>
            <w:vAlign w:val="bottom"/>
            <w:gridSpan w:val="2"/>
          </w:tcPr>
          <w:p>
            <w:pPr>
              <w:jc w:val="center"/>
              <w:ind w:left="60"/>
              <w:spacing w:after="0"/>
              <w:rPr>
                <w:sz w:val="20"/>
                <w:szCs w:val="20"/>
                <w:color w:val="auto"/>
              </w:rPr>
            </w:pPr>
            <w:r>
              <w:rPr>
                <w:rFonts w:ascii="Arial" w:cs="Arial" w:eastAsia="Arial" w:hAnsi="Arial"/>
                <w:sz w:val="16"/>
                <w:szCs w:val="16"/>
                <w:color w:val="auto"/>
                <w:w w:val="89"/>
              </w:rPr>
              <w:t>261,033</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760" w:type="dxa"/>
            <w:vAlign w:val="bottom"/>
            <w:gridSpan w:val="2"/>
            <w:shd w:val="clear" w:color="auto" w:fill="CCEEFF"/>
          </w:tcPr>
          <w:p>
            <w:pPr>
              <w:spacing w:after="0" w:line="235" w:lineRule="exact"/>
              <w:rPr>
                <w:sz w:val="20"/>
                <w:szCs w:val="20"/>
                <w:color w:val="auto"/>
              </w:rPr>
            </w:pPr>
            <w:r>
              <w:rPr>
                <w:rFonts w:ascii="Arial" w:cs="Arial" w:eastAsia="Arial" w:hAnsi="Arial"/>
                <w:sz w:val="16"/>
                <w:szCs w:val="16"/>
                <w:color w:val="auto"/>
              </w:rPr>
              <w:t xml:space="preserve">Stephen J. Gold </w:t>
            </w:r>
            <w:r>
              <w:rPr>
                <w:rFonts w:ascii="Arial" w:cs="Arial" w:eastAsia="Arial" w:hAnsi="Arial"/>
                <w:sz w:val="26"/>
                <w:szCs w:val="26"/>
                <w:color w:val="auto"/>
                <w:vertAlign w:val="superscript"/>
              </w:rPr>
              <w:t>(4)</w:t>
            </w:r>
          </w:p>
        </w:tc>
        <w:tc>
          <w:tcPr>
            <w:tcW w:w="1040" w:type="dxa"/>
            <w:vAlign w:val="bottom"/>
            <w:gridSpan w:val="2"/>
            <w:shd w:val="clear" w:color="auto" w:fill="CCEEFF"/>
          </w:tcPr>
          <w:p>
            <w:pPr>
              <w:jc w:val="center"/>
              <w:ind w:left="40"/>
              <w:spacing w:after="0"/>
              <w:rPr>
                <w:sz w:val="20"/>
                <w:szCs w:val="20"/>
                <w:color w:val="auto"/>
              </w:rPr>
            </w:pPr>
            <w:r>
              <w:rPr>
                <w:rFonts w:ascii="Arial" w:cs="Arial" w:eastAsia="Arial" w:hAnsi="Arial"/>
                <w:sz w:val="16"/>
                <w:szCs w:val="16"/>
                <w:color w:val="auto"/>
                <w:w w:val="89"/>
              </w:rPr>
              <w:t>27,771</w:t>
            </w:r>
          </w:p>
        </w:tc>
        <w:tc>
          <w:tcPr>
            <w:tcW w:w="1140" w:type="dxa"/>
            <w:vAlign w:val="bottom"/>
            <w:gridSpan w:val="2"/>
            <w:shd w:val="clear" w:color="auto" w:fill="CCEEFF"/>
          </w:tcPr>
          <w:p>
            <w:pPr>
              <w:jc w:val="center"/>
              <w:ind w:left="60"/>
              <w:spacing w:after="0"/>
              <w:rPr>
                <w:sz w:val="20"/>
                <w:szCs w:val="20"/>
                <w:color w:val="auto"/>
              </w:rPr>
            </w:pPr>
            <w:r>
              <w:rPr>
                <w:rFonts w:ascii="Arial" w:cs="Arial" w:eastAsia="Arial" w:hAnsi="Arial"/>
                <w:sz w:val="16"/>
                <w:szCs w:val="16"/>
                <w:color w:val="auto"/>
                <w:w w:val="89"/>
              </w:rPr>
              <w:t>97,833</w:t>
            </w:r>
          </w:p>
        </w:tc>
        <w:tc>
          <w:tcPr>
            <w:tcW w:w="1280" w:type="dxa"/>
            <w:vAlign w:val="bottom"/>
            <w:gridSpan w:val="2"/>
            <w:shd w:val="clear" w:color="auto" w:fill="CCEEFF"/>
          </w:tcPr>
          <w:p>
            <w:pPr>
              <w:jc w:val="center"/>
              <w:ind w:left="6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center"/>
              <w:ind w:left="60"/>
              <w:spacing w:after="0"/>
              <w:rPr>
                <w:sz w:val="20"/>
                <w:szCs w:val="20"/>
                <w:color w:val="auto"/>
              </w:rPr>
            </w:pPr>
            <w:r>
              <w:rPr>
                <w:rFonts w:ascii="Arial" w:cs="Arial" w:eastAsia="Arial" w:hAnsi="Arial"/>
                <w:sz w:val="16"/>
                <w:szCs w:val="16"/>
                <w:color w:val="auto"/>
                <w:w w:val="89"/>
              </w:rPr>
              <w:t>125,603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760" w:type="dxa"/>
            <w:vAlign w:val="bottom"/>
            <w:gridSpan w:val="2"/>
          </w:tcPr>
          <w:p>
            <w:pPr>
              <w:spacing w:after="0"/>
              <w:rPr>
                <w:sz w:val="20"/>
                <w:szCs w:val="20"/>
                <w:color w:val="auto"/>
              </w:rPr>
            </w:pPr>
            <w:r>
              <w:rPr>
                <w:rFonts w:ascii="Arial" w:cs="Arial" w:eastAsia="Arial" w:hAnsi="Arial"/>
                <w:sz w:val="16"/>
                <w:szCs w:val="16"/>
                <w:color w:val="auto"/>
              </w:rPr>
              <w:t>Richard A. Kassar</w:t>
            </w:r>
          </w:p>
        </w:tc>
        <w:tc>
          <w:tcPr>
            <w:tcW w:w="1040" w:type="dxa"/>
            <w:vAlign w:val="bottom"/>
            <w:gridSpan w:val="2"/>
          </w:tcPr>
          <w:p>
            <w:pPr>
              <w:jc w:val="center"/>
              <w:ind w:left="40"/>
              <w:spacing w:after="0"/>
              <w:rPr>
                <w:sz w:val="20"/>
                <w:szCs w:val="20"/>
                <w:color w:val="auto"/>
              </w:rPr>
            </w:pPr>
            <w:r>
              <w:rPr>
                <w:rFonts w:ascii="Arial" w:cs="Arial" w:eastAsia="Arial" w:hAnsi="Arial"/>
                <w:sz w:val="16"/>
                <w:szCs w:val="16"/>
                <w:color w:val="auto"/>
                <w:w w:val="89"/>
              </w:rPr>
              <w:t>107,000</w:t>
            </w:r>
          </w:p>
        </w:tc>
        <w:tc>
          <w:tcPr>
            <w:tcW w:w="1140" w:type="dxa"/>
            <w:vAlign w:val="bottom"/>
            <w:gridSpan w:val="2"/>
          </w:tcPr>
          <w:p>
            <w:pPr>
              <w:jc w:val="center"/>
              <w:ind w:left="60"/>
              <w:spacing w:after="0"/>
              <w:rPr>
                <w:sz w:val="20"/>
                <w:szCs w:val="20"/>
                <w:color w:val="auto"/>
              </w:rPr>
            </w:pPr>
            <w:r>
              <w:rPr>
                <w:rFonts w:ascii="Arial" w:cs="Arial" w:eastAsia="Arial" w:hAnsi="Arial"/>
                <w:sz w:val="16"/>
                <w:szCs w:val="16"/>
                <w:color w:val="auto"/>
                <w:w w:val="89"/>
              </w:rPr>
              <w:t>154,979</w:t>
            </w:r>
          </w:p>
        </w:tc>
        <w:tc>
          <w:tcPr>
            <w:tcW w:w="1280" w:type="dxa"/>
            <w:vAlign w:val="bottom"/>
            <w:gridSpan w:val="2"/>
          </w:tcPr>
          <w:p>
            <w:pPr>
              <w:jc w:val="center"/>
              <w:ind w:left="40"/>
              <w:spacing w:after="0"/>
              <w:rPr>
                <w:sz w:val="20"/>
                <w:szCs w:val="20"/>
                <w:color w:val="auto"/>
              </w:rPr>
            </w:pPr>
            <w:r>
              <w:rPr>
                <w:rFonts w:ascii="Arial" w:cs="Arial" w:eastAsia="Arial" w:hAnsi="Arial"/>
                <w:sz w:val="16"/>
                <w:szCs w:val="16"/>
                <w:color w:val="auto"/>
                <w:w w:val="89"/>
              </w:rPr>
              <w:t>1,468</w:t>
            </w:r>
          </w:p>
        </w:tc>
        <w:tc>
          <w:tcPr>
            <w:tcW w:w="940" w:type="dxa"/>
            <w:vAlign w:val="bottom"/>
            <w:gridSpan w:val="2"/>
          </w:tcPr>
          <w:p>
            <w:pPr>
              <w:jc w:val="center"/>
              <w:ind w:left="60"/>
              <w:spacing w:after="0"/>
              <w:rPr>
                <w:sz w:val="20"/>
                <w:szCs w:val="20"/>
                <w:color w:val="auto"/>
              </w:rPr>
            </w:pPr>
            <w:r>
              <w:rPr>
                <w:rFonts w:ascii="Arial" w:cs="Arial" w:eastAsia="Arial" w:hAnsi="Arial"/>
                <w:sz w:val="16"/>
                <w:szCs w:val="16"/>
                <w:color w:val="auto"/>
                <w:w w:val="89"/>
              </w:rPr>
              <w:t>263,447</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760" w:type="dxa"/>
            <w:vAlign w:val="bottom"/>
            <w:gridSpan w:val="2"/>
            <w:shd w:val="clear" w:color="auto" w:fill="CCEEFF"/>
          </w:tcPr>
          <w:p>
            <w:pPr>
              <w:spacing w:after="0" w:line="235" w:lineRule="exact"/>
              <w:rPr>
                <w:sz w:val="20"/>
                <w:szCs w:val="20"/>
                <w:color w:val="auto"/>
              </w:rPr>
            </w:pPr>
            <w:r>
              <w:rPr>
                <w:rFonts w:ascii="Arial" w:cs="Arial" w:eastAsia="Arial" w:hAnsi="Arial"/>
                <w:sz w:val="16"/>
                <w:szCs w:val="16"/>
                <w:color w:val="auto"/>
              </w:rPr>
              <w:t xml:space="preserve">Myles Klein </w:t>
            </w:r>
            <w:r>
              <w:rPr>
                <w:rFonts w:ascii="Arial" w:cs="Arial" w:eastAsia="Arial" w:hAnsi="Arial"/>
                <w:sz w:val="26"/>
                <w:szCs w:val="26"/>
                <w:color w:val="auto"/>
                <w:vertAlign w:val="superscript"/>
              </w:rPr>
              <w:t>(5)</w:t>
            </w:r>
          </w:p>
        </w:tc>
        <w:tc>
          <w:tcPr>
            <w:tcW w:w="1040" w:type="dxa"/>
            <w:vAlign w:val="bottom"/>
            <w:gridSpan w:val="2"/>
            <w:shd w:val="clear" w:color="auto" w:fill="CCEEFF"/>
          </w:tcPr>
          <w:p>
            <w:pPr>
              <w:jc w:val="center"/>
              <w:ind w:left="40"/>
              <w:spacing w:after="0"/>
              <w:rPr>
                <w:sz w:val="20"/>
                <w:szCs w:val="20"/>
                <w:color w:val="auto"/>
              </w:rPr>
            </w:pPr>
            <w:r>
              <w:rPr>
                <w:rFonts w:ascii="Arial" w:cs="Arial" w:eastAsia="Arial" w:hAnsi="Arial"/>
                <w:sz w:val="16"/>
                <w:szCs w:val="16"/>
                <w:color w:val="auto"/>
                <w:w w:val="89"/>
              </w:rPr>
              <w:t>36,250</w:t>
            </w:r>
          </w:p>
        </w:tc>
        <w:tc>
          <w:tcPr>
            <w:tcW w:w="1140" w:type="dxa"/>
            <w:vAlign w:val="bottom"/>
            <w:gridSpan w:val="2"/>
            <w:shd w:val="clear" w:color="auto" w:fill="CCEEFF"/>
          </w:tcPr>
          <w:p>
            <w:pPr>
              <w:jc w:val="center"/>
              <w:ind w:left="60"/>
              <w:spacing w:after="0"/>
              <w:rPr>
                <w:sz w:val="20"/>
                <w:szCs w:val="20"/>
                <w:color w:val="auto"/>
              </w:rPr>
            </w:pPr>
            <w:r>
              <w:rPr>
                <w:rFonts w:ascii="Arial" w:cs="Arial" w:eastAsia="Arial" w:hAnsi="Arial"/>
                <w:sz w:val="16"/>
                <w:szCs w:val="16"/>
                <w:color w:val="auto"/>
                <w:w w:val="74"/>
              </w:rPr>
              <w:t>-</w:t>
            </w:r>
          </w:p>
        </w:tc>
        <w:tc>
          <w:tcPr>
            <w:tcW w:w="1280" w:type="dxa"/>
            <w:vAlign w:val="bottom"/>
            <w:gridSpan w:val="2"/>
            <w:shd w:val="clear" w:color="auto" w:fill="CCEEFF"/>
          </w:tcPr>
          <w:p>
            <w:pPr>
              <w:jc w:val="center"/>
              <w:ind w:left="40"/>
              <w:spacing w:after="0"/>
              <w:rPr>
                <w:sz w:val="20"/>
                <w:szCs w:val="20"/>
                <w:color w:val="auto"/>
              </w:rPr>
            </w:pPr>
            <w:r>
              <w:rPr>
                <w:rFonts w:ascii="Arial" w:cs="Arial" w:eastAsia="Arial" w:hAnsi="Arial"/>
                <w:sz w:val="16"/>
                <w:szCs w:val="16"/>
                <w:color w:val="auto"/>
                <w:w w:val="89"/>
              </w:rPr>
              <w:t>1,468</w:t>
            </w:r>
          </w:p>
        </w:tc>
        <w:tc>
          <w:tcPr>
            <w:tcW w:w="940" w:type="dxa"/>
            <w:vAlign w:val="bottom"/>
            <w:gridSpan w:val="2"/>
            <w:shd w:val="clear" w:color="auto" w:fill="CCEEFF"/>
          </w:tcPr>
          <w:p>
            <w:pPr>
              <w:jc w:val="center"/>
              <w:ind w:left="60"/>
              <w:spacing w:after="0"/>
              <w:rPr>
                <w:sz w:val="20"/>
                <w:szCs w:val="20"/>
                <w:color w:val="auto"/>
              </w:rPr>
            </w:pPr>
            <w:r>
              <w:rPr>
                <w:rFonts w:ascii="Arial" w:cs="Arial" w:eastAsia="Arial" w:hAnsi="Arial"/>
                <w:sz w:val="16"/>
                <w:szCs w:val="16"/>
                <w:color w:val="auto"/>
                <w:w w:val="89"/>
              </w:rPr>
              <w:t>37,718</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760" w:type="dxa"/>
            <w:vAlign w:val="bottom"/>
            <w:gridSpan w:val="2"/>
          </w:tcPr>
          <w:p>
            <w:pPr>
              <w:spacing w:after="0"/>
              <w:rPr>
                <w:sz w:val="20"/>
                <w:szCs w:val="20"/>
                <w:color w:val="auto"/>
              </w:rPr>
            </w:pPr>
            <w:r>
              <w:rPr>
                <w:rFonts w:ascii="Arial" w:cs="Arial" w:eastAsia="Arial" w:hAnsi="Arial"/>
                <w:sz w:val="16"/>
                <w:szCs w:val="16"/>
                <w:color w:val="auto"/>
              </w:rPr>
              <w:t>John L. Manley</w:t>
            </w:r>
          </w:p>
        </w:tc>
        <w:tc>
          <w:tcPr>
            <w:tcW w:w="1040" w:type="dxa"/>
            <w:vAlign w:val="bottom"/>
            <w:gridSpan w:val="2"/>
          </w:tcPr>
          <w:p>
            <w:pPr>
              <w:jc w:val="center"/>
              <w:ind w:left="40"/>
              <w:spacing w:after="0"/>
              <w:rPr>
                <w:sz w:val="20"/>
                <w:szCs w:val="20"/>
                <w:color w:val="auto"/>
              </w:rPr>
            </w:pPr>
            <w:r>
              <w:rPr>
                <w:rFonts w:ascii="Arial" w:cs="Arial" w:eastAsia="Arial" w:hAnsi="Arial"/>
                <w:sz w:val="16"/>
                <w:szCs w:val="16"/>
                <w:color w:val="auto"/>
                <w:w w:val="89"/>
              </w:rPr>
              <w:t>117,000</w:t>
            </w:r>
          </w:p>
        </w:tc>
        <w:tc>
          <w:tcPr>
            <w:tcW w:w="1140" w:type="dxa"/>
            <w:vAlign w:val="bottom"/>
            <w:gridSpan w:val="2"/>
          </w:tcPr>
          <w:p>
            <w:pPr>
              <w:jc w:val="center"/>
              <w:ind w:left="60"/>
              <w:spacing w:after="0"/>
              <w:rPr>
                <w:sz w:val="20"/>
                <w:szCs w:val="20"/>
                <w:color w:val="auto"/>
              </w:rPr>
            </w:pPr>
            <w:r>
              <w:rPr>
                <w:rFonts w:ascii="Arial" w:cs="Arial" w:eastAsia="Arial" w:hAnsi="Arial"/>
                <w:sz w:val="16"/>
                <w:szCs w:val="16"/>
                <w:color w:val="auto"/>
                <w:w w:val="89"/>
              </w:rPr>
              <w:t>154,979</w:t>
            </w:r>
          </w:p>
        </w:tc>
        <w:tc>
          <w:tcPr>
            <w:tcW w:w="1280" w:type="dxa"/>
            <w:vAlign w:val="bottom"/>
            <w:gridSpan w:val="2"/>
          </w:tcPr>
          <w:p>
            <w:pPr>
              <w:jc w:val="center"/>
              <w:ind w:left="40"/>
              <w:spacing w:after="0"/>
              <w:rPr>
                <w:sz w:val="20"/>
                <w:szCs w:val="20"/>
                <w:color w:val="auto"/>
              </w:rPr>
            </w:pPr>
            <w:r>
              <w:rPr>
                <w:rFonts w:ascii="Arial" w:cs="Arial" w:eastAsia="Arial" w:hAnsi="Arial"/>
                <w:sz w:val="16"/>
                <w:szCs w:val="16"/>
                <w:color w:val="auto"/>
                <w:w w:val="89"/>
              </w:rPr>
              <w:t>1,468</w:t>
            </w:r>
          </w:p>
        </w:tc>
        <w:tc>
          <w:tcPr>
            <w:tcW w:w="940" w:type="dxa"/>
            <w:vAlign w:val="bottom"/>
            <w:gridSpan w:val="2"/>
          </w:tcPr>
          <w:p>
            <w:pPr>
              <w:jc w:val="center"/>
              <w:ind w:left="60"/>
              <w:spacing w:after="0"/>
              <w:rPr>
                <w:sz w:val="20"/>
                <w:szCs w:val="20"/>
                <w:color w:val="auto"/>
              </w:rPr>
            </w:pPr>
            <w:r>
              <w:rPr>
                <w:rFonts w:ascii="Arial" w:cs="Arial" w:eastAsia="Arial" w:hAnsi="Arial"/>
                <w:sz w:val="16"/>
                <w:szCs w:val="16"/>
                <w:color w:val="auto"/>
                <w:w w:val="89"/>
              </w:rPr>
              <w:t>273,447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 Thomas Presby</w:t>
            </w:r>
          </w:p>
        </w:tc>
        <w:tc>
          <w:tcPr>
            <w:tcW w:w="1040" w:type="dxa"/>
            <w:vAlign w:val="bottom"/>
            <w:gridSpan w:val="2"/>
            <w:shd w:val="clear" w:color="auto" w:fill="CCEEFF"/>
          </w:tcPr>
          <w:p>
            <w:pPr>
              <w:jc w:val="center"/>
              <w:ind w:left="40"/>
              <w:spacing w:after="0"/>
              <w:rPr>
                <w:sz w:val="20"/>
                <w:szCs w:val="20"/>
                <w:color w:val="auto"/>
              </w:rPr>
            </w:pPr>
            <w:r>
              <w:rPr>
                <w:rFonts w:ascii="Arial" w:cs="Arial" w:eastAsia="Arial" w:hAnsi="Arial"/>
                <w:sz w:val="16"/>
                <w:szCs w:val="16"/>
                <w:color w:val="auto"/>
                <w:w w:val="89"/>
              </w:rPr>
              <w:t>107,667</w:t>
            </w:r>
          </w:p>
        </w:tc>
        <w:tc>
          <w:tcPr>
            <w:tcW w:w="1140" w:type="dxa"/>
            <w:vAlign w:val="bottom"/>
            <w:gridSpan w:val="2"/>
            <w:shd w:val="clear" w:color="auto" w:fill="CCEEFF"/>
          </w:tcPr>
          <w:p>
            <w:pPr>
              <w:jc w:val="center"/>
              <w:ind w:left="60"/>
              <w:spacing w:after="0"/>
              <w:rPr>
                <w:sz w:val="20"/>
                <w:szCs w:val="20"/>
                <w:color w:val="auto"/>
              </w:rPr>
            </w:pPr>
            <w:r>
              <w:rPr>
                <w:rFonts w:ascii="Arial" w:cs="Arial" w:eastAsia="Arial" w:hAnsi="Arial"/>
                <w:sz w:val="16"/>
                <w:szCs w:val="16"/>
                <w:color w:val="auto"/>
                <w:w w:val="89"/>
              </w:rPr>
              <w:t>154,979</w:t>
            </w:r>
          </w:p>
        </w:tc>
        <w:tc>
          <w:tcPr>
            <w:tcW w:w="1280" w:type="dxa"/>
            <w:vAlign w:val="bottom"/>
            <w:gridSpan w:val="2"/>
            <w:shd w:val="clear" w:color="auto" w:fill="CCEEFF"/>
          </w:tcPr>
          <w:p>
            <w:pPr>
              <w:jc w:val="center"/>
              <w:ind w:left="40"/>
              <w:spacing w:after="0"/>
              <w:rPr>
                <w:sz w:val="20"/>
                <w:szCs w:val="20"/>
                <w:color w:val="auto"/>
              </w:rPr>
            </w:pPr>
            <w:r>
              <w:rPr>
                <w:rFonts w:ascii="Arial" w:cs="Arial" w:eastAsia="Arial" w:hAnsi="Arial"/>
                <w:sz w:val="16"/>
                <w:szCs w:val="16"/>
                <w:color w:val="auto"/>
                <w:w w:val="89"/>
              </w:rPr>
              <w:t>1,468</w:t>
            </w:r>
          </w:p>
        </w:tc>
        <w:tc>
          <w:tcPr>
            <w:tcW w:w="940" w:type="dxa"/>
            <w:vAlign w:val="bottom"/>
            <w:gridSpan w:val="2"/>
            <w:shd w:val="clear" w:color="auto" w:fill="CCEEFF"/>
          </w:tcPr>
          <w:p>
            <w:pPr>
              <w:jc w:val="center"/>
              <w:ind w:left="60"/>
              <w:spacing w:after="0"/>
              <w:rPr>
                <w:sz w:val="20"/>
                <w:szCs w:val="20"/>
                <w:color w:val="auto"/>
              </w:rPr>
            </w:pPr>
            <w:r>
              <w:rPr>
                <w:rFonts w:ascii="Arial" w:cs="Arial" w:eastAsia="Arial" w:hAnsi="Arial"/>
                <w:sz w:val="16"/>
                <w:szCs w:val="16"/>
                <w:color w:val="auto"/>
                <w:w w:val="89"/>
              </w:rPr>
              <w:t>264,114</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760" w:type="dxa"/>
            <w:vAlign w:val="bottom"/>
            <w:gridSpan w:val="2"/>
          </w:tcPr>
          <w:p>
            <w:pPr>
              <w:spacing w:after="0"/>
              <w:rPr>
                <w:sz w:val="20"/>
                <w:szCs w:val="20"/>
                <w:color w:val="auto"/>
              </w:rPr>
            </w:pPr>
            <w:r>
              <w:rPr>
                <w:rFonts w:ascii="Arial" w:cs="Arial" w:eastAsia="Arial" w:hAnsi="Arial"/>
                <w:sz w:val="16"/>
                <w:szCs w:val="16"/>
                <w:color w:val="auto"/>
              </w:rPr>
              <w:t>Stephen K. Roddenberry</w:t>
            </w:r>
          </w:p>
        </w:tc>
        <w:tc>
          <w:tcPr>
            <w:tcW w:w="1040" w:type="dxa"/>
            <w:vAlign w:val="bottom"/>
            <w:gridSpan w:val="2"/>
          </w:tcPr>
          <w:p>
            <w:pPr>
              <w:jc w:val="center"/>
              <w:ind w:left="40"/>
              <w:spacing w:after="0"/>
              <w:rPr>
                <w:sz w:val="20"/>
                <w:szCs w:val="20"/>
                <w:color w:val="auto"/>
              </w:rPr>
            </w:pPr>
            <w:r>
              <w:rPr>
                <w:rFonts w:ascii="Arial" w:cs="Arial" w:eastAsia="Arial" w:hAnsi="Arial"/>
                <w:sz w:val="16"/>
                <w:szCs w:val="16"/>
                <w:color w:val="auto"/>
                <w:w w:val="89"/>
              </w:rPr>
              <w:t>123,333</w:t>
            </w:r>
          </w:p>
        </w:tc>
        <w:tc>
          <w:tcPr>
            <w:tcW w:w="1140" w:type="dxa"/>
            <w:vAlign w:val="bottom"/>
            <w:gridSpan w:val="2"/>
          </w:tcPr>
          <w:p>
            <w:pPr>
              <w:jc w:val="center"/>
              <w:ind w:left="60"/>
              <w:spacing w:after="0"/>
              <w:rPr>
                <w:sz w:val="20"/>
                <w:szCs w:val="20"/>
                <w:color w:val="auto"/>
              </w:rPr>
            </w:pPr>
            <w:r>
              <w:rPr>
                <w:rFonts w:ascii="Arial" w:cs="Arial" w:eastAsia="Arial" w:hAnsi="Arial"/>
                <w:sz w:val="16"/>
                <w:szCs w:val="16"/>
                <w:color w:val="auto"/>
                <w:w w:val="89"/>
              </w:rPr>
              <w:t>154,979</w:t>
            </w:r>
          </w:p>
        </w:tc>
        <w:tc>
          <w:tcPr>
            <w:tcW w:w="1280" w:type="dxa"/>
            <w:vAlign w:val="bottom"/>
            <w:gridSpan w:val="2"/>
          </w:tcPr>
          <w:p>
            <w:pPr>
              <w:jc w:val="center"/>
              <w:ind w:left="40"/>
              <w:spacing w:after="0"/>
              <w:rPr>
                <w:sz w:val="20"/>
                <w:szCs w:val="20"/>
                <w:color w:val="auto"/>
              </w:rPr>
            </w:pPr>
            <w:r>
              <w:rPr>
                <w:rFonts w:ascii="Arial" w:cs="Arial" w:eastAsia="Arial" w:hAnsi="Arial"/>
                <w:sz w:val="16"/>
                <w:szCs w:val="16"/>
                <w:color w:val="auto"/>
                <w:w w:val="89"/>
              </w:rPr>
              <w:t>1,468</w:t>
            </w:r>
          </w:p>
        </w:tc>
        <w:tc>
          <w:tcPr>
            <w:tcW w:w="940" w:type="dxa"/>
            <w:vAlign w:val="bottom"/>
            <w:gridSpan w:val="2"/>
          </w:tcPr>
          <w:p>
            <w:pPr>
              <w:jc w:val="center"/>
              <w:ind w:left="60"/>
              <w:spacing w:after="0"/>
              <w:rPr>
                <w:sz w:val="20"/>
                <w:szCs w:val="20"/>
                <w:color w:val="auto"/>
              </w:rPr>
            </w:pPr>
            <w:r>
              <w:rPr>
                <w:rFonts w:ascii="Arial" w:cs="Arial" w:eastAsia="Arial" w:hAnsi="Arial"/>
                <w:sz w:val="16"/>
                <w:szCs w:val="16"/>
                <w:color w:val="auto"/>
                <w:w w:val="89"/>
              </w:rPr>
              <w:t>279,780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Paul H. Stebbins</w:t>
            </w:r>
          </w:p>
        </w:tc>
        <w:tc>
          <w:tcPr>
            <w:tcW w:w="1040" w:type="dxa"/>
            <w:vAlign w:val="bottom"/>
            <w:gridSpan w:val="2"/>
            <w:shd w:val="clear" w:color="auto" w:fill="CCEEFF"/>
          </w:tcPr>
          <w:p>
            <w:pPr>
              <w:jc w:val="center"/>
              <w:ind w:left="40"/>
              <w:spacing w:after="0"/>
              <w:rPr>
                <w:sz w:val="20"/>
                <w:szCs w:val="20"/>
                <w:color w:val="auto"/>
              </w:rPr>
            </w:pPr>
            <w:r>
              <w:rPr>
                <w:rFonts w:ascii="Arial" w:cs="Arial" w:eastAsia="Arial" w:hAnsi="Arial"/>
                <w:sz w:val="16"/>
                <w:szCs w:val="16"/>
                <w:color w:val="auto"/>
                <w:w w:val="89"/>
              </w:rPr>
              <w:t>75,000</w:t>
            </w:r>
          </w:p>
        </w:tc>
        <w:tc>
          <w:tcPr>
            <w:tcW w:w="1140" w:type="dxa"/>
            <w:vAlign w:val="bottom"/>
            <w:gridSpan w:val="2"/>
            <w:shd w:val="clear" w:color="auto" w:fill="CCEEFF"/>
          </w:tcPr>
          <w:p>
            <w:pPr>
              <w:jc w:val="center"/>
              <w:ind w:left="60"/>
              <w:spacing w:after="0"/>
              <w:rPr>
                <w:sz w:val="20"/>
                <w:szCs w:val="20"/>
                <w:color w:val="auto"/>
              </w:rPr>
            </w:pPr>
            <w:r>
              <w:rPr>
                <w:rFonts w:ascii="Arial" w:cs="Arial" w:eastAsia="Arial" w:hAnsi="Arial"/>
                <w:sz w:val="16"/>
                <w:szCs w:val="16"/>
                <w:color w:val="auto"/>
                <w:w w:val="89"/>
              </w:rPr>
              <w:t>144,985</w:t>
            </w:r>
          </w:p>
        </w:tc>
        <w:tc>
          <w:tcPr>
            <w:tcW w:w="1280" w:type="dxa"/>
            <w:vAlign w:val="bottom"/>
            <w:gridSpan w:val="2"/>
            <w:shd w:val="clear" w:color="auto" w:fill="CCEEFF"/>
          </w:tcPr>
          <w:p>
            <w:pPr>
              <w:jc w:val="center"/>
              <w:ind w:left="40"/>
              <w:spacing w:after="0"/>
              <w:rPr>
                <w:sz w:val="20"/>
                <w:szCs w:val="20"/>
                <w:color w:val="auto"/>
              </w:rPr>
            </w:pPr>
            <w:r>
              <w:rPr>
                <w:rFonts w:ascii="Arial" w:cs="Arial" w:eastAsia="Arial" w:hAnsi="Arial"/>
                <w:sz w:val="16"/>
                <w:szCs w:val="16"/>
                <w:color w:val="auto"/>
                <w:w w:val="89"/>
              </w:rPr>
              <w:t>982</w:t>
            </w:r>
          </w:p>
        </w:tc>
        <w:tc>
          <w:tcPr>
            <w:tcW w:w="940" w:type="dxa"/>
            <w:vAlign w:val="bottom"/>
            <w:gridSpan w:val="2"/>
            <w:shd w:val="clear" w:color="auto" w:fill="CCEEFF"/>
          </w:tcPr>
          <w:p>
            <w:pPr>
              <w:jc w:val="center"/>
              <w:ind w:left="60"/>
              <w:spacing w:after="0"/>
              <w:rPr>
                <w:sz w:val="20"/>
                <w:szCs w:val="20"/>
                <w:color w:val="auto"/>
              </w:rPr>
            </w:pPr>
            <w:r>
              <w:rPr>
                <w:rFonts w:ascii="Arial" w:cs="Arial" w:eastAsia="Arial" w:hAnsi="Arial"/>
                <w:sz w:val="16"/>
                <w:szCs w:val="16"/>
                <w:color w:val="auto"/>
                <w:w w:val="89"/>
              </w:rPr>
              <w:t>220,967</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2680" w:type="dxa"/>
            <w:vAlign w:val="bottom"/>
            <w:tcBorders>
              <w:bottom w:val="single" w:sz="8" w:color="auto"/>
            </w:tcBorders>
          </w:tcPr>
          <w:p>
            <w:pPr>
              <w:spacing w:after="0"/>
              <w:rPr>
                <w:sz w:val="8"/>
                <w:szCs w:val="8"/>
                <w:color w:val="auto"/>
              </w:rPr>
            </w:pPr>
          </w:p>
        </w:tc>
        <w:tc>
          <w:tcPr>
            <w:tcW w:w="2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1640" w:right="40" w:hanging="498"/>
        <w:spacing w:after="0" w:line="259" w:lineRule="auto"/>
        <w:tabs>
          <w:tab w:leader="none" w:pos="16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amounts shown in this column represent the estimated aggregate grant date fair value of the RSU awards granted to the non-management independent directors in 2017. The estimated aggregate grant date fair value of these awards is based on the grant date fair market value of our common stock, as defined in the 2016 Omnibus Plan and is computed in accordance with FASB ASC Topic 718. Assumptions used in determining the aggregate grant date fair value of RSU awards are set forth in Note 10 to the notes to the consolidated financial statements in Item 15 of our annual report on Form 10-K for the year ended December 31, 2017.</w:t>
      </w:r>
    </w:p>
    <w:p>
      <w:pPr>
        <w:spacing w:after="0" w:line="1" w:lineRule="exact"/>
        <w:rPr>
          <w:sz w:val="20"/>
          <w:szCs w:val="20"/>
          <w:color w:val="auto"/>
        </w:rPr>
      </w:pPr>
    </w:p>
    <w:p>
      <w:pPr>
        <w:jc w:val="right"/>
        <w:spacing w:after="0"/>
        <w:tabs>
          <w:tab w:leader="none" w:pos="1960" w:val="left"/>
          <w:tab w:leader="none" w:pos="1720" w:val="left"/>
          <w:tab w:leader="none" w:pos="14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3"/>
          <w:szCs w:val="33"/>
          <w:b w:val="1"/>
          <w:bCs w:val="1"/>
          <w:color w:val="auto"/>
          <w:vertAlign w:val="subscript"/>
        </w:rPr>
        <w:t>|</w:t>
      </w:r>
      <w:r>
        <w:rPr>
          <w:sz w:val="20"/>
          <w:szCs w:val="20"/>
          <w:color w:val="auto"/>
        </w:rPr>
        <w:tab/>
      </w:r>
      <w:r>
        <w:rPr>
          <w:rFonts w:ascii="Arial" w:cs="Arial" w:eastAsia="Arial" w:hAnsi="Arial"/>
          <w:sz w:val="16"/>
          <w:szCs w:val="16"/>
          <w:color w:val="auto"/>
        </w:rPr>
        <w:t>2018 Proxy Statement</w:t>
      </w:r>
      <w:r>
        <w:rPr>
          <w:sz w:val="20"/>
          <w:szCs w:val="20"/>
          <w:color w:val="auto"/>
        </w:rPr>
        <w:tab/>
      </w: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133350</wp:posOffset>
            </wp:positionV>
            <wp:extent cx="7263130" cy="203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2" w:name="page33"/>
    <w:bookmarkEnd w:id="32"/>
    <w:p>
      <w:pPr>
        <w:ind w:left="1"/>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ind w:left="1641" w:hanging="498"/>
        <w:spacing w:after="0"/>
        <w:tabs>
          <w:tab w:leader="none" w:pos="1641"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aggregate number of RSUs and stock units held by each non-management director serving as at December 31, 2017 was as follows:</w:t>
      </w:r>
    </w:p>
    <w:p>
      <w:pPr>
        <w:spacing w:after="0" w:line="207" w:lineRule="exact"/>
        <w:rPr>
          <w:sz w:val="20"/>
          <w:szCs w:val="20"/>
          <w:color w:val="auto"/>
        </w:rPr>
      </w:pPr>
    </w:p>
    <w:tbl>
      <w:tblPr>
        <w:tblLayout w:type="fixed"/>
        <w:tblInd w:w="1" w:type="dxa"/>
        <w:tblCellMar>
          <w:top w:w="0" w:type="dxa"/>
          <w:left w:w="0" w:type="dxa"/>
          <w:bottom w:w="0" w:type="dxa"/>
          <w:right w:w="0" w:type="dxa"/>
        </w:tblCellMar>
      </w:tblPr>
      <w:tr>
        <w:trPr>
          <w:trHeight w:val="149"/>
        </w:trPr>
        <w:tc>
          <w:tcPr>
            <w:tcW w:w="1720" w:type="dxa"/>
            <w:vAlign w:val="bottom"/>
          </w:tcPr>
          <w:p>
            <w:pPr>
              <w:spacing w:after="0"/>
              <w:rPr>
                <w:sz w:val="12"/>
                <w:szCs w:val="12"/>
                <w:color w:val="auto"/>
              </w:rPr>
            </w:pPr>
          </w:p>
        </w:tc>
        <w:tc>
          <w:tcPr>
            <w:tcW w:w="704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rPr>
              <w:t>Name</w:t>
            </w:r>
          </w:p>
        </w:tc>
        <w:tc>
          <w:tcPr>
            <w:tcW w:w="140" w:type="dxa"/>
            <w:vAlign w:val="bottom"/>
          </w:tcPr>
          <w:p>
            <w:pPr>
              <w:spacing w:after="0"/>
              <w:rPr>
                <w:sz w:val="12"/>
                <w:szCs w:val="12"/>
                <w:color w:val="auto"/>
              </w:rPr>
            </w:pPr>
          </w:p>
        </w:tc>
        <w:tc>
          <w:tcPr>
            <w:tcW w:w="800" w:type="dxa"/>
            <w:vAlign w:val="bottom"/>
            <w:tcBorders>
              <w:bottom w:val="single" w:sz="8" w:color="auto"/>
            </w:tcBorders>
          </w:tcPr>
          <w:p>
            <w:pPr>
              <w:ind w:left="260"/>
              <w:spacing w:after="0"/>
              <w:rPr>
                <w:sz w:val="20"/>
                <w:szCs w:val="20"/>
                <w:color w:val="auto"/>
              </w:rPr>
            </w:pPr>
            <w:r>
              <w:rPr>
                <w:rFonts w:ascii="Arial" w:cs="Arial" w:eastAsia="Arial" w:hAnsi="Arial"/>
                <w:sz w:val="12"/>
                <w:szCs w:val="12"/>
                <w:b w:val="1"/>
                <w:bCs w:val="1"/>
                <w:color w:val="auto"/>
              </w:rPr>
              <w:t>Units</w:t>
            </w:r>
          </w:p>
        </w:tc>
      </w:tr>
      <w:tr>
        <w:trPr>
          <w:trHeight w:val="227"/>
        </w:trPr>
        <w:tc>
          <w:tcPr>
            <w:tcW w:w="1720" w:type="dxa"/>
            <w:vAlign w:val="bottom"/>
          </w:tcPr>
          <w:p>
            <w:pPr>
              <w:spacing w:after="0"/>
              <w:rPr>
                <w:sz w:val="19"/>
                <w:szCs w:val="19"/>
                <w:color w:val="auto"/>
              </w:rPr>
            </w:pPr>
          </w:p>
        </w:tc>
        <w:tc>
          <w:tcPr>
            <w:tcW w:w="7040" w:type="dxa"/>
            <w:vAlign w:val="bottom"/>
            <w:gridSpan w:val="2"/>
            <w:shd w:val="clear" w:color="auto" w:fill="CCEEFF"/>
          </w:tcPr>
          <w:p>
            <w:pPr>
              <w:spacing w:after="0" w:line="226" w:lineRule="exact"/>
              <w:rPr>
                <w:sz w:val="20"/>
                <w:szCs w:val="20"/>
                <w:color w:val="auto"/>
              </w:rPr>
            </w:pPr>
            <w:r>
              <w:rPr>
                <w:rFonts w:ascii="Arial" w:cs="Arial" w:eastAsia="Arial" w:hAnsi="Arial"/>
                <w:sz w:val="16"/>
                <w:szCs w:val="16"/>
                <w:color w:val="auto"/>
              </w:rPr>
              <w:t>Ken Bakshi</w:t>
            </w:r>
            <w:r>
              <w:rPr>
                <w:rFonts w:ascii="Arial" w:cs="Arial" w:eastAsia="Arial" w:hAnsi="Arial"/>
                <w:sz w:val="26"/>
                <w:szCs w:val="26"/>
                <w:b w:val="1"/>
                <w:bCs w:val="1"/>
                <w:color w:val="auto"/>
                <w:vertAlign w:val="superscript"/>
              </w:rPr>
              <w:t>(a)</w:t>
            </w:r>
          </w:p>
        </w:tc>
        <w:tc>
          <w:tcPr>
            <w:tcW w:w="940" w:type="dxa"/>
            <w:vAlign w:val="bottom"/>
            <w:gridSpan w:val="2"/>
            <w:shd w:val="clear" w:color="auto" w:fill="CCEEFF"/>
          </w:tcPr>
          <w:p>
            <w:pPr>
              <w:jc w:val="center"/>
              <w:ind w:left="60"/>
              <w:spacing w:after="0"/>
              <w:rPr>
                <w:sz w:val="20"/>
                <w:szCs w:val="20"/>
                <w:color w:val="auto"/>
              </w:rPr>
            </w:pPr>
            <w:r>
              <w:rPr>
                <w:rFonts w:ascii="Arial" w:cs="Arial" w:eastAsia="Arial" w:hAnsi="Arial"/>
                <w:sz w:val="16"/>
                <w:szCs w:val="16"/>
                <w:color w:val="auto"/>
                <w:w w:val="89"/>
              </w:rPr>
              <w:t>36,879</w:t>
            </w:r>
          </w:p>
        </w:tc>
      </w:tr>
      <w:tr>
        <w:trPr>
          <w:trHeight w:val="197"/>
        </w:trPr>
        <w:tc>
          <w:tcPr>
            <w:tcW w:w="1720" w:type="dxa"/>
            <w:vAlign w:val="bottom"/>
          </w:tcPr>
          <w:p>
            <w:pPr>
              <w:spacing w:after="0"/>
              <w:rPr>
                <w:sz w:val="17"/>
                <w:szCs w:val="17"/>
                <w:color w:val="auto"/>
              </w:rPr>
            </w:pPr>
          </w:p>
        </w:tc>
        <w:tc>
          <w:tcPr>
            <w:tcW w:w="7040" w:type="dxa"/>
            <w:vAlign w:val="bottom"/>
            <w:gridSpan w:val="2"/>
          </w:tcPr>
          <w:p>
            <w:pPr>
              <w:spacing w:after="0"/>
              <w:rPr>
                <w:sz w:val="20"/>
                <w:szCs w:val="20"/>
                <w:color w:val="auto"/>
              </w:rPr>
            </w:pPr>
            <w:r>
              <w:rPr>
                <w:rFonts w:ascii="Arial" w:cs="Arial" w:eastAsia="Arial" w:hAnsi="Arial"/>
                <w:sz w:val="16"/>
                <w:szCs w:val="16"/>
                <w:color w:val="auto"/>
              </w:rPr>
              <w:t>Jorge L. Benitez</w:t>
            </w:r>
          </w:p>
        </w:tc>
        <w:tc>
          <w:tcPr>
            <w:tcW w:w="940" w:type="dxa"/>
            <w:vAlign w:val="bottom"/>
            <w:gridSpan w:val="2"/>
          </w:tcPr>
          <w:p>
            <w:pPr>
              <w:jc w:val="center"/>
              <w:ind w:left="60"/>
              <w:spacing w:after="0"/>
              <w:rPr>
                <w:sz w:val="20"/>
                <w:szCs w:val="20"/>
                <w:color w:val="auto"/>
              </w:rPr>
            </w:pPr>
            <w:r>
              <w:rPr>
                <w:rFonts w:ascii="Arial" w:cs="Arial" w:eastAsia="Arial" w:hAnsi="Arial"/>
                <w:sz w:val="16"/>
                <w:szCs w:val="16"/>
                <w:color w:val="auto"/>
                <w:w w:val="89"/>
              </w:rPr>
              <w:t>7,356</w:t>
            </w:r>
          </w:p>
        </w:tc>
      </w:tr>
      <w:tr>
        <w:trPr>
          <w:trHeight w:val="197"/>
        </w:trPr>
        <w:tc>
          <w:tcPr>
            <w:tcW w:w="1720" w:type="dxa"/>
            <w:vAlign w:val="bottom"/>
          </w:tcPr>
          <w:p>
            <w:pPr>
              <w:spacing w:after="0"/>
              <w:rPr>
                <w:sz w:val="17"/>
                <w:szCs w:val="17"/>
                <w:color w:val="auto"/>
              </w:rPr>
            </w:pPr>
          </w:p>
        </w:tc>
        <w:tc>
          <w:tcPr>
            <w:tcW w:w="70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Stephen J. Gold</w:t>
            </w:r>
          </w:p>
        </w:tc>
        <w:tc>
          <w:tcPr>
            <w:tcW w:w="940" w:type="dxa"/>
            <w:vAlign w:val="bottom"/>
            <w:gridSpan w:val="2"/>
            <w:shd w:val="clear" w:color="auto" w:fill="CCEEFF"/>
          </w:tcPr>
          <w:p>
            <w:pPr>
              <w:jc w:val="center"/>
              <w:ind w:left="60"/>
              <w:spacing w:after="0"/>
              <w:rPr>
                <w:sz w:val="20"/>
                <w:szCs w:val="20"/>
                <w:color w:val="auto"/>
              </w:rPr>
            </w:pPr>
            <w:r>
              <w:rPr>
                <w:rFonts w:ascii="Arial" w:cs="Arial" w:eastAsia="Arial" w:hAnsi="Arial"/>
                <w:sz w:val="16"/>
                <w:szCs w:val="16"/>
                <w:color w:val="auto"/>
                <w:w w:val="89"/>
              </w:rPr>
              <w:t>2,732</w:t>
            </w:r>
          </w:p>
        </w:tc>
      </w:tr>
      <w:tr>
        <w:trPr>
          <w:trHeight w:val="197"/>
        </w:trPr>
        <w:tc>
          <w:tcPr>
            <w:tcW w:w="1720" w:type="dxa"/>
            <w:vAlign w:val="bottom"/>
          </w:tcPr>
          <w:p>
            <w:pPr>
              <w:spacing w:after="0"/>
              <w:rPr>
                <w:sz w:val="17"/>
                <w:szCs w:val="17"/>
                <w:color w:val="auto"/>
              </w:rPr>
            </w:pPr>
          </w:p>
        </w:tc>
        <w:tc>
          <w:tcPr>
            <w:tcW w:w="7040" w:type="dxa"/>
            <w:vAlign w:val="bottom"/>
            <w:gridSpan w:val="2"/>
          </w:tcPr>
          <w:p>
            <w:pPr>
              <w:spacing w:after="0"/>
              <w:rPr>
                <w:sz w:val="20"/>
                <w:szCs w:val="20"/>
                <w:color w:val="auto"/>
              </w:rPr>
            </w:pPr>
            <w:r>
              <w:rPr>
                <w:rFonts w:ascii="Arial" w:cs="Arial" w:eastAsia="Arial" w:hAnsi="Arial"/>
                <w:sz w:val="16"/>
                <w:szCs w:val="16"/>
                <w:color w:val="auto"/>
              </w:rPr>
              <w:t>Richard A. Kassar</w:t>
            </w:r>
          </w:p>
        </w:tc>
        <w:tc>
          <w:tcPr>
            <w:tcW w:w="940" w:type="dxa"/>
            <w:vAlign w:val="bottom"/>
            <w:gridSpan w:val="2"/>
          </w:tcPr>
          <w:p>
            <w:pPr>
              <w:jc w:val="center"/>
              <w:ind w:left="60"/>
              <w:spacing w:after="0"/>
              <w:rPr>
                <w:sz w:val="20"/>
                <w:szCs w:val="20"/>
                <w:color w:val="auto"/>
              </w:rPr>
            </w:pPr>
            <w:r>
              <w:rPr>
                <w:rFonts w:ascii="Arial" w:cs="Arial" w:eastAsia="Arial" w:hAnsi="Arial"/>
                <w:sz w:val="16"/>
                <w:szCs w:val="16"/>
                <w:color w:val="auto"/>
                <w:w w:val="89"/>
              </w:rPr>
              <w:t>24,035</w:t>
            </w:r>
          </w:p>
        </w:tc>
      </w:tr>
      <w:tr>
        <w:trPr>
          <w:trHeight w:val="197"/>
        </w:trPr>
        <w:tc>
          <w:tcPr>
            <w:tcW w:w="1720" w:type="dxa"/>
            <w:vAlign w:val="bottom"/>
          </w:tcPr>
          <w:p>
            <w:pPr>
              <w:spacing w:after="0"/>
              <w:rPr>
                <w:sz w:val="17"/>
                <w:szCs w:val="17"/>
                <w:color w:val="auto"/>
              </w:rPr>
            </w:pPr>
          </w:p>
        </w:tc>
        <w:tc>
          <w:tcPr>
            <w:tcW w:w="70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John L. Manley</w:t>
            </w:r>
          </w:p>
        </w:tc>
        <w:tc>
          <w:tcPr>
            <w:tcW w:w="940" w:type="dxa"/>
            <w:vAlign w:val="bottom"/>
            <w:gridSpan w:val="2"/>
            <w:shd w:val="clear" w:color="auto" w:fill="CCEEFF"/>
          </w:tcPr>
          <w:p>
            <w:pPr>
              <w:jc w:val="center"/>
              <w:ind w:left="60"/>
              <w:spacing w:after="0"/>
              <w:rPr>
                <w:sz w:val="20"/>
                <w:szCs w:val="20"/>
                <w:color w:val="auto"/>
              </w:rPr>
            </w:pPr>
            <w:r>
              <w:rPr>
                <w:rFonts w:ascii="Arial" w:cs="Arial" w:eastAsia="Arial" w:hAnsi="Arial"/>
                <w:sz w:val="16"/>
                <w:szCs w:val="16"/>
                <w:color w:val="auto"/>
                <w:w w:val="89"/>
              </w:rPr>
              <w:t>9,105</w:t>
            </w:r>
          </w:p>
        </w:tc>
      </w:tr>
      <w:tr>
        <w:trPr>
          <w:trHeight w:val="234"/>
        </w:trPr>
        <w:tc>
          <w:tcPr>
            <w:tcW w:w="1720" w:type="dxa"/>
            <w:vAlign w:val="bottom"/>
          </w:tcPr>
          <w:p>
            <w:pPr>
              <w:spacing w:after="0"/>
              <w:rPr>
                <w:sz w:val="20"/>
                <w:szCs w:val="20"/>
                <w:color w:val="auto"/>
              </w:rPr>
            </w:pPr>
          </w:p>
        </w:tc>
        <w:tc>
          <w:tcPr>
            <w:tcW w:w="7040" w:type="dxa"/>
            <w:vAlign w:val="bottom"/>
            <w:gridSpan w:val="2"/>
          </w:tcPr>
          <w:p>
            <w:pPr>
              <w:spacing w:after="0" w:line="235" w:lineRule="exact"/>
              <w:rPr>
                <w:sz w:val="20"/>
                <w:szCs w:val="20"/>
                <w:color w:val="auto"/>
              </w:rPr>
            </w:pPr>
            <w:r>
              <w:rPr>
                <w:rFonts w:ascii="Arial" w:cs="Arial" w:eastAsia="Arial" w:hAnsi="Arial"/>
                <w:sz w:val="16"/>
                <w:szCs w:val="16"/>
                <w:color w:val="auto"/>
              </w:rPr>
              <w:t>J. Thomas Presby</w:t>
            </w:r>
            <w:r>
              <w:rPr>
                <w:rFonts w:ascii="Arial" w:cs="Arial" w:eastAsia="Arial" w:hAnsi="Arial"/>
                <w:sz w:val="26"/>
                <w:szCs w:val="26"/>
                <w:b w:val="1"/>
                <w:bCs w:val="1"/>
                <w:color w:val="auto"/>
                <w:vertAlign w:val="superscript"/>
              </w:rPr>
              <w:t>(a)</w:t>
            </w:r>
          </w:p>
        </w:tc>
        <w:tc>
          <w:tcPr>
            <w:tcW w:w="940" w:type="dxa"/>
            <w:vAlign w:val="bottom"/>
            <w:gridSpan w:val="2"/>
          </w:tcPr>
          <w:p>
            <w:pPr>
              <w:jc w:val="center"/>
              <w:ind w:left="60"/>
              <w:spacing w:after="0"/>
              <w:rPr>
                <w:sz w:val="20"/>
                <w:szCs w:val="20"/>
                <w:color w:val="auto"/>
              </w:rPr>
            </w:pPr>
            <w:r>
              <w:rPr>
                <w:rFonts w:ascii="Arial" w:cs="Arial" w:eastAsia="Arial" w:hAnsi="Arial"/>
                <w:sz w:val="16"/>
                <w:szCs w:val="16"/>
                <w:color w:val="auto"/>
                <w:w w:val="89"/>
              </w:rPr>
              <w:t>28,283</w:t>
            </w:r>
          </w:p>
        </w:tc>
      </w:tr>
      <w:tr>
        <w:trPr>
          <w:trHeight w:val="197"/>
        </w:trPr>
        <w:tc>
          <w:tcPr>
            <w:tcW w:w="1720" w:type="dxa"/>
            <w:vAlign w:val="bottom"/>
          </w:tcPr>
          <w:p>
            <w:pPr>
              <w:spacing w:after="0"/>
              <w:rPr>
                <w:sz w:val="17"/>
                <w:szCs w:val="17"/>
                <w:color w:val="auto"/>
              </w:rPr>
            </w:pPr>
          </w:p>
        </w:tc>
        <w:tc>
          <w:tcPr>
            <w:tcW w:w="70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Stephen K. Roddenberry</w:t>
            </w:r>
          </w:p>
        </w:tc>
        <w:tc>
          <w:tcPr>
            <w:tcW w:w="940" w:type="dxa"/>
            <w:vAlign w:val="bottom"/>
            <w:gridSpan w:val="2"/>
            <w:shd w:val="clear" w:color="auto" w:fill="CCEEFF"/>
          </w:tcPr>
          <w:p>
            <w:pPr>
              <w:jc w:val="center"/>
              <w:ind w:left="60"/>
              <w:spacing w:after="0"/>
              <w:rPr>
                <w:sz w:val="20"/>
                <w:szCs w:val="20"/>
                <w:color w:val="auto"/>
              </w:rPr>
            </w:pPr>
            <w:r>
              <w:rPr>
                <w:rFonts w:ascii="Arial" w:cs="Arial" w:eastAsia="Arial" w:hAnsi="Arial"/>
                <w:sz w:val="16"/>
                <w:szCs w:val="16"/>
                <w:color w:val="auto"/>
                <w:w w:val="89"/>
              </w:rPr>
              <w:t>24,035</w:t>
            </w:r>
          </w:p>
        </w:tc>
      </w:tr>
      <w:tr>
        <w:trPr>
          <w:trHeight w:val="205"/>
        </w:trPr>
        <w:tc>
          <w:tcPr>
            <w:tcW w:w="1720" w:type="dxa"/>
            <w:vAlign w:val="bottom"/>
          </w:tcPr>
          <w:p>
            <w:pPr>
              <w:spacing w:after="0"/>
              <w:rPr>
                <w:sz w:val="17"/>
                <w:szCs w:val="17"/>
                <w:color w:val="auto"/>
              </w:rPr>
            </w:pPr>
          </w:p>
        </w:tc>
        <w:tc>
          <w:tcPr>
            <w:tcW w:w="7040" w:type="dxa"/>
            <w:vAlign w:val="bottom"/>
            <w:gridSpan w:val="2"/>
          </w:tcPr>
          <w:p>
            <w:pPr>
              <w:spacing w:after="0"/>
              <w:rPr>
                <w:sz w:val="20"/>
                <w:szCs w:val="20"/>
                <w:color w:val="auto"/>
              </w:rPr>
            </w:pPr>
            <w:r>
              <w:rPr>
                <w:rFonts w:ascii="Arial" w:cs="Arial" w:eastAsia="Arial" w:hAnsi="Arial"/>
                <w:sz w:val="16"/>
                <w:szCs w:val="16"/>
                <w:color w:val="auto"/>
              </w:rPr>
              <w:t>Paul H. Stebbins</w:t>
            </w:r>
          </w:p>
        </w:tc>
        <w:tc>
          <w:tcPr>
            <w:tcW w:w="940" w:type="dxa"/>
            <w:vAlign w:val="bottom"/>
            <w:gridSpan w:val="2"/>
          </w:tcPr>
          <w:p>
            <w:pPr>
              <w:jc w:val="center"/>
              <w:ind w:left="60"/>
              <w:spacing w:after="0"/>
              <w:rPr>
                <w:sz w:val="20"/>
                <w:szCs w:val="20"/>
                <w:color w:val="auto"/>
              </w:rPr>
            </w:pPr>
            <w:r>
              <w:rPr>
                <w:rFonts w:ascii="Arial" w:cs="Arial" w:eastAsia="Arial" w:hAnsi="Arial"/>
                <w:sz w:val="16"/>
                <w:szCs w:val="16"/>
                <w:color w:val="auto"/>
                <w:w w:val="89"/>
              </w:rPr>
              <w:t>6,872</w:t>
            </w:r>
          </w:p>
        </w:tc>
      </w:tr>
      <w:tr>
        <w:trPr>
          <w:trHeight w:val="91"/>
        </w:trPr>
        <w:tc>
          <w:tcPr>
            <w:tcW w:w="172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5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Pr>
          <w:p>
            <w:pPr>
              <w:spacing w:after="0"/>
              <w:rPr>
                <w:sz w:val="7"/>
                <w:szCs w:val="7"/>
                <w:color w:val="auto"/>
              </w:rPr>
            </w:pPr>
          </w:p>
        </w:tc>
      </w:tr>
    </w:tbl>
    <w:p>
      <w:pPr>
        <w:spacing w:after="0" w:line="213" w:lineRule="exact"/>
        <w:rPr>
          <w:sz w:val="20"/>
          <w:szCs w:val="20"/>
          <w:color w:val="auto"/>
        </w:rPr>
      </w:pPr>
    </w:p>
    <w:p>
      <w:pPr>
        <w:ind w:left="501" w:right="40" w:hanging="501"/>
        <w:spacing w:after="0" w:line="284" w:lineRule="auto"/>
        <w:tabs>
          <w:tab w:leader="none" w:pos="501"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Includes 12,844 and 4,248 stock units for Messrs. Bakshi and Presby, respectively, which represent stock awards made to these directors prior to 2010 that they elected to defer pursuant to our Non-Employee Director Stock Deferral Plan.</w:t>
      </w:r>
    </w:p>
    <w:p>
      <w:pPr>
        <w:spacing w:after="0" w:line="169" w:lineRule="exact"/>
        <w:rPr>
          <w:sz w:val="20"/>
          <w:szCs w:val="20"/>
          <w:color w:val="auto"/>
        </w:rPr>
      </w:pPr>
    </w:p>
    <w:p>
      <w:pPr>
        <w:ind w:left="501" w:hanging="501"/>
        <w:spacing w:after="0"/>
        <w:tabs>
          <w:tab w:leader="none" w:pos="501"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amounts shown in the column represent dividends paid to directors with respect to outstanding RSUs.</w:t>
      </w:r>
    </w:p>
    <w:p>
      <w:pPr>
        <w:spacing w:after="0" w:line="222" w:lineRule="exact"/>
        <w:rPr>
          <w:rFonts w:ascii="Arial" w:cs="Arial" w:eastAsia="Arial" w:hAnsi="Arial"/>
          <w:sz w:val="16"/>
          <w:szCs w:val="16"/>
          <w:color w:val="auto"/>
        </w:rPr>
      </w:pPr>
    </w:p>
    <w:p>
      <w:pPr>
        <w:ind w:left="501" w:hanging="501"/>
        <w:spacing w:after="0"/>
        <w:tabs>
          <w:tab w:leader="none" w:pos="501" w:val="left"/>
        </w:tabs>
        <w:numPr>
          <w:ilvl w:val="0"/>
          <w:numId w:val="40"/>
        </w:numPr>
        <w:rPr>
          <w:rFonts w:ascii="Arial" w:cs="Arial" w:eastAsia="Arial" w:hAnsi="Arial"/>
          <w:sz w:val="16"/>
          <w:szCs w:val="16"/>
          <w:color w:val="auto"/>
        </w:rPr>
      </w:pPr>
      <w:r>
        <w:rPr>
          <w:rFonts w:ascii="Arial" w:cs="Arial" w:eastAsia="Arial" w:hAnsi="Arial"/>
          <w:sz w:val="16"/>
          <w:szCs w:val="16"/>
          <w:color w:val="auto"/>
        </w:rPr>
        <w:t>Mr. Gold joined our Board in October 2017.</w:t>
      </w:r>
    </w:p>
    <w:p>
      <w:pPr>
        <w:spacing w:after="0" w:line="235" w:lineRule="exact"/>
        <w:rPr>
          <w:rFonts w:ascii="Arial" w:cs="Arial" w:eastAsia="Arial" w:hAnsi="Arial"/>
          <w:sz w:val="16"/>
          <w:szCs w:val="16"/>
          <w:color w:val="auto"/>
        </w:rPr>
      </w:pPr>
    </w:p>
    <w:p>
      <w:pPr>
        <w:ind w:left="501" w:hanging="501"/>
        <w:spacing w:after="0"/>
        <w:tabs>
          <w:tab w:leader="none" w:pos="501" w:val="left"/>
        </w:tabs>
        <w:numPr>
          <w:ilvl w:val="0"/>
          <w:numId w:val="40"/>
        </w:numPr>
        <w:rPr>
          <w:rFonts w:ascii="Arial" w:cs="Arial" w:eastAsia="Arial" w:hAnsi="Arial"/>
          <w:sz w:val="16"/>
          <w:szCs w:val="16"/>
          <w:color w:val="auto"/>
        </w:rPr>
      </w:pPr>
      <w:r>
        <w:rPr>
          <w:rFonts w:ascii="Arial" w:cs="Arial" w:eastAsia="Arial" w:hAnsi="Arial"/>
          <w:sz w:val="16"/>
          <w:szCs w:val="16"/>
          <w:color w:val="auto"/>
        </w:rPr>
        <w:t>Mr. Klein did not stand for re-election to our Board at the 2017 Annual Meeting.</w:t>
      </w:r>
    </w:p>
    <w:p>
      <w:pPr>
        <w:spacing w:after="0" w:line="211" w:lineRule="exact"/>
        <w:rPr>
          <w:sz w:val="20"/>
          <w:szCs w:val="20"/>
          <w:color w:val="auto"/>
        </w:rPr>
      </w:pPr>
    </w:p>
    <w:p>
      <w:pPr>
        <w:ind w:left="1"/>
        <w:spacing w:after="0"/>
        <w:rPr>
          <w:sz w:val="20"/>
          <w:szCs w:val="20"/>
          <w:color w:val="auto"/>
        </w:rPr>
      </w:pPr>
      <w:r>
        <w:rPr>
          <w:rFonts w:ascii="Arial" w:cs="Arial" w:eastAsia="Arial" w:hAnsi="Arial"/>
          <w:sz w:val="16"/>
          <w:szCs w:val="16"/>
          <w:b w:val="1"/>
          <w:bCs w:val="1"/>
          <w:i w:val="1"/>
          <w:iCs w:val="1"/>
          <w:color w:val="auto"/>
        </w:rPr>
        <w:t>Director Stock Ownership Guidelines</w:t>
      </w:r>
    </w:p>
    <w:p>
      <w:pPr>
        <w:spacing w:after="0" w:line="211" w:lineRule="exact"/>
        <w:rPr>
          <w:sz w:val="20"/>
          <w:szCs w:val="20"/>
          <w:color w:val="auto"/>
        </w:rPr>
      </w:pPr>
    </w:p>
    <w:p>
      <w:pPr>
        <w:ind w:left="1" w:right="60" w:firstLine="561"/>
        <w:spacing w:after="0" w:line="299" w:lineRule="auto"/>
        <w:rPr>
          <w:sz w:val="20"/>
          <w:szCs w:val="20"/>
          <w:color w:val="auto"/>
        </w:rPr>
      </w:pPr>
      <w:r>
        <w:rPr>
          <w:rFonts w:ascii="Arial" w:cs="Arial" w:eastAsia="Arial" w:hAnsi="Arial"/>
          <w:sz w:val="14"/>
          <w:szCs w:val="14"/>
          <w:color w:val="auto"/>
        </w:rPr>
        <w:t>Each non-management director is required to accumulate, over a period of five years following election to the Board, a minimum of five times the annual fee for service on the Board, or $375,000, in our common stock. All of our non-management directors, with the exception of Mr. Benitez, who joined the Board on January 1, 2015 and</w:t>
      </w:r>
    </w:p>
    <w:p>
      <w:pPr>
        <w:spacing w:after="0" w:line="1" w:lineRule="exact"/>
        <w:rPr>
          <w:sz w:val="20"/>
          <w:szCs w:val="20"/>
          <w:color w:val="auto"/>
        </w:rPr>
      </w:pPr>
    </w:p>
    <w:p>
      <w:pPr>
        <w:ind w:left="1" w:right="360"/>
        <w:spacing w:after="0" w:line="274" w:lineRule="auto"/>
        <w:rPr>
          <w:sz w:val="20"/>
          <w:szCs w:val="20"/>
          <w:color w:val="auto"/>
        </w:rPr>
      </w:pPr>
      <w:r>
        <w:rPr>
          <w:rFonts w:ascii="Arial" w:cs="Arial" w:eastAsia="Arial" w:hAnsi="Arial"/>
          <w:sz w:val="16"/>
          <w:szCs w:val="16"/>
          <w:color w:val="auto"/>
        </w:rPr>
        <w:t>Mr. Gold, who joined the Board on October 4, 2017, have achieved stock ownership levels in excess of the amount required. Vested RSUs and stock units that a director has elected to defer until retirement are included in the calculation of whether the minimum ownership requirement has been achieved.</w:t>
      </w:r>
    </w:p>
    <w:p>
      <w:pPr>
        <w:spacing w:after="0" w:line="160" w:lineRule="exact"/>
        <w:rPr>
          <w:sz w:val="20"/>
          <w:szCs w:val="20"/>
          <w:color w:val="auto"/>
        </w:rPr>
      </w:pPr>
    </w:p>
    <w:p>
      <w:pPr>
        <w:jc w:val="right"/>
        <w:spacing w:after="0"/>
        <w:tabs>
          <w:tab w:leader="none" w:pos="1960" w:val="left"/>
          <w:tab w:leader="none" w:pos="1720" w:val="left"/>
          <w:tab w:leader="none" w:pos="14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16"/>
          <w:szCs w:val="16"/>
          <w:b w:val="1"/>
          <w:bCs w:val="1"/>
          <w:color w:val="auto"/>
        </w:rPr>
        <w:t>|</w:t>
      </w:r>
      <w:r>
        <w:rPr>
          <w:sz w:val="20"/>
          <w:szCs w:val="20"/>
          <w:color w:val="auto"/>
        </w:rPr>
        <w:tab/>
      </w:r>
      <w:r>
        <w:rPr>
          <w:rFonts w:ascii="Arial" w:cs="Arial" w:eastAsia="Arial" w:hAnsi="Arial"/>
          <w:sz w:val="16"/>
          <w:szCs w:val="16"/>
          <w:color w:val="auto"/>
        </w:rPr>
        <w:t>2018 Proxy Statement</w:t>
      </w:r>
      <w:r>
        <w:rPr>
          <w:sz w:val="20"/>
          <w:szCs w:val="20"/>
          <w:color w:val="auto"/>
        </w:rPr>
        <w:tab/>
      </w: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139700</wp:posOffset>
            </wp:positionV>
            <wp:extent cx="7263130" cy="203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1"/>
          </w:cols>
          <w:pgMar w:left="239" w:top="131" w:right="239" w:bottom="1440" w:gutter="0" w:footer="0" w:header="0"/>
        </w:sectPr>
      </w:pPr>
    </w:p>
    <w:bookmarkStart w:id="33" w:name="page34"/>
    <w:bookmarkEnd w:id="33"/>
    <w:p>
      <w:pPr>
        <w:ind w:left="1"/>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7" w:lineRule="exact"/>
        <w:rPr>
          <w:sz w:val="20"/>
          <w:szCs w:val="20"/>
          <w:color w:val="auto"/>
        </w:rPr>
      </w:pPr>
    </w:p>
    <w:p>
      <w:pPr>
        <w:ind w:left="581" w:hanging="581"/>
        <w:spacing w:after="0"/>
        <w:tabs>
          <w:tab w:leader="none" w:pos="581" w:val="left"/>
        </w:tabs>
        <w:numPr>
          <w:ilvl w:val="0"/>
          <w:numId w:val="41"/>
        </w:numPr>
        <w:rPr>
          <w:rFonts w:ascii="Arial" w:cs="Arial" w:eastAsia="Arial" w:hAnsi="Arial"/>
          <w:sz w:val="16"/>
          <w:szCs w:val="16"/>
          <w:b w:val="1"/>
          <w:bCs w:val="1"/>
          <w:color w:val="0048E0"/>
        </w:rPr>
      </w:pPr>
      <w:r>
        <w:rPr>
          <w:rFonts w:ascii="Arial" w:cs="Arial" w:eastAsia="Arial" w:hAnsi="Arial"/>
          <w:sz w:val="16"/>
          <w:szCs w:val="16"/>
          <w:b w:val="1"/>
          <w:bCs w:val="1"/>
          <w:color w:val="0048E0"/>
        </w:rPr>
        <w:t>INFORMATION CONCERNING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258685" cy="158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8685" cy="15875"/>
                    </a:xfrm>
                    <a:prstGeom prst="rect">
                      <a:avLst/>
                    </a:prstGeom>
                    <a:noFill/>
                  </pic:spPr>
                </pic:pic>
              </a:graphicData>
            </a:graphic>
          </wp:anchor>
        </w:drawing>
      </w:r>
    </w:p>
    <w:p>
      <w:pPr>
        <w:spacing w:after="0" w:line="219" w:lineRule="exact"/>
        <w:rPr>
          <w:sz w:val="20"/>
          <w:szCs w:val="20"/>
          <w:color w:val="auto"/>
        </w:rPr>
      </w:pPr>
    </w:p>
    <w:p>
      <w:pPr>
        <w:ind w:left="1" w:firstLine="558"/>
        <w:spacing w:after="0" w:line="270" w:lineRule="auto"/>
        <w:rPr>
          <w:sz w:val="20"/>
          <w:szCs w:val="20"/>
          <w:color w:val="auto"/>
        </w:rPr>
      </w:pPr>
      <w:r>
        <w:rPr>
          <w:rFonts w:ascii="Arial" w:cs="Arial" w:eastAsia="Arial" w:hAnsi="Arial"/>
          <w:sz w:val="16"/>
          <w:szCs w:val="16"/>
          <w:color w:val="auto"/>
        </w:rPr>
        <w:t>The following table sets forth certain information with respect to our current executive officers and lists their current titles. A summary of the background and experience of Messrs. Birns, Crosby, Rau, Lake and Smith are set forth in the paragraphs following the table. The background and experience of Mr. Kasbar is described above in the section titled "Proposal No. 1—Election of Directors." All executive officers serve at the discretion of the Board.</w:t>
      </w:r>
    </w:p>
    <w:p>
      <w:pPr>
        <w:spacing w:after="0" w:line="162" w:lineRule="exact"/>
        <w:rPr>
          <w:sz w:val="20"/>
          <w:szCs w:val="20"/>
          <w:color w:val="auto"/>
        </w:rPr>
      </w:pPr>
    </w:p>
    <w:tbl>
      <w:tblPr>
        <w:tblLayout w:type="fixed"/>
        <w:tblInd w:w="1141"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6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tcPr>
          <w:p>
            <w:pPr>
              <w:jc w:val="center"/>
              <w:spacing w:after="0"/>
              <w:rPr>
                <w:sz w:val="20"/>
                <w:szCs w:val="20"/>
                <w:color w:val="auto"/>
              </w:rPr>
            </w:pPr>
            <w:r>
              <w:rPr>
                <w:rFonts w:ascii="Arial" w:cs="Arial" w:eastAsia="Arial" w:hAnsi="Arial"/>
                <w:sz w:val="12"/>
                <w:szCs w:val="12"/>
                <w:b w:val="1"/>
                <w:bCs w:val="1"/>
                <w:color w:val="auto"/>
                <w:w w:val="93"/>
              </w:rPr>
              <w:t>Year First</w:t>
            </w:r>
          </w:p>
        </w:tc>
      </w:tr>
      <w:tr>
        <w:trPr>
          <w:trHeight w:val="136"/>
        </w:trPr>
        <w:tc>
          <w:tcPr>
            <w:tcW w:w="20" w:type="dxa"/>
            <w:vAlign w:val="bottom"/>
          </w:tcPr>
          <w:p>
            <w:pPr>
              <w:spacing w:after="0"/>
              <w:rPr>
                <w:sz w:val="11"/>
                <w:szCs w:val="11"/>
                <w:color w:val="auto"/>
              </w:rPr>
            </w:pPr>
          </w:p>
        </w:tc>
        <w:tc>
          <w:tcPr>
            <w:tcW w:w="6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8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86"/>
              </w:rPr>
              <w:t>Became</w:t>
            </w:r>
          </w:p>
        </w:tc>
      </w:tr>
      <w:tr>
        <w:trPr>
          <w:trHeight w:val="149"/>
        </w:trPr>
        <w:tc>
          <w:tcPr>
            <w:tcW w:w="7000" w:type="dxa"/>
            <w:vAlign w:val="bottom"/>
            <w:gridSpan w:val="2"/>
          </w:tcPr>
          <w:p>
            <w:pPr>
              <w:spacing w:after="0"/>
              <w:rPr>
                <w:sz w:val="20"/>
                <w:szCs w:val="20"/>
                <w:color w:val="auto"/>
              </w:rPr>
            </w:pPr>
            <w:r>
              <w:rPr>
                <w:rFonts w:ascii="Arial" w:cs="Arial" w:eastAsia="Arial" w:hAnsi="Arial"/>
                <w:sz w:val="12"/>
                <w:szCs w:val="12"/>
                <w:b w:val="1"/>
                <w:bCs w:val="1"/>
                <w:color w:val="auto"/>
              </w:rPr>
              <w:t>Name and Current Position</w:t>
            </w:r>
          </w:p>
        </w:tc>
        <w:tc>
          <w:tcPr>
            <w:tcW w:w="140" w:type="dxa"/>
            <w:vAlign w:val="bottom"/>
          </w:tcPr>
          <w:p>
            <w:pPr>
              <w:spacing w:after="0"/>
              <w:rPr>
                <w:sz w:val="12"/>
                <w:szCs w:val="12"/>
                <w:color w:val="auto"/>
              </w:rPr>
            </w:pPr>
          </w:p>
        </w:tc>
        <w:tc>
          <w:tcPr>
            <w:tcW w:w="380" w:type="dxa"/>
            <w:vAlign w:val="bottom"/>
          </w:tcPr>
          <w:p>
            <w:pPr>
              <w:jc w:val="right"/>
              <w:ind w:right="9"/>
              <w:spacing w:after="0"/>
              <w:rPr>
                <w:sz w:val="20"/>
                <w:szCs w:val="20"/>
                <w:color w:val="auto"/>
              </w:rPr>
            </w:pPr>
            <w:r>
              <w:rPr>
                <w:rFonts w:ascii="Arial" w:cs="Arial" w:eastAsia="Arial" w:hAnsi="Arial"/>
                <w:sz w:val="12"/>
                <w:szCs w:val="12"/>
                <w:b w:val="1"/>
                <w:bCs w:val="1"/>
                <w:color w:val="auto"/>
              </w:rPr>
              <w:t>Age</w:t>
            </w:r>
          </w:p>
        </w:tc>
        <w:tc>
          <w:tcPr>
            <w:tcW w:w="140" w:type="dxa"/>
            <w:vAlign w:val="bottom"/>
          </w:tcPr>
          <w:p>
            <w:pPr>
              <w:spacing w:after="0"/>
              <w:rPr>
                <w:sz w:val="12"/>
                <w:szCs w:val="12"/>
                <w:color w:val="auto"/>
              </w:rPr>
            </w:pPr>
          </w:p>
        </w:tc>
        <w:tc>
          <w:tcPr>
            <w:tcW w:w="1480" w:type="dxa"/>
            <w:vAlign w:val="bottom"/>
          </w:tcPr>
          <w:p>
            <w:pPr>
              <w:jc w:val="center"/>
              <w:spacing w:after="0"/>
              <w:rPr>
                <w:sz w:val="20"/>
                <w:szCs w:val="20"/>
                <w:color w:val="auto"/>
              </w:rPr>
            </w:pPr>
            <w:r>
              <w:rPr>
                <w:rFonts w:ascii="Arial" w:cs="Arial" w:eastAsia="Arial" w:hAnsi="Arial"/>
                <w:sz w:val="12"/>
                <w:szCs w:val="12"/>
                <w:b w:val="1"/>
                <w:bCs w:val="1"/>
                <w:color w:val="auto"/>
                <w:w w:val="93"/>
              </w:rPr>
              <w:t>Executive Officer</w:t>
            </w:r>
          </w:p>
        </w:tc>
      </w:tr>
      <w:tr>
        <w:trPr>
          <w:trHeight w:val="181"/>
        </w:trPr>
        <w:tc>
          <w:tcPr>
            <w:tcW w:w="20" w:type="dxa"/>
            <w:vAlign w:val="bottom"/>
          </w:tcPr>
          <w:p>
            <w:pPr>
              <w:spacing w:after="0"/>
              <w:rPr>
                <w:sz w:val="15"/>
                <w:szCs w:val="15"/>
                <w:color w:val="auto"/>
              </w:rPr>
            </w:pPr>
          </w:p>
        </w:tc>
        <w:tc>
          <w:tcPr>
            <w:tcW w:w="6980" w:type="dxa"/>
            <w:vAlign w:val="bottom"/>
            <w:tcBorders>
              <w:top w:val="single" w:sz="8" w:color="auto"/>
            </w:tcBorders>
            <w:shd w:val="clear" w:color="auto" w:fill="CCEEFF"/>
          </w:tcPr>
          <w:p>
            <w:pPr>
              <w:spacing w:after="0" w:line="181" w:lineRule="exact"/>
              <w:rPr>
                <w:sz w:val="20"/>
                <w:szCs w:val="20"/>
                <w:color w:val="auto"/>
              </w:rPr>
            </w:pPr>
            <w:r>
              <w:rPr>
                <w:rFonts w:ascii="Arial" w:cs="Arial" w:eastAsia="Arial" w:hAnsi="Arial"/>
                <w:sz w:val="16"/>
                <w:szCs w:val="16"/>
                <w:color w:val="auto"/>
              </w:rPr>
              <w:t>Michael J. Kasbar</w:t>
            </w:r>
          </w:p>
        </w:tc>
        <w:tc>
          <w:tcPr>
            <w:tcW w:w="140" w:type="dxa"/>
            <w:vAlign w:val="bottom"/>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61</w:t>
            </w:r>
          </w:p>
        </w:tc>
        <w:tc>
          <w:tcPr>
            <w:tcW w:w="140" w:type="dxa"/>
            <w:vAlign w:val="bottom"/>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jc w:val="center"/>
              <w:spacing w:after="0" w:line="181" w:lineRule="exact"/>
              <w:rPr>
                <w:sz w:val="20"/>
                <w:szCs w:val="20"/>
                <w:color w:val="auto"/>
              </w:rPr>
            </w:pPr>
            <w:r>
              <w:rPr>
                <w:rFonts w:ascii="Arial" w:cs="Arial" w:eastAsia="Arial" w:hAnsi="Arial"/>
                <w:sz w:val="16"/>
                <w:szCs w:val="16"/>
                <w:color w:val="auto"/>
                <w:w w:val="89"/>
              </w:rPr>
              <w:t>1995</w:t>
            </w:r>
          </w:p>
        </w:tc>
      </w:tr>
      <w:tr>
        <w:trPr>
          <w:trHeight w:val="206"/>
        </w:trPr>
        <w:tc>
          <w:tcPr>
            <w:tcW w:w="20" w:type="dxa"/>
            <w:vAlign w:val="bottom"/>
          </w:tcPr>
          <w:p>
            <w:pPr>
              <w:spacing w:after="0"/>
              <w:rPr>
                <w:sz w:val="17"/>
                <w:szCs w:val="17"/>
                <w:color w:val="auto"/>
              </w:rPr>
            </w:pPr>
          </w:p>
        </w:tc>
        <w:tc>
          <w:tcPr>
            <w:tcW w:w="6980" w:type="dxa"/>
            <w:vAlign w:val="bottom"/>
            <w:shd w:val="clear" w:color="auto" w:fill="CCEEFF"/>
          </w:tcPr>
          <w:p>
            <w:pPr>
              <w:ind w:left="140"/>
              <w:spacing w:after="0"/>
              <w:rPr>
                <w:sz w:val="20"/>
                <w:szCs w:val="20"/>
                <w:color w:val="auto"/>
              </w:rPr>
            </w:pPr>
            <w:r>
              <w:rPr>
                <w:rFonts w:ascii="Arial" w:cs="Arial" w:eastAsia="Arial" w:hAnsi="Arial"/>
                <w:sz w:val="16"/>
                <w:szCs w:val="16"/>
                <w:i w:val="1"/>
                <w:iCs w:val="1"/>
                <w:color w:val="auto"/>
              </w:rPr>
              <w:t>Chairman, President and Chief Executive Officer</w:t>
            </w: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188"/>
        </w:trPr>
        <w:tc>
          <w:tcPr>
            <w:tcW w:w="20" w:type="dxa"/>
            <w:vAlign w:val="bottom"/>
          </w:tcPr>
          <w:p>
            <w:pPr>
              <w:spacing w:after="0"/>
              <w:rPr>
                <w:sz w:val="16"/>
                <w:szCs w:val="16"/>
                <w:color w:val="auto"/>
              </w:rPr>
            </w:pPr>
          </w:p>
        </w:tc>
        <w:tc>
          <w:tcPr>
            <w:tcW w:w="6980" w:type="dxa"/>
            <w:vAlign w:val="bottom"/>
          </w:tcPr>
          <w:p>
            <w:pPr>
              <w:spacing w:after="0"/>
              <w:rPr>
                <w:sz w:val="20"/>
                <w:szCs w:val="20"/>
                <w:color w:val="auto"/>
              </w:rPr>
            </w:pPr>
            <w:r>
              <w:rPr>
                <w:rFonts w:ascii="Arial" w:cs="Arial" w:eastAsia="Arial" w:hAnsi="Arial"/>
                <w:sz w:val="16"/>
                <w:szCs w:val="16"/>
                <w:color w:val="auto"/>
              </w:rPr>
              <w:t>Ira M. Birns</w:t>
            </w:r>
          </w:p>
        </w:tc>
        <w:tc>
          <w:tcPr>
            <w:tcW w:w="520" w:type="dxa"/>
            <w:vAlign w:val="bottom"/>
            <w:gridSpan w:val="2"/>
          </w:tcPr>
          <w:p>
            <w:pPr>
              <w:jc w:val="right"/>
              <w:spacing w:after="0"/>
              <w:rPr>
                <w:sz w:val="20"/>
                <w:szCs w:val="20"/>
                <w:color w:val="auto"/>
              </w:rPr>
            </w:pPr>
            <w:r>
              <w:rPr>
                <w:rFonts w:ascii="Arial" w:cs="Arial" w:eastAsia="Arial" w:hAnsi="Arial"/>
                <w:sz w:val="16"/>
                <w:szCs w:val="16"/>
                <w:color w:val="auto"/>
              </w:rPr>
              <w:t>55</w:t>
            </w:r>
          </w:p>
        </w:tc>
        <w:tc>
          <w:tcPr>
            <w:tcW w:w="1620" w:type="dxa"/>
            <w:vAlign w:val="bottom"/>
            <w:gridSpan w:val="2"/>
          </w:tcPr>
          <w:p>
            <w:pPr>
              <w:jc w:val="center"/>
              <w:ind w:left="60"/>
              <w:spacing w:after="0"/>
              <w:rPr>
                <w:sz w:val="20"/>
                <w:szCs w:val="20"/>
                <w:color w:val="auto"/>
              </w:rPr>
            </w:pPr>
            <w:r>
              <w:rPr>
                <w:rFonts w:ascii="Arial" w:cs="Arial" w:eastAsia="Arial" w:hAnsi="Arial"/>
                <w:sz w:val="16"/>
                <w:szCs w:val="16"/>
                <w:color w:val="auto"/>
                <w:w w:val="89"/>
              </w:rPr>
              <w:t>2007</w:t>
            </w:r>
          </w:p>
        </w:tc>
      </w:tr>
      <w:tr>
        <w:trPr>
          <w:trHeight w:val="205"/>
        </w:trPr>
        <w:tc>
          <w:tcPr>
            <w:tcW w:w="20" w:type="dxa"/>
            <w:vAlign w:val="bottom"/>
          </w:tcPr>
          <w:p>
            <w:pPr>
              <w:spacing w:after="0"/>
              <w:rPr>
                <w:sz w:val="17"/>
                <w:szCs w:val="17"/>
                <w:color w:val="auto"/>
              </w:rPr>
            </w:pPr>
          </w:p>
        </w:tc>
        <w:tc>
          <w:tcPr>
            <w:tcW w:w="6980" w:type="dxa"/>
            <w:vAlign w:val="bottom"/>
          </w:tcPr>
          <w:p>
            <w:pPr>
              <w:ind w:left="140"/>
              <w:spacing w:after="0"/>
              <w:rPr>
                <w:sz w:val="20"/>
                <w:szCs w:val="20"/>
                <w:color w:val="auto"/>
              </w:rPr>
            </w:pPr>
            <w:r>
              <w:rPr>
                <w:rFonts w:ascii="Arial" w:cs="Arial" w:eastAsia="Arial" w:hAnsi="Arial"/>
                <w:sz w:val="16"/>
                <w:szCs w:val="16"/>
                <w:i w:val="1"/>
                <w:iCs w:val="1"/>
                <w:color w:val="auto"/>
              </w:rPr>
              <w:t>Executive Vice President and Chief Financial Officer</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190"/>
        </w:trPr>
        <w:tc>
          <w:tcPr>
            <w:tcW w:w="20" w:type="dxa"/>
            <w:vAlign w:val="bottom"/>
          </w:tcPr>
          <w:p>
            <w:pPr>
              <w:spacing w:after="0"/>
              <w:rPr>
                <w:sz w:val="16"/>
                <w:szCs w:val="16"/>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6"/>
                <w:szCs w:val="16"/>
                <w:color w:val="auto"/>
              </w:rPr>
              <w:t>Jeffrey P. Smith</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620" w:type="dxa"/>
            <w:vAlign w:val="bottom"/>
            <w:gridSpan w:val="2"/>
            <w:shd w:val="clear" w:color="auto" w:fill="CCEEFF"/>
          </w:tcPr>
          <w:p>
            <w:pPr>
              <w:jc w:val="center"/>
              <w:ind w:left="60"/>
              <w:spacing w:after="0"/>
              <w:rPr>
                <w:sz w:val="20"/>
                <w:szCs w:val="20"/>
                <w:color w:val="auto"/>
              </w:rPr>
            </w:pPr>
            <w:r>
              <w:rPr>
                <w:rFonts w:ascii="Arial" w:cs="Arial" w:eastAsia="Arial" w:hAnsi="Arial"/>
                <w:sz w:val="16"/>
                <w:szCs w:val="16"/>
                <w:color w:val="auto"/>
                <w:w w:val="89"/>
              </w:rPr>
              <w:t>2017</w:t>
            </w:r>
          </w:p>
        </w:tc>
      </w:tr>
      <w:tr>
        <w:trPr>
          <w:trHeight w:val="206"/>
        </w:trPr>
        <w:tc>
          <w:tcPr>
            <w:tcW w:w="20" w:type="dxa"/>
            <w:vAlign w:val="bottom"/>
          </w:tcPr>
          <w:p>
            <w:pPr>
              <w:spacing w:after="0"/>
              <w:rPr>
                <w:sz w:val="17"/>
                <w:szCs w:val="17"/>
                <w:color w:val="auto"/>
              </w:rPr>
            </w:pPr>
          </w:p>
        </w:tc>
        <w:tc>
          <w:tcPr>
            <w:tcW w:w="6980" w:type="dxa"/>
            <w:vAlign w:val="bottom"/>
            <w:shd w:val="clear" w:color="auto" w:fill="CCEEFF"/>
          </w:tcPr>
          <w:p>
            <w:pPr>
              <w:ind w:left="140"/>
              <w:spacing w:after="0"/>
              <w:rPr>
                <w:sz w:val="20"/>
                <w:szCs w:val="20"/>
                <w:color w:val="auto"/>
              </w:rPr>
            </w:pPr>
            <w:r>
              <w:rPr>
                <w:rFonts w:ascii="Arial" w:cs="Arial" w:eastAsia="Arial" w:hAnsi="Arial"/>
                <w:sz w:val="16"/>
                <w:szCs w:val="16"/>
                <w:i w:val="1"/>
                <w:iCs w:val="1"/>
                <w:color w:val="auto"/>
              </w:rPr>
              <w:t>Executive Vice President and Chief Operating Officer</w:t>
            </w: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188"/>
        </w:trPr>
        <w:tc>
          <w:tcPr>
            <w:tcW w:w="20" w:type="dxa"/>
            <w:vAlign w:val="bottom"/>
          </w:tcPr>
          <w:p>
            <w:pPr>
              <w:spacing w:after="0"/>
              <w:rPr>
                <w:sz w:val="16"/>
                <w:szCs w:val="16"/>
                <w:color w:val="auto"/>
              </w:rPr>
            </w:pPr>
          </w:p>
        </w:tc>
        <w:tc>
          <w:tcPr>
            <w:tcW w:w="6980" w:type="dxa"/>
            <w:vAlign w:val="bottom"/>
          </w:tcPr>
          <w:p>
            <w:pPr>
              <w:spacing w:after="0"/>
              <w:rPr>
                <w:sz w:val="20"/>
                <w:szCs w:val="20"/>
                <w:color w:val="auto"/>
              </w:rPr>
            </w:pPr>
            <w:r>
              <w:rPr>
                <w:rFonts w:ascii="Arial" w:cs="Arial" w:eastAsia="Arial" w:hAnsi="Arial"/>
                <w:sz w:val="16"/>
                <w:szCs w:val="16"/>
                <w:color w:val="auto"/>
              </w:rPr>
              <w:t>Michael J. Crosby</w:t>
            </w:r>
          </w:p>
        </w:tc>
        <w:tc>
          <w:tcPr>
            <w:tcW w:w="520" w:type="dxa"/>
            <w:vAlign w:val="bottom"/>
            <w:gridSpan w:val="2"/>
          </w:tcPr>
          <w:p>
            <w:pPr>
              <w:jc w:val="right"/>
              <w:spacing w:after="0"/>
              <w:rPr>
                <w:sz w:val="20"/>
                <w:szCs w:val="20"/>
                <w:color w:val="auto"/>
              </w:rPr>
            </w:pPr>
            <w:r>
              <w:rPr>
                <w:rFonts w:ascii="Arial" w:cs="Arial" w:eastAsia="Arial" w:hAnsi="Arial"/>
                <w:sz w:val="16"/>
                <w:szCs w:val="16"/>
                <w:color w:val="auto"/>
              </w:rPr>
              <w:t>53</w:t>
            </w:r>
          </w:p>
        </w:tc>
        <w:tc>
          <w:tcPr>
            <w:tcW w:w="1620" w:type="dxa"/>
            <w:vAlign w:val="bottom"/>
            <w:gridSpan w:val="2"/>
          </w:tcPr>
          <w:p>
            <w:pPr>
              <w:jc w:val="center"/>
              <w:ind w:left="60"/>
              <w:spacing w:after="0"/>
              <w:rPr>
                <w:sz w:val="20"/>
                <w:szCs w:val="20"/>
                <w:color w:val="auto"/>
              </w:rPr>
            </w:pPr>
            <w:r>
              <w:rPr>
                <w:rFonts w:ascii="Arial" w:cs="Arial" w:eastAsia="Arial" w:hAnsi="Arial"/>
                <w:sz w:val="16"/>
                <w:szCs w:val="16"/>
                <w:color w:val="auto"/>
                <w:w w:val="89"/>
              </w:rPr>
              <w:t>2016</w:t>
            </w:r>
          </w:p>
        </w:tc>
      </w:tr>
      <w:tr>
        <w:trPr>
          <w:trHeight w:val="205"/>
        </w:trPr>
        <w:tc>
          <w:tcPr>
            <w:tcW w:w="20" w:type="dxa"/>
            <w:vAlign w:val="bottom"/>
          </w:tcPr>
          <w:p>
            <w:pPr>
              <w:spacing w:after="0"/>
              <w:rPr>
                <w:sz w:val="17"/>
                <w:szCs w:val="17"/>
                <w:color w:val="auto"/>
              </w:rPr>
            </w:pPr>
          </w:p>
        </w:tc>
        <w:tc>
          <w:tcPr>
            <w:tcW w:w="6980" w:type="dxa"/>
            <w:vAlign w:val="bottom"/>
          </w:tcPr>
          <w:p>
            <w:pPr>
              <w:ind w:left="140"/>
              <w:spacing w:after="0"/>
              <w:rPr>
                <w:sz w:val="20"/>
                <w:szCs w:val="20"/>
                <w:color w:val="auto"/>
              </w:rPr>
            </w:pPr>
            <w:r>
              <w:rPr>
                <w:rFonts w:ascii="Arial" w:cs="Arial" w:eastAsia="Arial" w:hAnsi="Arial"/>
                <w:sz w:val="16"/>
                <w:szCs w:val="16"/>
                <w:i w:val="1"/>
                <w:iCs w:val="1"/>
                <w:color w:val="auto"/>
              </w:rPr>
              <w:t>Executive Vice President, Global Land</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190"/>
        </w:trPr>
        <w:tc>
          <w:tcPr>
            <w:tcW w:w="20" w:type="dxa"/>
            <w:vAlign w:val="bottom"/>
          </w:tcPr>
          <w:p>
            <w:pPr>
              <w:spacing w:after="0"/>
              <w:rPr>
                <w:sz w:val="16"/>
                <w:szCs w:val="16"/>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6"/>
                <w:szCs w:val="16"/>
                <w:color w:val="auto"/>
              </w:rPr>
              <w:t>John P. Rau</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620" w:type="dxa"/>
            <w:vAlign w:val="bottom"/>
            <w:gridSpan w:val="2"/>
            <w:shd w:val="clear" w:color="auto" w:fill="CCEEFF"/>
          </w:tcPr>
          <w:p>
            <w:pPr>
              <w:jc w:val="center"/>
              <w:ind w:left="60"/>
              <w:spacing w:after="0"/>
              <w:rPr>
                <w:sz w:val="20"/>
                <w:szCs w:val="20"/>
                <w:color w:val="auto"/>
              </w:rPr>
            </w:pPr>
            <w:r>
              <w:rPr>
                <w:rFonts w:ascii="Arial" w:cs="Arial" w:eastAsia="Arial" w:hAnsi="Arial"/>
                <w:sz w:val="16"/>
                <w:szCs w:val="16"/>
                <w:color w:val="auto"/>
                <w:w w:val="89"/>
              </w:rPr>
              <w:t>2016</w:t>
            </w:r>
          </w:p>
        </w:tc>
      </w:tr>
      <w:tr>
        <w:trPr>
          <w:trHeight w:val="206"/>
        </w:trPr>
        <w:tc>
          <w:tcPr>
            <w:tcW w:w="20" w:type="dxa"/>
            <w:vAlign w:val="bottom"/>
          </w:tcPr>
          <w:p>
            <w:pPr>
              <w:spacing w:after="0"/>
              <w:rPr>
                <w:sz w:val="17"/>
                <w:szCs w:val="17"/>
                <w:color w:val="auto"/>
              </w:rPr>
            </w:pPr>
          </w:p>
        </w:tc>
        <w:tc>
          <w:tcPr>
            <w:tcW w:w="6980" w:type="dxa"/>
            <w:vAlign w:val="bottom"/>
            <w:shd w:val="clear" w:color="auto" w:fill="CCEEFF"/>
          </w:tcPr>
          <w:p>
            <w:pPr>
              <w:ind w:left="140"/>
              <w:spacing w:after="0"/>
              <w:rPr>
                <w:sz w:val="20"/>
                <w:szCs w:val="20"/>
                <w:color w:val="auto"/>
              </w:rPr>
            </w:pPr>
            <w:r>
              <w:rPr>
                <w:rFonts w:ascii="Arial" w:cs="Arial" w:eastAsia="Arial" w:hAnsi="Arial"/>
                <w:sz w:val="16"/>
                <w:szCs w:val="16"/>
                <w:i w:val="1"/>
                <w:iCs w:val="1"/>
                <w:color w:val="auto"/>
              </w:rPr>
              <w:t>Executive Vice President, Global Aviation and Marine</w:t>
            </w: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188"/>
        </w:trPr>
        <w:tc>
          <w:tcPr>
            <w:tcW w:w="20" w:type="dxa"/>
            <w:vAlign w:val="bottom"/>
          </w:tcPr>
          <w:p>
            <w:pPr>
              <w:spacing w:after="0"/>
              <w:rPr>
                <w:sz w:val="16"/>
                <w:szCs w:val="16"/>
                <w:color w:val="auto"/>
              </w:rPr>
            </w:pPr>
          </w:p>
        </w:tc>
        <w:tc>
          <w:tcPr>
            <w:tcW w:w="6980" w:type="dxa"/>
            <w:vAlign w:val="bottom"/>
          </w:tcPr>
          <w:p>
            <w:pPr>
              <w:spacing w:after="0"/>
              <w:rPr>
                <w:sz w:val="20"/>
                <w:szCs w:val="20"/>
                <w:color w:val="auto"/>
              </w:rPr>
            </w:pPr>
            <w:r>
              <w:rPr>
                <w:rFonts w:ascii="Arial" w:cs="Arial" w:eastAsia="Arial" w:hAnsi="Arial"/>
                <w:sz w:val="16"/>
                <w:szCs w:val="16"/>
                <w:color w:val="auto"/>
              </w:rPr>
              <w:t>R. Alexander Lake, Jr.</w:t>
            </w:r>
          </w:p>
        </w:tc>
        <w:tc>
          <w:tcPr>
            <w:tcW w:w="520" w:type="dxa"/>
            <w:vAlign w:val="bottom"/>
            <w:gridSpan w:val="2"/>
          </w:tcPr>
          <w:p>
            <w:pPr>
              <w:jc w:val="right"/>
              <w:spacing w:after="0"/>
              <w:rPr>
                <w:sz w:val="20"/>
                <w:szCs w:val="20"/>
                <w:color w:val="auto"/>
              </w:rPr>
            </w:pPr>
            <w:r>
              <w:rPr>
                <w:rFonts w:ascii="Arial" w:cs="Arial" w:eastAsia="Arial" w:hAnsi="Arial"/>
                <w:sz w:val="16"/>
                <w:szCs w:val="16"/>
                <w:color w:val="auto"/>
              </w:rPr>
              <w:t>46</w:t>
            </w:r>
          </w:p>
        </w:tc>
        <w:tc>
          <w:tcPr>
            <w:tcW w:w="1620" w:type="dxa"/>
            <w:vAlign w:val="bottom"/>
            <w:gridSpan w:val="2"/>
          </w:tcPr>
          <w:p>
            <w:pPr>
              <w:jc w:val="center"/>
              <w:ind w:left="60"/>
              <w:spacing w:after="0"/>
              <w:rPr>
                <w:sz w:val="20"/>
                <w:szCs w:val="20"/>
                <w:color w:val="auto"/>
              </w:rPr>
            </w:pPr>
            <w:r>
              <w:rPr>
                <w:rFonts w:ascii="Arial" w:cs="Arial" w:eastAsia="Arial" w:hAnsi="Arial"/>
                <w:sz w:val="16"/>
                <w:szCs w:val="16"/>
                <w:color w:val="auto"/>
                <w:w w:val="89"/>
              </w:rPr>
              <w:t>2017</w:t>
            </w:r>
          </w:p>
        </w:tc>
      </w:tr>
      <w:tr>
        <w:trPr>
          <w:trHeight w:val="205"/>
        </w:trPr>
        <w:tc>
          <w:tcPr>
            <w:tcW w:w="20" w:type="dxa"/>
            <w:vAlign w:val="bottom"/>
          </w:tcPr>
          <w:p>
            <w:pPr>
              <w:spacing w:after="0"/>
              <w:rPr>
                <w:sz w:val="17"/>
                <w:szCs w:val="17"/>
                <w:color w:val="auto"/>
              </w:rPr>
            </w:pPr>
          </w:p>
        </w:tc>
        <w:tc>
          <w:tcPr>
            <w:tcW w:w="6980" w:type="dxa"/>
            <w:vAlign w:val="bottom"/>
          </w:tcPr>
          <w:p>
            <w:pPr>
              <w:ind w:left="140"/>
              <w:spacing w:after="0"/>
              <w:rPr>
                <w:sz w:val="20"/>
                <w:szCs w:val="20"/>
                <w:color w:val="auto"/>
              </w:rPr>
            </w:pPr>
            <w:r>
              <w:rPr>
                <w:rFonts w:ascii="Arial" w:cs="Arial" w:eastAsia="Arial" w:hAnsi="Arial"/>
                <w:sz w:val="16"/>
                <w:szCs w:val="16"/>
                <w:i w:val="1"/>
                <w:iCs w:val="1"/>
                <w:color w:val="auto"/>
              </w:rPr>
              <w:t>Executive Vice President, Chief Legal Officer and Corporate Secretary</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r>
    </w:tbl>
    <w:p>
      <w:pPr>
        <w:spacing w:after="0" w:line="186" w:lineRule="exact"/>
        <w:rPr>
          <w:sz w:val="20"/>
          <w:szCs w:val="20"/>
          <w:color w:val="auto"/>
        </w:rPr>
      </w:pPr>
    </w:p>
    <w:p>
      <w:pPr>
        <w:ind w:left="1" w:right="120" w:firstLine="561"/>
        <w:spacing w:after="0" w:line="291" w:lineRule="auto"/>
        <w:rPr>
          <w:sz w:val="20"/>
          <w:szCs w:val="20"/>
          <w:color w:val="auto"/>
        </w:rPr>
      </w:pPr>
      <w:r>
        <w:rPr>
          <w:rFonts w:ascii="Arial" w:cs="Arial" w:eastAsia="Arial" w:hAnsi="Arial"/>
          <w:sz w:val="15"/>
          <w:szCs w:val="15"/>
          <w:b w:val="1"/>
          <w:bCs w:val="1"/>
          <w:color w:val="auto"/>
        </w:rPr>
        <w:t xml:space="preserve">IRA M. BIRNS </w:t>
      </w:r>
      <w:r>
        <w:rPr>
          <w:rFonts w:ascii="Arial" w:cs="Arial" w:eastAsia="Arial" w:hAnsi="Arial"/>
          <w:sz w:val="15"/>
          <w:szCs w:val="15"/>
          <w:color w:val="auto"/>
        </w:rPr>
        <w:t>has served as our Executive Vice President and Chief Financial Officer since April 2007. From August 2004 to March 2007, Mr. Birns served as Vice-President and Treasurer and Vice President-Investor Relations of Arrow Electronics, Inc., a NYSE company and electronics distributor. From May 2002 until August 2004, he served as Vice President and Treasurer of Arrow Electronics, Inc. Prior thereto and from 1996, he served as Treasurer of Arrow Electronics, Inc. He was Assistant Treasurer of Arrow Electronics, Inc. from 1989 to 1996. Mr. Birns is a member of the Board of Trustees of the New World Symphony of Miami, Florida.</w:t>
      </w:r>
    </w:p>
    <w:p>
      <w:pPr>
        <w:spacing w:after="0" w:line="150" w:lineRule="exact"/>
        <w:rPr>
          <w:sz w:val="20"/>
          <w:szCs w:val="20"/>
          <w:color w:val="auto"/>
        </w:rPr>
      </w:pPr>
    </w:p>
    <w:p>
      <w:pPr>
        <w:ind w:left="1" w:right="40" w:firstLine="561"/>
        <w:spacing w:after="0" w:line="305" w:lineRule="auto"/>
        <w:rPr>
          <w:sz w:val="20"/>
          <w:szCs w:val="20"/>
          <w:color w:val="auto"/>
        </w:rPr>
      </w:pPr>
      <w:r>
        <w:rPr>
          <w:rFonts w:ascii="Arial" w:cs="Arial" w:eastAsia="Arial" w:hAnsi="Arial"/>
          <w:sz w:val="14"/>
          <w:szCs w:val="14"/>
          <w:b w:val="1"/>
          <w:bCs w:val="1"/>
          <w:color w:val="auto"/>
        </w:rPr>
        <w:t xml:space="preserve">JEFFREY P. SMITH </w:t>
      </w:r>
      <w:r>
        <w:rPr>
          <w:rFonts w:ascii="Arial" w:cs="Arial" w:eastAsia="Arial" w:hAnsi="Arial"/>
          <w:sz w:val="14"/>
          <w:szCs w:val="14"/>
          <w:color w:val="auto"/>
        </w:rPr>
        <w:t>has served as our Executive Vice President and Chief Operating Officer since October 2017. Previously, he served as Chief Information Officer</w:t>
      </w:r>
      <w:r>
        <w:rPr>
          <w:rFonts w:ascii="Arial" w:cs="Arial" w:eastAsia="Arial" w:hAnsi="Arial"/>
          <w:sz w:val="14"/>
          <w:szCs w:val="14"/>
          <w:b w:val="1"/>
          <w:bCs w:val="1"/>
          <w:color w:val="auto"/>
        </w:rPr>
        <w:t xml:space="preserve"> </w:t>
      </w:r>
      <w:r>
        <w:rPr>
          <w:rFonts w:ascii="Arial" w:cs="Arial" w:eastAsia="Arial" w:hAnsi="Arial"/>
          <w:sz w:val="14"/>
          <w:szCs w:val="14"/>
          <w:color w:val="auto"/>
        </w:rPr>
        <w:t>of International Business Machines Corporation ("IBM") from August 2014 through May 2017, where he was responsible for global information technology ("IT") operations, including provisioning and management of all computing devices and all software solutions required to run IBM, such as Customer Relationship Management ("CRM") for sales and service and Enterprise Resource Planning ("ERP") for financials and manufacturing. Prior to joining IBM, Mr. Smith served as Chief Executive Officer of Suncorp Business Services, part of Suncorp Group Limited, from July 2010 to August 2014, and Chief Information Officer from March 2007 to July 2010. While at Suncorp, Mr. Smith was responsible for the Group's technology, analytics, real estate, finance, procurement, and customer relationship, IT and business process outsourcing operations. With more than 30 years of corporate experience, Mr. Smith has also held senior executive roles in a number of companies including Telstra Corporation and Honeywell.</w:t>
      </w:r>
    </w:p>
    <w:p>
      <w:pPr>
        <w:spacing w:after="0" w:line="146" w:lineRule="exact"/>
        <w:rPr>
          <w:sz w:val="20"/>
          <w:szCs w:val="20"/>
          <w:color w:val="auto"/>
        </w:rPr>
      </w:pPr>
    </w:p>
    <w:p>
      <w:pPr>
        <w:jc w:val="both"/>
        <w:ind w:left="1" w:right="140" w:firstLine="561"/>
        <w:spacing w:after="0" w:line="279" w:lineRule="auto"/>
        <w:rPr>
          <w:sz w:val="20"/>
          <w:szCs w:val="20"/>
          <w:color w:val="auto"/>
        </w:rPr>
      </w:pPr>
      <w:r>
        <w:rPr>
          <w:rFonts w:ascii="Arial" w:cs="Arial" w:eastAsia="Arial" w:hAnsi="Arial"/>
          <w:sz w:val="15"/>
          <w:szCs w:val="15"/>
          <w:b w:val="1"/>
          <w:bCs w:val="1"/>
          <w:color w:val="auto"/>
        </w:rPr>
        <w:t xml:space="preserve">MICHAEL J. CROSBY </w:t>
      </w:r>
      <w:r>
        <w:rPr>
          <w:rFonts w:ascii="Arial" w:cs="Arial" w:eastAsia="Arial" w:hAnsi="Arial"/>
          <w:sz w:val="15"/>
          <w:szCs w:val="15"/>
          <w:color w:val="auto"/>
        </w:rPr>
        <w:t>has served as our Executive Vice President of Global Land since March 2016. Previously, he served as our Executive Vice President of Land</w:t>
      </w:r>
      <w:r>
        <w:rPr>
          <w:rFonts w:ascii="Arial" w:cs="Arial" w:eastAsia="Arial" w:hAnsi="Arial"/>
          <w:sz w:val="15"/>
          <w:szCs w:val="15"/>
          <w:b w:val="1"/>
          <w:bCs w:val="1"/>
          <w:color w:val="auto"/>
        </w:rPr>
        <w:t xml:space="preserve"> </w:t>
      </w:r>
      <w:r>
        <w:rPr>
          <w:rFonts w:ascii="Arial" w:cs="Arial" w:eastAsia="Arial" w:hAnsi="Arial"/>
          <w:sz w:val="15"/>
          <w:szCs w:val="15"/>
          <w:color w:val="auto"/>
        </w:rPr>
        <w:t>Americas since April 2015. From January 2014 to March 2015, Mr. Crosby was the Chief Operating Officer of Next Generation Energy Logistics, a private equity-backed fuel and lubes distribution business, where he was instrumental in raising capital and executing the company's acquisition and consolidation strategy. Prior</w:t>
      </w:r>
    </w:p>
    <w:p>
      <w:pPr>
        <w:spacing w:after="0" w:line="2" w:lineRule="exact"/>
        <w:rPr>
          <w:sz w:val="20"/>
          <w:szCs w:val="20"/>
          <w:color w:val="auto"/>
        </w:rPr>
      </w:pPr>
    </w:p>
    <w:p>
      <w:pPr>
        <w:jc w:val="right"/>
        <w:spacing w:after="0"/>
        <w:tabs>
          <w:tab w:leader="none" w:pos="1960" w:val="left"/>
          <w:tab w:leader="none" w:pos="1720" w:val="left"/>
          <w:tab w:leader="none" w:pos="14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3"/>
          <w:szCs w:val="33"/>
          <w:b w:val="1"/>
          <w:bCs w:val="1"/>
          <w:color w:val="auto"/>
          <w:vertAlign w:val="subscript"/>
        </w:rPr>
        <w:t>|</w:t>
      </w:r>
      <w:r>
        <w:rPr>
          <w:sz w:val="20"/>
          <w:szCs w:val="20"/>
          <w:color w:val="auto"/>
        </w:rPr>
        <w:tab/>
      </w:r>
      <w:r>
        <w:rPr>
          <w:rFonts w:ascii="Arial" w:cs="Arial" w:eastAsia="Arial" w:hAnsi="Arial"/>
          <w:sz w:val="16"/>
          <w:szCs w:val="16"/>
          <w:color w:val="auto"/>
        </w:rPr>
        <w:t>2018 Proxy Statement</w:t>
      </w:r>
      <w:r>
        <w:rPr>
          <w:sz w:val="20"/>
          <w:szCs w:val="20"/>
          <w:color w:val="auto"/>
        </w:rPr>
        <w:tab/>
      </w: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7263130" cy="203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1"/>
          </w:cols>
          <w:pgMar w:left="239" w:top="131" w:right="239" w:bottom="1440" w:gutter="0" w:footer="0" w:header="0"/>
        </w:sectPr>
      </w:pPr>
    </w:p>
    <w:bookmarkStart w:id="34" w:name="page35"/>
    <w:bookmarkEnd w:id="34"/>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ind w:right="180"/>
        <w:spacing w:after="0" w:line="264" w:lineRule="auto"/>
        <w:rPr>
          <w:sz w:val="20"/>
          <w:szCs w:val="20"/>
          <w:color w:val="auto"/>
        </w:rPr>
      </w:pPr>
      <w:r>
        <w:rPr>
          <w:rFonts w:ascii="Arial" w:cs="Arial" w:eastAsia="Arial" w:hAnsi="Arial"/>
          <w:sz w:val="16"/>
          <w:szCs w:val="16"/>
          <w:color w:val="auto"/>
        </w:rPr>
        <w:t>to that, from June 2011 to July 2013, Mr. Crosby served as President of Maxum Petroleum, Inc.'s industrial business, including the marine and rail segments, and as President, Commercial Fuel &amp; Lubricants of SC Fuels Trading, LLC from July 2013 to December 2013 following its acquisition of Maxum Petroleum. From January 2009 to December 2010, Mr. Crosby served as Chief Executive Officer of Highlands Override Inc., a new business venture owned by Irving Oil Corporation, a company specializing in finished energy products. From June 2004 to December 2008, Mr. Crosby served as Chief Operating Officer at Irving Oil Corporation, prior to which he was its Chief Resource Officer from November 1999 to May 2004.</w:t>
      </w:r>
    </w:p>
    <w:p>
      <w:pPr>
        <w:spacing w:after="0" w:line="168" w:lineRule="exact"/>
        <w:rPr>
          <w:sz w:val="20"/>
          <w:szCs w:val="20"/>
          <w:color w:val="auto"/>
        </w:rPr>
      </w:pPr>
    </w:p>
    <w:p>
      <w:pPr>
        <w:ind w:right="40" w:firstLine="561"/>
        <w:spacing w:after="0" w:line="263" w:lineRule="auto"/>
        <w:rPr>
          <w:sz w:val="20"/>
          <w:szCs w:val="20"/>
          <w:color w:val="auto"/>
        </w:rPr>
      </w:pPr>
      <w:r>
        <w:rPr>
          <w:rFonts w:ascii="Arial" w:cs="Arial" w:eastAsia="Arial" w:hAnsi="Arial"/>
          <w:sz w:val="16"/>
          <w:szCs w:val="16"/>
          <w:b w:val="1"/>
          <w:bCs w:val="1"/>
          <w:color w:val="auto"/>
        </w:rPr>
        <w:t xml:space="preserve">JOHN P. RAU </w:t>
      </w:r>
      <w:r>
        <w:rPr>
          <w:rFonts w:ascii="Arial" w:cs="Arial" w:eastAsia="Arial" w:hAnsi="Arial"/>
          <w:sz w:val="16"/>
          <w:szCs w:val="16"/>
          <w:color w:val="auto"/>
        </w:rPr>
        <w:t>has served as our Executive Vice President of Global Aviation and Marine since March 2016. Previously, he served as our Executive Vice President of</w:t>
      </w:r>
      <w:r>
        <w:rPr>
          <w:rFonts w:ascii="Arial" w:cs="Arial" w:eastAsia="Arial" w:hAnsi="Arial"/>
          <w:sz w:val="16"/>
          <w:szCs w:val="16"/>
          <w:b w:val="1"/>
          <w:bCs w:val="1"/>
          <w:color w:val="auto"/>
        </w:rPr>
        <w:t xml:space="preserve"> </w:t>
      </w:r>
      <w:r>
        <w:rPr>
          <w:rFonts w:ascii="Arial" w:cs="Arial" w:eastAsia="Arial" w:hAnsi="Arial"/>
          <w:sz w:val="16"/>
          <w:szCs w:val="16"/>
          <w:color w:val="auto"/>
        </w:rPr>
        <w:t>Aviation from April 2014 and as our Senior Vice President of Aviation Americas from October 2011 to April 2014. From July 1995 to October 2011, Mr. Rau served as Managing Director at American Airlines, where he was responsible for the purchase and management of jet fuel, utilities, deicing fluids, and transportation, as well as management of American's supplier diversity program. From January 1987 to July 1995, Mr. Rau served as Manager of Fuel Supply and Trading at United Airlines. Prior to that, he served as United Airlines' Operations Manager from January 1987 to November 1988. From May 1985 to January 1987, Mr. Rau was a Supply, Marketing and Distribution representative for Koch Industries.</w:t>
      </w:r>
    </w:p>
    <w:p>
      <w:pPr>
        <w:spacing w:after="0" w:line="171" w:lineRule="exact"/>
        <w:rPr>
          <w:sz w:val="20"/>
          <w:szCs w:val="20"/>
          <w:color w:val="auto"/>
        </w:rPr>
      </w:pPr>
    </w:p>
    <w:p>
      <w:pPr>
        <w:ind w:right="40" w:firstLine="561"/>
        <w:spacing w:after="0" w:line="260" w:lineRule="auto"/>
        <w:rPr>
          <w:sz w:val="20"/>
          <w:szCs w:val="20"/>
          <w:color w:val="auto"/>
        </w:rPr>
      </w:pPr>
      <w:r>
        <w:rPr>
          <w:rFonts w:ascii="Arial" w:cs="Arial" w:eastAsia="Arial" w:hAnsi="Arial"/>
          <w:sz w:val="16"/>
          <w:szCs w:val="16"/>
          <w:b w:val="1"/>
          <w:bCs w:val="1"/>
          <w:color w:val="auto"/>
        </w:rPr>
        <w:t xml:space="preserve">R. ALEXANDER LAKE, JR. </w:t>
      </w:r>
      <w:r>
        <w:rPr>
          <w:rFonts w:ascii="Arial" w:cs="Arial" w:eastAsia="Arial" w:hAnsi="Arial"/>
          <w:sz w:val="16"/>
          <w:szCs w:val="16"/>
          <w:color w:val="auto"/>
        </w:rPr>
        <w:t>has served as our Executive Vice President, Chief Legal Officer and Corporate Secretary since March 2017. Previously, he served as our</w:t>
      </w:r>
      <w:r>
        <w:rPr>
          <w:rFonts w:ascii="Arial" w:cs="Arial" w:eastAsia="Arial" w:hAnsi="Arial"/>
          <w:sz w:val="16"/>
          <w:szCs w:val="16"/>
          <w:b w:val="1"/>
          <w:bCs w:val="1"/>
          <w:color w:val="auto"/>
        </w:rPr>
        <w:t xml:space="preserve"> </w:t>
      </w:r>
      <w:r>
        <w:rPr>
          <w:rFonts w:ascii="Arial" w:cs="Arial" w:eastAsia="Arial" w:hAnsi="Arial"/>
          <w:sz w:val="16"/>
          <w:szCs w:val="16"/>
          <w:color w:val="auto"/>
        </w:rPr>
        <w:t>Senior Vice President, General Counsel and Corporate Secretary since May 2010 and as our General Counsel and Corporate Secretary from January 2004 to May 2010. Prior to joining us, Mr. Lake served as Assistant General Counsel of America Online Latin America, Inc., a leading interactive service provider in Latin America. Prior to that, from September 1996 to January 2001, Mr. Lake served in private practice as a corporate attorney with the law firms of White &amp; Case, Winston &amp; Strawn and Curtis Mallet-Prevost, Colt &amp; Mosle.</w:t>
      </w:r>
    </w:p>
    <w:p>
      <w:pPr>
        <w:spacing w:after="0" w:line="1" w:lineRule="exact"/>
        <w:rPr>
          <w:sz w:val="20"/>
          <w:szCs w:val="20"/>
          <w:color w:val="auto"/>
        </w:rPr>
      </w:pPr>
    </w:p>
    <w:p>
      <w:pPr>
        <w:jc w:val="right"/>
        <w:spacing w:after="0"/>
        <w:tabs>
          <w:tab w:leader="none" w:pos="1960" w:val="left"/>
          <w:tab w:leader="none" w:pos="1720" w:val="left"/>
          <w:tab w:leader="none" w:pos="14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3"/>
          <w:szCs w:val="33"/>
          <w:b w:val="1"/>
          <w:bCs w:val="1"/>
          <w:color w:val="auto"/>
          <w:vertAlign w:val="subscript"/>
        </w:rPr>
        <w:t>|</w:t>
      </w:r>
      <w:r>
        <w:rPr>
          <w:sz w:val="20"/>
          <w:szCs w:val="20"/>
          <w:color w:val="auto"/>
        </w:rPr>
        <w:tab/>
      </w:r>
      <w:r>
        <w:rPr>
          <w:rFonts w:ascii="Arial" w:cs="Arial" w:eastAsia="Arial" w:hAnsi="Arial"/>
          <w:sz w:val="16"/>
          <w:szCs w:val="16"/>
          <w:color w:val="auto"/>
        </w:rPr>
        <w:t>2018 Proxy Statement</w:t>
      </w:r>
      <w:r>
        <w:rPr>
          <w:sz w:val="20"/>
          <w:szCs w:val="20"/>
          <w:color w:val="auto"/>
        </w:rPr>
        <w:tab/>
      </w: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133350</wp:posOffset>
            </wp:positionV>
            <wp:extent cx="7263130" cy="203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5" w:name="page36"/>
    <w:bookmarkEnd w:id="35"/>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7" w:lineRule="exact"/>
        <w:rPr>
          <w:sz w:val="20"/>
          <w:szCs w:val="20"/>
          <w:color w:val="auto"/>
        </w:rPr>
      </w:pPr>
    </w:p>
    <w:p>
      <w:pPr>
        <w:spacing w:after="0"/>
        <w:tabs>
          <w:tab w:leader="none" w:pos="580" w:val="left"/>
        </w:tabs>
        <w:rPr>
          <w:sz w:val="20"/>
          <w:szCs w:val="20"/>
          <w:color w:val="auto"/>
        </w:rPr>
      </w:pPr>
      <w:r>
        <w:rPr>
          <w:rFonts w:ascii="Arial" w:cs="Arial" w:eastAsia="Arial" w:hAnsi="Arial"/>
          <w:sz w:val="16"/>
          <w:szCs w:val="16"/>
          <w:b w:val="1"/>
          <w:bCs w:val="1"/>
          <w:color w:val="0048E0"/>
        </w:rPr>
        <w:t>IV.</w:t>
      </w:r>
      <w:r>
        <w:rPr>
          <w:sz w:val="20"/>
          <w:szCs w:val="20"/>
          <w:color w:val="auto"/>
        </w:rPr>
        <w:tab/>
      </w:r>
      <w:r>
        <w:rPr>
          <w:rFonts w:ascii="Arial" w:cs="Arial" w:eastAsia="Arial" w:hAnsi="Arial"/>
          <w:sz w:val="16"/>
          <w:szCs w:val="16"/>
          <w:b w:val="1"/>
          <w:bCs w:val="1"/>
          <w:color w:val="0048E0"/>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258685" cy="158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8685" cy="15875"/>
                    </a:xfrm>
                    <a:prstGeom prst="rect">
                      <a:avLst/>
                    </a:prstGeom>
                    <a:noFill/>
                  </pic:spPr>
                </pic:pic>
              </a:graphicData>
            </a:graphic>
          </wp:anchor>
        </w:drawing>
      </w:r>
    </w:p>
    <w:p>
      <w:pPr>
        <w:spacing w:after="0" w:line="219" w:lineRule="exact"/>
        <w:rPr>
          <w:sz w:val="20"/>
          <w:szCs w:val="20"/>
          <w:color w:val="auto"/>
        </w:rPr>
      </w:pPr>
    </w:p>
    <w:p>
      <w:pPr>
        <w:jc w:val="both"/>
        <w:ind w:right="200" w:firstLine="561"/>
        <w:spacing w:after="0" w:line="270" w:lineRule="auto"/>
        <w:rPr>
          <w:sz w:val="20"/>
          <w:szCs w:val="20"/>
          <w:color w:val="auto"/>
        </w:rPr>
      </w:pPr>
      <w:r>
        <w:rPr>
          <w:rFonts w:ascii="Arial" w:cs="Arial" w:eastAsia="Arial" w:hAnsi="Arial"/>
          <w:sz w:val="16"/>
          <w:szCs w:val="16"/>
          <w:i w:val="1"/>
          <w:iCs w:val="1"/>
          <w:color w:val="auto"/>
        </w:rPr>
        <w:t>The following Compensation Discussion and Analysis contains statements regarding future individual and Company performance goals. These performance goals are disclosed in the limited context of our executive compensation program and should not be understood to be statements of management's expectations or estimates of results or other guidance. We specifically caution investors not to apply these statements to other contexts.</w:t>
      </w:r>
    </w:p>
    <w:p>
      <w:pPr>
        <w:spacing w:after="0" w:line="168" w:lineRule="exact"/>
        <w:rPr>
          <w:sz w:val="20"/>
          <w:szCs w:val="20"/>
          <w:color w:val="auto"/>
        </w:rPr>
      </w:pPr>
    </w:p>
    <w:p>
      <w:pPr>
        <w:ind w:right="300" w:firstLine="558"/>
        <w:spacing w:after="0" w:line="285" w:lineRule="auto"/>
        <w:rPr>
          <w:sz w:val="20"/>
          <w:szCs w:val="20"/>
          <w:color w:val="auto"/>
        </w:rPr>
      </w:pPr>
      <w:r>
        <w:rPr>
          <w:rFonts w:ascii="Arial" w:cs="Arial" w:eastAsia="Arial" w:hAnsi="Arial"/>
          <w:sz w:val="15"/>
          <w:szCs w:val="15"/>
          <w:color w:val="auto"/>
        </w:rPr>
        <w:t>This Compensation Discussion and Analysis is designed to provide our shareholders with a clear understanding of our compensation philosophy and objectives, compensation-setting process, and the 2017 compensation of our named executive officers, or NEOs. As discussed in Proposal 2 of this proxy statement, we are conducting a Say-on-Pay vote this year that requests your approval, on a non-binding advisory basis, of the compensation of our NEOs as described in this section and in the tables and accompanying narrative contained below under "Executive Compensation." To assist you with this vote, you should review our compensation philosophy, the design of our executive compensation programs and how, we believe, these programs contribute to our financial performance.</w:t>
      </w:r>
    </w:p>
    <w:p>
      <w:pPr>
        <w:spacing w:after="0" w:line="16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For 2017, our NEOs were:</w:t>
      </w:r>
    </w:p>
    <w:p>
      <w:pPr>
        <w:spacing w:after="0" w:line="207"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1940" w:type="dxa"/>
            <w:vAlign w:val="bottom"/>
            <w:gridSpan w:val="2"/>
          </w:tcPr>
          <w:p>
            <w:pPr>
              <w:spacing w:after="0"/>
              <w:rPr>
                <w:sz w:val="20"/>
                <w:szCs w:val="20"/>
                <w:color w:val="auto"/>
              </w:rPr>
            </w:pPr>
            <w:r>
              <w:rPr>
                <w:rFonts w:ascii="Arial" w:cs="Arial" w:eastAsia="Arial" w:hAnsi="Arial"/>
                <w:sz w:val="12"/>
                <w:szCs w:val="12"/>
                <w:b w:val="1"/>
                <w:bCs w:val="1"/>
                <w:color w:val="auto"/>
              </w:rPr>
              <w:t>Name</w:t>
            </w:r>
          </w:p>
        </w:tc>
        <w:tc>
          <w:tcPr>
            <w:tcW w:w="7200" w:type="dxa"/>
            <w:vAlign w:val="bottom"/>
            <w:gridSpan w:val="2"/>
          </w:tcPr>
          <w:p>
            <w:pPr>
              <w:ind w:left="140"/>
              <w:spacing w:after="0"/>
              <w:rPr>
                <w:sz w:val="20"/>
                <w:szCs w:val="20"/>
                <w:color w:val="auto"/>
              </w:rPr>
            </w:pPr>
            <w:r>
              <w:rPr>
                <w:rFonts w:ascii="Arial" w:cs="Arial" w:eastAsia="Arial" w:hAnsi="Arial"/>
                <w:sz w:val="12"/>
                <w:szCs w:val="12"/>
                <w:b w:val="1"/>
                <w:bCs w:val="1"/>
                <w:color w:val="auto"/>
              </w:rPr>
              <w:t>Title</w:t>
            </w:r>
          </w:p>
        </w:tc>
      </w:tr>
      <w:tr>
        <w:trPr>
          <w:trHeight w:val="190"/>
        </w:trPr>
        <w:tc>
          <w:tcPr>
            <w:tcW w:w="20" w:type="dxa"/>
            <w:vAlign w:val="bottom"/>
          </w:tcPr>
          <w:p>
            <w:pPr>
              <w:spacing w:after="0"/>
              <w:rPr>
                <w:sz w:val="16"/>
                <w:szCs w:val="16"/>
                <w:color w:val="auto"/>
              </w:rPr>
            </w:pPr>
          </w:p>
        </w:tc>
        <w:tc>
          <w:tcPr>
            <w:tcW w:w="1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Michael J. Kasbar</w:t>
            </w:r>
          </w:p>
        </w:tc>
        <w:tc>
          <w:tcPr>
            <w:tcW w:w="140" w:type="dxa"/>
            <w:vAlign w:val="bottom"/>
            <w:shd w:val="clear" w:color="auto" w:fill="CCEEFF"/>
          </w:tcPr>
          <w:p>
            <w:pPr>
              <w:spacing w:after="0"/>
              <w:rPr>
                <w:sz w:val="16"/>
                <w:szCs w:val="16"/>
                <w:color w:val="auto"/>
              </w:rPr>
            </w:pPr>
          </w:p>
        </w:tc>
        <w:tc>
          <w:tcPr>
            <w:tcW w:w="7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Chairman, President and Chief Executive Officer</w:t>
            </w:r>
          </w:p>
        </w:tc>
      </w:tr>
      <w:tr>
        <w:trPr>
          <w:trHeight w:val="197"/>
        </w:trPr>
        <w:tc>
          <w:tcPr>
            <w:tcW w:w="20" w:type="dxa"/>
            <w:vAlign w:val="bottom"/>
          </w:tcPr>
          <w:p>
            <w:pPr>
              <w:spacing w:after="0"/>
              <w:rPr>
                <w:sz w:val="17"/>
                <w:szCs w:val="17"/>
                <w:color w:val="auto"/>
              </w:rPr>
            </w:pPr>
          </w:p>
        </w:tc>
        <w:tc>
          <w:tcPr>
            <w:tcW w:w="1920" w:type="dxa"/>
            <w:vAlign w:val="bottom"/>
          </w:tcPr>
          <w:p>
            <w:pPr>
              <w:spacing w:after="0"/>
              <w:rPr>
                <w:sz w:val="20"/>
                <w:szCs w:val="20"/>
                <w:color w:val="auto"/>
              </w:rPr>
            </w:pPr>
            <w:r>
              <w:rPr>
                <w:rFonts w:ascii="Arial" w:cs="Arial" w:eastAsia="Arial" w:hAnsi="Arial"/>
                <w:sz w:val="16"/>
                <w:szCs w:val="16"/>
                <w:color w:val="auto"/>
              </w:rPr>
              <w:t>Ira M. Birns</w:t>
            </w:r>
          </w:p>
        </w:tc>
        <w:tc>
          <w:tcPr>
            <w:tcW w:w="7200" w:type="dxa"/>
            <w:vAlign w:val="bottom"/>
            <w:gridSpan w:val="2"/>
          </w:tcPr>
          <w:p>
            <w:pPr>
              <w:ind w:left="140"/>
              <w:spacing w:after="0"/>
              <w:rPr>
                <w:sz w:val="20"/>
                <w:szCs w:val="20"/>
                <w:color w:val="auto"/>
              </w:rPr>
            </w:pPr>
            <w:r>
              <w:rPr>
                <w:rFonts w:ascii="Arial" w:cs="Arial" w:eastAsia="Arial" w:hAnsi="Arial"/>
                <w:sz w:val="16"/>
                <w:szCs w:val="16"/>
                <w:color w:val="auto"/>
              </w:rPr>
              <w:t>Executive Vice President and Chief Financial Officer</w:t>
            </w:r>
          </w:p>
        </w:tc>
      </w:tr>
      <w:tr>
        <w:trPr>
          <w:trHeight w:val="197"/>
        </w:trPr>
        <w:tc>
          <w:tcPr>
            <w:tcW w:w="20" w:type="dxa"/>
            <w:vAlign w:val="bottom"/>
          </w:tcPr>
          <w:p>
            <w:pPr>
              <w:spacing w:after="0"/>
              <w:rPr>
                <w:sz w:val="17"/>
                <w:szCs w:val="17"/>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6"/>
                <w:szCs w:val="16"/>
                <w:color w:val="auto"/>
              </w:rPr>
              <w:t>Jeffrey P. Smith</w:t>
            </w:r>
          </w:p>
        </w:tc>
        <w:tc>
          <w:tcPr>
            <w:tcW w:w="72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Executive Vice President and Chief Operating Officer</w:t>
            </w:r>
          </w:p>
        </w:tc>
      </w:tr>
      <w:tr>
        <w:trPr>
          <w:trHeight w:val="197"/>
        </w:trPr>
        <w:tc>
          <w:tcPr>
            <w:tcW w:w="20" w:type="dxa"/>
            <w:vAlign w:val="bottom"/>
          </w:tcPr>
          <w:p>
            <w:pPr>
              <w:spacing w:after="0"/>
              <w:rPr>
                <w:sz w:val="17"/>
                <w:szCs w:val="17"/>
                <w:color w:val="auto"/>
              </w:rPr>
            </w:pPr>
          </w:p>
        </w:tc>
        <w:tc>
          <w:tcPr>
            <w:tcW w:w="1920" w:type="dxa"/>
            <w:vAlign w:val="bottom"/>
          </w:tcPr>
          <w:p>
            <w:pPr>
              <w:spacing w:after="0"/>
              <w:rPr>
                <w:sz w:val="20"/>
                <w:szCs w:val="20"/>
                <w:color w:val="auto"/>
              </w:rPr>
            </w:pPr>
            <w:r>
              <w:rPr>
                <w:rFonts w:ascii="Arial" w:cs="Arial" w:eastAsia="Arial" w:hAnsi="Arial"/>
                <w:sz w:val="16"/>
                <w:szCs w:val="16"/>
                <w:color w:val="auto"/>
              </w:rPr>
              <w:t>Michael J. Crosby</w:t>
            </w:r>
          </w:p>
        </w:tc>
        <w:tc>
          <w:tcPr>
            <w:tcW w:w="7200" w:type="dxa"/>
            <w:vAlign w:val="bottom"/>
            <w:gridSpan w:val="2"/>
          </w:tcPr>
          <w:p>
            <w:pPr>
              <w:ind w:left="140"/>
              <w:spacing w:after="0"/>
              <w:rPr>
                <w:sz w:val="20"/>
                <w:szCs w:val="20"/>
                <w:color w:val="auto"/>
              </w:rPr>
            </w:pPr>
            <w:r>
              <w:rPr>
                <w:rFonts w:ascii="Arial" w:cs="Arial" w:eastAsia="Arial" w:hAnsi="Arial"/>
                <w:sz w:val="16"/>
                <w:szCs w:val="16"/>
                <w:color w:val="auto"/>
              </w:rPr>
              <w:t>Executive Vice President, Global Land</w:t>
            </w:r>
          </w:p>
        </w:tc>
      </w:tr>
      <w:tr>
        <w:trPr>
          <w:trHeight w:val="197"/>
        </w:trPr>
        <w:tc>
          <w:tcPr>
            <w:tcW w:w="20" w:type="dxa"/>
            <w:vAlign w:val="bottom"/>
          </w:tcPr>
          <w:p>
            <w:pPr>
              <w:spacing w:after="0"/>
              <w:rPr>
                <w:sz w:val="17"/>
                <w:szCs w:val="17"/>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6"/>
                <w:szCs w:val="16"/>
                <w:color w:val="auto"/>
              </w:rPr>
              <w:t>John P. Rau</w:t>
            </w:r>
          </w:p>
        </w:tc>
        <w:tc>
          <w:tcPr>
            <w:tcW w:w="72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Executive Vice President, Global Aviation and Marine</w:t>
            </w:r>
          </w:p>
        </w:tc>
      </w:tr>
    </w:tbl>
    <w:p>
      <w:pPr>
        <w:spacing w:after="0" w:line="188" w:lineRule="exact"/>
        <w:rPr>
          <w:sz w:val="20"/>
          <w:szCs w:val="20"/>
          <w:color w:val="auto"/>
        </w:rPr>
      </w:pPr>
    </w:p>
    <w:p>
      <w:pPr>
        <w:ind w:firstLine="552"/>
        <w:spacing w:after="0" w:line="264" w:lineRule="auto"/>
        <w:rPr>
          <w:sz w:val="20"/>
          <w:szCs w:val="20"/>
          <w:color w:val="auto"/>
        </w:rPr>
      </w:pPr>
      <w:r>
        <w:rPr>
          <w:rFonts w:ascii="Arial" w:cs="Arial" w:eastAsia="Arial" w:hAnsi="Arial"/>
          <w:sz w:val="16"/>
          <w:szCs w:val="16"/>
          <w:color w:val="auto"/>
        </w:rPr>
        <w:t>As part of our organizational strategy to drive improved operational performance, we created a new leadership position with the goal of accelerating our digital transformation. Effective, October 16, 2017, the Board appointed Mr. Smith to the position of Executive Vice President and Chief Operating Officer. We anticipate that Mr. Smith will bring his extensive operational and management experience in driving global transformation to complex operating models to this new role. In connection with his appointment, the Compensation Committee, or the Committee, approved certain compensation actions for Mr. Smith, including equity awards, which actions are described under "2017 Compensation Program—2017 Compensation."</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Executive Summary</w:t>
      </w:r>
    </w:p>
    <w:p>
      <w:pPr>
        <w:spacing w:after="0" w:line="215" w:lineRule="exact"/>
        <w:rPr>
          <w:sz w:val="20"/>
          <w:szCs w:val="20"/>
          <w:color w:val="auto"/>
        </w:rPr>
      </w:pPr>
    </w:p>
    <w:p>
      <w:pPr>
        <w:ind w:right="20" w:firstLine="561"/>
        <w:spacing w:after="0" w:line="276" w:lineRule="auto"/>
        <w:rPr>
          <w:sz w:val="20"/>
          <w:szCs w:val="20"/>
          <w:color w:val="auto"/>
        </w:rPr>
      </w:pPr>
      <w:r>
        <w:rPr>
          <w:rFonts w:ascii="Arial" w:cs="Arial" w:eastAsia="Arial" w:hAnsi="Arial"/>
          <w:sz w:val="15"/>
          <w:szCs w:val="15"/>
          <w:color w:val="auto"/>
        </w:rPr>
        <w:t>Our compensation program is designed to attract and retain executives and motivate them to deliver strong financial results. We structure our compensation program to directly align our compensation levels with our current and future performance that creates value for shareholders. As a result, a significant percentage of the total target compensation for our Chief Executive Officer and for all other NEOs in 2017 was a combination of short- and long-term performance-based or equity-based awards such that the ultimate realizable value would be highly contingent upon our future operating results and stock price. For 2017, 87% of the total target direct compensation of our Chief Executive Officer was variable or "at-risk" and an average of 79% of the total target direct compensation of our</w:t>
      </w:r>
    </w:p>
    <w:p>
      <w:pPr>
        <w:spacing w:after="0" w:line="2" w:lineRule="exact"/>
        <w:rPr>
          <w:sz w:val="20"/>
          <w:szCs w:val="20"/>
          <w:color w:val="auto"/>
        </w:rPr>
      </w:pPr>
    </w:p>
    <w:p>
      <w:pPr>
        <w:jc w:val="right"/>
        <w:spacing w:after="0"/>
        <w:tabs>
          <w:tab w:leader="none" w:pos="1960" w:val="left"/>
          <w:tab w:leader="none" w:pos="1720" w:val="left"/>
          <w:tab w:leader="none" w:pos="14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3"/>
          <w:szCs w:val="33"/>
          <w:b w:val="1"/>
          <w:bCs w:val="1"/>
          <w:color w:val="auto"/>
          <w:vertAlign w:val="subscript"/>
        </w:rPr>
        <w:t>|</w:t>
      </w:r>
      <w:r>
        <w:rPr>
          <w:sz w:val="20"/>
          <w:szCs w:val="20"/>
          <w:color w:val="auto"/>
        </w:rPr>
        <w:tab/>
      </w:r>
      <w:r>
        <w:rPr>
          <w:rFonts w:ascii="Arial" w:cs="Arial" w:eastAsia="Arial" w:hAnsi="Arial"/>
          <w:sz w:val="16"/>
          <w:szCs w:val="16"/>
          <w:color w:val="auto"/>
        </w:rPr>
        <w:t>2018 Proxy Statement</w:t>
      </w:r>
      <w:r>
        <w:rPr>
          <w:sz w:val="20"/>
          <w:szCs w:val="20"/>
          <w:color w:val="auto"/>
        </w:rPr>
        <w:tab/>
      </w: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133350</wp:posOffset>
            </wp:positionV>
            <wp:extent cx="7263130" cy="203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6" w:name="page37"/>
    <w:bookmarkEnd w:id="36"/>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other NEOs who were employed at the time the 2017 compensation decisions were made was variable or "at-risk".</w:t>
      </w:r>
    </w:p>
    <w:p>
      <w:pPr>
        <w:spacing w:after="0" w:line="211" w:lineRule="exact"/>
        <w:rPr>
          <w:sz w:val="20"/>
          <w:szCs w:val="20"/>
          <w:color w:val="auto"/>
        </w:rPr>
      </w:pPr>
    </w:p>
    <w:p>
      <w:pPr>
        <w:ind w:left="2240"/>
        <w:spacing w:after="0"/>
        <w:tabs>
          <w:tab w:leader="none" w:pos="6700" w:val="left"/>
        </w:tabs>
        <w:rPr>
          <w:sz w:val="20"/>
          <w:szCs w:val="20"/>
          <w:color w:val="auto"/>
        </w:rPr>
      </w:pPr>
      <w:r>
        <w:rPr>
          <w:rFonts w:ascii="Arial" w:cs="Arial" w:eastAsia="Arial" w:hAnsi="Arial"/>
          <w:sz w:val="16"/>
          <w:szCs w:val="16"/>
          <w:u w:val="single" w:color="auto"/>
          <w:color w:val="auto"/>
        </w:rPr>
        <w:t>CEO Target Direct Compensation</w:t>
      </w:r>
      <w:r>
        <w:rPr>
          <w:sz w:val="20"/>
          <w:szCs w:val="20"/>
          <w:color w:val="auto"/>
        </w:rPr>
        <w:tab/>
      </w:r>
      <w:r>
        <w:rPr>
          <w:rFonts w:ascii="Arial" w:cs="Arial" w:eastAsia="Arial" w:hAnsi="Arial"/>
          <w:sz w:val="14"/>
          <w:szCs w:val="14"/>
          <w:u w:val="single" w:color="auto"/>
          <w:color w:val="auto"/>
        </w:rPr>
        <w:t>Average NEO Target Direct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891540</wp:posOffset>
            </wp:positionH>
            <wp:positionV relativeFrom="paragraph">
              <wp:posOffset>154940</wp:posOffset>
            </wp:positionV>
            <wp:extent cx="5473065" cy="14566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473065" cy="1456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80" w:firstLine="561"/>
        <w:spacing w:after="0" w:line="289" w:lineRule="auto"/>
        <w:rPr>
          <w:sz w:val="20"/>
          <w:szCs w:val="20"/>
          <w:color w:val="auto"/>
        </w:rPr>
      </w:pPr>
      <w:r>
        <w:rPr>
          <w:rFonts w:ascii="Arial" w:cs="Arial" w:eastAsia="Arial" w:hAnsi="Arial"/>
          <w:sz w:val="15"/>
          <w:szCs w:val="15"/>
          <w:color w:val="auto"/>
        </w:rPr>
        <w:t>Despite significant accomplishments in implementing aspects of our strategic plan, our financial results during 2017 continued to be impacted by challenging market conditions that affected our business. Our executive compensation reflected these results and our NEOs did not receive payouts under our annual cash incentive awards and only a very small payout under our equity awards that was tied to our annual net after-tax income ("Net Income") and Earnings-Per-Share ("EPS") and our CEO received only 38.5% of his total target direct compensation. We believe that this demonstrates that, as designed, our compensation program pays for performance.</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Compensation Philosophy and Objectives</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Pay for Performance Alignment</w:t>
      </w:r>
    </w:p>
    <w:p>
      <w:pPr>
        <w:spacing w:after="0" w:line="211" w:lineRule="exact"/>
        <w:rPr>
          <w:sz w:val="20"/>
          <w:szCs w:val="20"/>
          <w:color w:val="auto"/>
        </w:rPr>
      </w:pPr>
    </w:p>
    <w:p>
      <w:pPr>
        <w:ind w:right="280" w:firstLine="552"/>
        <w:spacing w:after="0" w:line="266" w:lineRule="auto"/>
        <w:rPr>
          <w:sz w:val="20"/>
          <w:szCs w:val="20"/>
          <w:color w:val="auto"/>
        </w:rPr>
      </w:pPr>
      <w:r>
        <w:rPr>
          <w:rFonts w:ascii="Arial" w:cs="Arial" w:eastAsia="Arial" w:hAnsi="Arial"/>
          <w:sz w:val="16"/>
          <w:szCs w:val="16"/>
          <w:color w:val="auto"/>
        </w:rPr>
        <w:t>A guiding principle of our compensation philosophy is that the compensation of our NEOs should be closely linked with, and reasonable in relation to, the level of shareholder value created through the Company's financial, operating and strategic performance. The Committee believes that the use of incentive compensation, particularly equity-based awards, together with stock ownership and retention guidelines are effective methods for motivating our executives and aligning their interests with those of our shareholders.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Performance Metrics Aligned with Value Creation</w:t>
      </w:r>
    </w:p>
    <w:p>
      <w:pPr>
        <w:spacing w:after="0" w:line="211" w:lineRule="exact"/>
        <w:rPr>
          <w:sz w:val="20"/>
          <w:szCs w:val="20"/>
          <w:color w:val="auto"/>
        </w:rPr>
      </w:pPr>
    </w:p>
    <w:p>
      <w:pPr>
        <w:ind w:right="120" w:firstLine="561"/>
        <w:spacing w:after="0" w:line="262" w:lineRule="auto"/>
        <w:rPr>
          <w:sz w:val="20"/>
          <w:szCs w:val="20"/>
          <w:color w:val="auto"/>
        </w:rPr>
      </w:pPr>
      <w:r>
        <w:rPr>
          <w:rFonts w:ascii="Arial" w:cs="Arial" w:eastAsia="Arial" w:hAnsi="Arial"/>
          <w:sz w:val="16"/>
          <w:szCs w:val="16"/>
          <w:color w:val="auto"/>
        </w:rPr>
        <w:t>Consistent with our objective of rewarding shareholder value creation, we select performance metrics that we believe, if achieved, will most directly translate into both strong short-term financial performance and long-term value thereby resulting in higher share prices. As a result, we principally use annual financial metrics, such as our Net Income/EPS, the level of operating income ("Operating Income") for key "lines-of-sight" ("LOS") and our three-year compound annual growth ("CAGR") in EPS to reward our NEOs. In addition, to a lesser extent, we reward achievement of individual performance metrics that we believe will help us achieve our strategic objectives. Due to the variability of business conditions within the industries in which we operate, we believe it is important that our compensation program is designed to measure and reward short-term, long-term and multi-year performance.</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Ensuring Retention and Continued Engagement through Multi-Year Vesting Requirements</w:t>
      </w:r>
    </w:p>
    <w:p>
      <w:pPr>
        <w:spacing w:after="0" w:line="211" w:lineRule="exact"/>
        <w:rPr>
          <w:sz w:val="20"/>
          <w:szCs w:val="20"/>
          <w:color w:val="auto"/>
        </w:rPr>
      </w:pPr>
    </w:p>
    <w:p>
      <w:pPr>
        <w:ind w:right="260" w:firstLine="561"/>
        <w:spacing w:after="0" w:line="262" w:lineRule="auto"/>
        <w:rPr>
          <w:sz w:val="20"/>
          <w:szCs w:val="20"/>
          <w:color w:val="auto"/>
        </w:rPr>
      </w:pPr>
      <w:r>
        <w:rPr>
          <w:rFonts w:ascii="Arial" w:cs="Arial" w:eastAsia="Arial" w:hAnsi="Arial"/>
          <w:sz w:val="16"/>
          <w:szCs w:val="16"/>
          <w:color w:val="auto"/>
        </w:rPr>
        <w:t>In order to promote retention of our NEOs and provide further incentive for creating shareholder value, we believe NEOs should be required to provide services over multi-year periods in</w:t>
      </w:r>
    </w:p>
    <w:p>
      <w:pPr>
        <w:jc w:val="right"/>
        <w:spacing w:after="0"/>
        <w:tabs>
          <w:tab w:leader="none" w:pos="1960" w:val="left"/>
          <w:tab w:leader="none" w:pos="1720" w:val="left"/>
          <w:tab w:leader="none" w:pos="14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3"/>
          <w:szCs w:val="33"/>
          <w:b w:val="1"/>
          <w:bCs w:val="1"/>
          <w:color w:val="auto"/>
          <w:vertAlign w:val="subscript"/>
        </w:rPr>
        <w:t>|</w:t>
      </w:r>
      <w:r>
        <w:rPr>
          <w:sz w:val="20"/>
          <w:szCs w:val="20"/>
          <w:color w:val="auto"/>
        </w:rPr>
        <w:tab/>
      </w:r>
      <w:r>
        <w:rPr>
          <w:rFonts w:ascii="Arial" w:cs="Arial" w:eastAsia="Arial" w:hAnsi="Arial"/>
          <w:sz w:val="16"/>
          <w:szCs w:val="16"/>
          <w:color w:val="auto"/>
        </w:rPr>
        <w:t>2018 Proxy Statement</w:t>
      </w:r>
      <w:r>
        <w:rPr>
          <w:sz w:val="20"/>
          <w:szCs w:val="20"/>
          <w:color w:val="auto"/>
        </w:rPr>
        <w:tab/>
      </w: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133350</wp:posOffset>
            </wp:positionV>
            <wp:extent cx="7263130" cy="203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7" w:name="page38"/>
    <w:bookmarkEnd w:id="37"/>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order to vest in equity-based awards. Consequently, all of the equity awards granted to our NEOs in 2017 vest over a three or five-year period.</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Strong Compensation-Related Corporate Governance Policies</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5"/>
          <w:szCs w:val="15"/>
          <w:color w:val="auto"/>
        </w:rPr>
        <w:t>To ensure continued alignment of compensation with Company performance and the creation of shareholder value without encouraging excessive risk-taking,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Committee has adopted strong compensation-related corporate governance policies, including the following:</w:t>
      </w:r>
    </w:p>
    <w:p>
      <w:pPr>
        <w:spacing w:after="0" w:line="215" w:lineRule="exact"/>
        <w:rPr>
          <w:sz w:val="20"/>
          <w:szCs w:val="20"/>
          <w:color w:val="auto"/>
        </w:rPr>
      </w:pPr>
    </w:p>
    <w:p>
      <w:pPr>
        <w:ind w:left="980" w:right="180" w:hanging="488"/>
        <w:spacing w:after="0" w:line="284" w:lineRule="auto"/>
        <w:tabs>
          <w:tab w:leader="none" w:pos="980" w:val="left"/>
        </w:tabs>
        <w:numPr>
          <w:ilvl w:val="0"/>
          <w:numId w:val="42"/>
        </w:numPr>
        <w:rPr>
          <w:rFonts w:ascii="Arial" w:cs="Arial" w:eastAsia="Arial" w:hAnsi="Arial"/>
          <w:sz w:val="16"/>
          <w:szCs w:val="16"/>
          <w:color w:val="auto"/>
        </w:rPr>
      </w:pPr>
      <w:r>
        <w:rPr>
          <w:rFonts w:ascii="Arial" w:cs="Arial" w:eastAsia="Arial" w:hAnsi="Arial"/>
          <w:sz w:val="16"/>
          <w:szCs w:val="16"/>
          <w:i w:val="1"/>
          <w:iCs w:val="1"/>
          <w:color w:val="auto"/>
        </w:rPr>
        <w:t>Negative Discretion on Annual Compensation</w:t>
      </w:r>
      <w:r>
        <w:rPr>
          <w:rFonts w:ascii="Arial" w:cs="Arial" w:eastAsia="Arial" w:hAnsi="Arial"/>
          <w:sz w:val="16"/>
          <w:szCs w:val="16"/>
          <w:color w:val="auto"/>
        </w:rPr>
        <w:t>—The Committee can use "negative discretion" to reduce payouts, such as in the event of a significant disconnect</w:t>
      </w:r>
      <w:r>
        <w:rPr>
          <w:rFonts w:ascii="Arial" w:cs="Arial" w:eastAsia="Arial" w:hAnsi="Arial"/>
          <w:sz w:val="16"/>
          <w:szCs w:val="16"/>
          <w:i w:val="1"/>
          <w:iCs w:val="1"/>
          <w:color w:val="auto"/>
        </w:rPr>
        <w:t xml:space="preserve"> </w:t>
      </w:r>
      <w:r>
        <w:rPr>
          <w:rFonts w:ascii="Arial" w:cs="Arial" w:eastAsia="Arial" w:hAnsi="Arial"/>
          <w:sz w:val="16"/>
          <w:szCs w:val="16"/>
          <w:color w:val="auto"/>
        </w:rPr>
        <w:t>between compensation and Company and individual performance.</w:t>
      </w:r>
    </w:p>
    <w:p>
      <w:pPr>
        <w:spacing w:after="0" w:line="181" w:lineRule="exact"/>
        <w:rPr>
          <w:rFonts w:ascii="Arial" w:cs="Arial" w:eastAsia="Arial" w:hAnsi="Arial"/>
          <w:sz w:val="16"/>
          <w:szCs w:val="16"/>
          <w:color w:val="auto"/>
        </w:rPr>
      </w:pPr>
    </w:p>
    <w:p>
      <w:pPr>
        <w:ind w:left="980" w:right="80" w:hanging="488"/>
        <w:spacing w:after="0" w:line="270" w:lineRule="auto"/>
        <w:tabs>
          <w:tab w:leader="none" w:pos="980" w:val="left"/>
        </w:tabs>
        <w:numPr>
          <w:ilvl w:val="0"/>
          <w:numId w:val="42"/>
        </w:numPr>
        <w:rPr>
          <w:rFonts w:ascii="Arial" w:cs="Arial" w:eastAsia="Arial" w:hAnsi="Arial"/>
          <w:sz w:val="16"/>
          <w:szCs w:val="16"/>
          <w:color w:val="auto"/>
        </w:rPr>
      </w:pPr>
      <w:r>
        <w:rPr>
          <w:rFonts w:ascii="Arial" w:cs="Arial" w:eastAsia="Arial" w:hAnsi="Arial"/>
          <w:sz w:val="16"/>
          <w:szCs w:val="16"/>
          <w:i w:val="1"/>
          <w:iCs w:val="1"/>
          <w:color w:val="auto"/>
        </w:rPr>
        <w:t>Cap on Annual Incentive Awards</w:t>
      </w:r>
      <w:r>
        <w:rPr>
          <w:rFonts w:ascii="Arial" w:cs="Arial" w:eastAsia="Arial" w:hAnsi="Arial"/>
          <w:sz w:val="16"/>
          <w:szCs w:val="16"/>
          <w:color w:val="auto"/>
        </w:rPr>
        <w:t>—Annual cash incentive awards and annual equity performance-based awards under our comprehensive incentive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program, or annual incentive program, are subject to a maximum, and the total direct compensation that can be earned by any of our NEOs under the annual incentive program is capped.</w:t>
      </w:r>
    </w:p>
    <w:p>
      <w:pPr>
        <w:spacing w:after="0" w:line="180" w:lineRule="exact"/>
        <w:rPr>
          <w:rFonts w:ascii="Arial" w:cs="Arial" w:eastAsia="Arial" w:hAnsi="Arial"/>
          <w:sz w:val="16"/>
          <w:szCs w:val="16"/>
          <w:color w:val="auto"/>
        </w:rPr>
      </w:pPr>
    </w:p>
    <w:p>
      <w:pPr>
        <w:ind w:left="980" w:hanging="488"/>
        <w:spacing w:after="0" w:line="262" w:lineRule="auto"/>
        <w:tabs>
          <w:tab w:leader="none" w:pos="980" w:val="left"/>
        </w:tabs>
        <w:numPr>
          <w:ilvl w:val="0"/>
          <w:numId w:val="42"/>
        </w:numPr>
        <w:rPr>
          <w:rFonts w:ascii="Arial" w:cs="Arial" w:eastAsia="Arial" w:hAnsi="Arial"/>
          <w:sz w:val="16"/>
          <w:szCs w:val="16"/>
          <w:color w:val="auto"/>
        </w:rPr>
      </w:pPr>
      <w:r>
        <w:rPr>
          <w:rFonts w:ascii="Arial" w:cs="Arial" w:eastAsia="Arial" w:hAnsi="Arial"/>
          <w:sz w:val="16"/>
          <w:szCs w:val="16"/>
          <w:i w:val="1"/>
          <w:iCs w:val="1"/>
          <w:color w:val="auto"/>
        </w:rPr>
        <w:t>Stock Ownership and Retention Guidelines</w:t>
      </w:r>
      <w:r>
        <w:rPr>
          <w:rFonts w:ascii="Arial" w:cs="Arial" w:eastAsia="Arial" w:hAnsi="Arial"/>
          <w:sz w:val="16"/>
          <w:szCs w:val="16"/>
          <w:color w:val="auto"/>
        </w:rPr>
        <w:t>—Our executive officers are subject to stock ownership guidelines. Our current stock ownership guidelines range from</w:t>
      </w:r>
      <w:r>
        <w:rPr>
          <w:rFonts w:ascii="Arial" w:cs="Arial" w:eastAsia="Arial" w:hAnsi="Arial"/>
          <w:sz w:val="16"/>
          <w:szCs w:val="16"/>
          <w:i w:val="1"/>
          <w:iCs w:val="1"/>
          <w:color w:val="auto"/>
        </w:rPr>
        <w:t xml:space="preserve"> </w:t>
      </w:r>
      <w:r>
        <w:rPr>
          <w:rFonts w:ascii="Arial" w:cs="Arial" w:eastAsia="Arial" w:hAnsi="Arial"/>
          <w:sz w:val="16"/>
          <w:szCs w:val="16"/>
          <w:color w:val="auto"/>
        </w:rPr>
        <w:t>7x base salary for our Chief Executive Officer to 5x for our Chief Financial Officer and 3x for all other executive officers. The stock ownership guidelines provide that executive officers must attain the applicable ownership requirement within five years of the date such individual becomes an executive officer. Shares that are pledged as collateral are excluded from such calculations. Furthermore, our executive officers are required to retain 50% of any net shares acquired pursuant to any equity award for three years after the shares are delivered (or until the individual ceases to be a NEO, if earlier). As of December 31, 2017, all of our NEOs were in compliance with the stock ownership requirements.</w:t>
      </w:r>
    </w:p>
    <w:p>
      <w:pPr>
        <w:spacing w:after="0" w:line="188" w:lineRule="exact"/>
        <w:rPr>
          <w:rFonts w:ascii="Arial" w:cs="Arial" w:eastAsia="Arial" w:hAnsi="Arial"/>
          <w:sz w:val="16"/>
          <w:szCs w:val="16"/>
          <w:color w:val="auto"/>
        </w:rPr>
      </w:pPr>
    </w:p>
    <w:p>
      <w:pPr>
        <w:ind w:left="980" w:right="40" w:hanging="488"/>
        <w:spacing w:after="0" w:line="266" w:lineRule="auto"/>
        <w:tabs>
          <w:tab w:leader="none" w:pos="980" w:val="left"/>
        </w:tabs>
        <w:numPr>
          <w:ilvl w:val="0"/>
          <w:numId w:val="42"/>
        </w:numPr>
        <w:rPr>
          <w:rFonts w:ascii="Arial" w:cs="Arial" w:eastAsia="Arial" w:hAnsi="Arial"/>
          <w:sz w:val="16"/>
          <w:szCs w:val="16"/>
          <w:color w:val="auto"/>
        </w:rPr>
      </w:pPr>
      <w:r>
        <w:rPr>
          <w:rFonts w:ascii="Arial" w:cs="Arial" w:eastAsia="Arial" w:hAnsi="Arial"/>
          <w:sz w:val="16"/>
          <w:szCs w:val="16"/>
          <w:i w:val="1"/>
          <w:iCs w:val="1"/>
          <w:color w:val="auto"/>
        </w:rPr>
        <w:t>Anti-Hedging Policy</w:t>
      </w:r>
      <w:r>
        <w:rPr>
          <w:rFonts w:ascii="Arial" w:cs="Arial" w:eastAsia="Arial" w:hAnsi="Arial"/>
          <w:sz w:val="16"/>
          <w:szCs w:val="16"/>
          <w:color w:val="auto"/>
        </w:rPr>
        <w:t>—We have a robust anti-hedging policy that prohibits all of our directors, executive officers and employees from (1) engaging in hedging or</w:t>
      </w:r>
      <w:r>
        <w:rPr>
          <w:rFonts w:ascii="Arial" w:cs="Arial" w:eastAsia="Arial" w:hAnsi="Arial"/>
          <w:sz w:val="16"/>
          <w:szCs w:val="16"/>
          <w:i w:val="1"/>
          <w:iCs w:val="1"/>
          <w:color w:val="auto"/>
        </w:rPr>
        <w:t xml:space="preserve"> </w:t>
      </w:r>
      <w:r>
        <w:rPr>
          <w:rFonts w:ascii="Arial" w:cs="Arial" w:eastAsia="Arial" w:hAnsi="Arial"/>
          <w:sz w:val="16"/>
          <w:szCs w:val="16"/>
          <w:color w:val="auto"/>
        </w:rPr>
        <w:t>monetization transactions, such as prepaid variable forward contracts, equity swaps, collars and exchange funds, which are designed to hedge or offset any decrease in the market value of our common stock or (2) buying or selling of publicly traded options based on our common stock or engaging in short sales of our securities.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The Compensation-Setting Process</w:t>
      </w:r>
    </w:p>
    <w:p>
      <w:pPr>
        <w:spacing w:after="0" w:line="21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Annually, the Committee reviews and assesses:</w:t>
      </w:r>
    </w:p>
    <w:p>
      <w:pPr>
        <w:spacing w:after="0" w:line="235" w:lineRule="exact"/>
        <w:rPr>
          <w:sz w:val="20"/>
          <w:szCs w:val="20"/>
          <w:color w:val="auto"/>
        </w:rPr>
      </w:pPr>
    </w:p>
    <w:p>
      <w:pPr>
        <w:ind w:left="980" w:right="60" w:hanging="488"/>
        <w:spacing w:after="0" w:line="284" w:lineRule="auto"/>
        <w:tabs>
          <w:tab w:leader="none" w:pos="9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with respect to each NEO, his responsibilities and roles with respect to overall corporate policy-making and strategy, management, operations and administration, the importance of retaining the executive and his individual performance;</w:t>
      </w:r>
    </w:p>
    <w:p>
      <w:pPr>
        <w:spacing w:after="0" w:line="168" w:lineRule="exact"/>
        <w:rPr>
          <w:rFonts w:ascii="Arial" w:cs="Arial" w:eastAsia="Arial" w:hAnsi="Arial"/>
          <w:sz w:val="16"/>
          <w:szCs w:val="16"/>
          <w:color w:val="auto"/>
        </w:rPr>
      </w:pPr>
    </w:p>
    <w:p>
      <w:pPr>
        <w:ind w:left="980" w:right="20" w:hanging="488"/>
        <w:spacing w:after="0" w:line="284" w:lineRule="auto"/>
        <w:tabs>
          <w:tab w:leader="none" w:pos="9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recent and historical financial performance and forecasts for the upcoming years, recent stock price movements, current and expected business conditions and cost of capital; and</w:t>
      </w:r>
    </w:p>
    <w:p>
      <w:pPr>
        <w:spacing w:after="0" w:line="168" w:lineRule="exact"/>
        <w:rPr>
          <w:rFonts w:ascii="Arial" w:cs="Arial" w:eastAsia="Arial" w:hAnsi="Arial"/>
          <w:sz w:val="16"/>
          <w:szCs w:val="16"/>
          <w:color w:val="auto"/>
        </w:rPr>
      </w:pPr>
    </w:p>
    <w:p>
      <w:pPr>
        <w:ind w:left="980" w:right="180" w:hanging="488"/>
        <w:spacing w:after="0" w:line="299" w:lineRule="auto"/>
        <w:tabs>
          <w:tab w:leader="none" w:pos="9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nature, amounts, award terms and mix of all elements of the NEOs' compensation, both individually, for internal consistency, and in the aggregate, to ensure that our executive compensation programs adhere to the core principles as described above under "Executive Compensation Philosophy and Objectives."</w:t>
      </w:r>
    </w:p>
    <w:p>
      <w:pPr>
        <w:spacing w:after="0" w:line="1" w:lineRule="exact"/>
        <w:rPr>
          <w:sz w:val="20"/>
          <w:szCs w:val="20"/>
          <w:color w:val="auto"/>
        </w:rPr>
      </w:pPr>
    </w:p>
    <w:p>
      <w:pPr>
        <w:jc w:val="right"/>
        <w:spacing w:after="0"/>
        <w:tabs>
          <w:tab w:leader="none" w:pos="1960" w:val="left"/>
          <w:tab w:leader="none" w:pos="1720" w:val="left"/>
          <w:tab w:leader="none" w:pos="14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3"/>
          <w:szCs w:val="33"/>
          <w:b w:val="1"/>
          <w:bCs w:val="1"/>
          <w:color w:val="auto"/>
          <w:vertAlign w:val="subscript"/>
        </w:rPr>
        <w:t>|</w:t>
      </w:r>
      <w:r>
        <w:rPr>
          <w:sz w:val="20"/>
          <w:szCs w:val="20"/>
          <w:color w:val="auto"/>
        </w:rPr>
        <w:tab/>
      </w:r>
      <w:r>
        <w:rPr>
          <w:rFonts w:ascii="Arial" w:cs="Arial" w:eastAsia="Arial" w:hAnsi="Arial"/>
          <w:sz w:val="16"/>
          <w:szCs w:val="16"/>
          <w:color w:val="auto"/>
        </w:rPr>
        <w:t>2018 Proxy Statement</w:t>
      </w:r>
      <w:r>
        <w:rPr>
          <w:sz w:val="20"/>
          <w:szCs w:val="20"/>
          <w:color w:val="auto"/>
        </w:rPr>
        <w:tab/>
      </w: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133350</wp:posOffset>
            </wp:positionV>
            <wp:extent cx="7263130" cy="203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8" w:name="page39"/>
    <w:bookmarkEnd w:id="38"/>
    <w:p>
      <w:pPr>
        <w:ind w:left="1"/>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ind w:left="1" w:right="120" w:firstLine="558"/>
        <w:spacing w:after="0" w:line="310" w:lineRule="auto"/>
        <w:rPr>
          <w:sz w:val="20"/>
          <w:szCs w:val="20"/>
          <w:color w:val="auto"/>
        </w:rPr>
      </w:pPr>
      <w:r>
        <w:rPr>
          <w:rFonts w:ascii="Arial" w:cs="Arial" w:eastAsia="Arial" w:hAnsi="Arial"/>
          <w:sz w:val="14"/>
          <w:szCs w:val="14"/>
          <w:color w:val="auto"/>
        </w:rPr>
        <w:t>The Committee also reviews comprehensive detailed historical compensation analysis to ensure that it is fully informed of all the compensation and benefits each NEO has received as an employee of the Company. This analysis includes information such as the aggregate amounts realized from prior years' compensation, the potential future payout scenarios at various levels of achievement taking into account any outstanding unearned performance-based awards, and the current value (as compared to the grant date fair value) of outstanding equity awards and of each NEO's shareholdings in the Company (what some commentators call an "accumulated wealth analysis"). However, the Committee does not specifically use the accumulated wealth analysis as a material factor in determining the NEO's compensation for a given year.</w:t>
      </w:r>
    </w:p>
    <w:p>
      <w:pPr>
        <w:spacing w:after="0" w:line="144" w:lineRule="exact"/>
        <w:rPr>
          <w:sz w:val="20"/>
          <w:szCs w:val="20"/>
          <w:color w:val="auto"/>
        </w:rPr>
      </w:pPr>
    </w:p>
    <w:p>
      <w:pPr>
        <w:ind w:left="561"/>
        <w:spacing w:after="0"/>
        <w:rPr>
          <w:sz w:val="20"/>
          <w:szCs w:val="20"/>
          <w:color w:val="auto"/>
        </w:rPr>
      </w:pPr>
      <w:r>
        <w:rPr>
          <w:rFonts w:ascii="Arial" w:cs="Arial" w:eastAsia="Arial" w:hAnsi="Arial"/>
          <w:sz w:val="16"/>
          <w:szCs w:val="16"/>
          <w:color w:val="auto"/>
        </w:rPr>
        <w:t>The Committee strongly believes that:</w:t>
      </w:r>
    </w:p>
    <w:p>
      <w:pPr>
        <w:spacing w:after="0" w:line="223" w:lineRule="exact"/>
        <w:rPr>
          <w:sz w:val="20"/>
          <w:szCs w:val="20"/>
          <w:color w:val="auto"/>
        </w:rPr>
      </w:pPr>
    </w:p>
    <w:p>
      <w:pPr>
        <w:ind w:left="981" w:hanging="488"/>
        <w:spacing w:after="0"/>
        <w:tabs>
          <w:tab w:leader="none" w:pos="981" w:val="left"/>
        </w:tabs>
        <w:numPr>
          <w:ilvl w:val="0"/>
          <w:numId w:val="44"/>
        </w:numPr>
        <w:rPr>
          <w:rFonts w:ascii="Arial" w:cs="Arial" w:eastAsia="Arial" w:hAnsi="Arial"/>
          <w:sz w:val="14"/>
          <w:szCs w:val="14"/>
          <w:color w:val="auto"/>
        </w:rPr>
      </w:pPr>
      <w:r>
        <w:rPr>
          <w:rFonts w:ascii="Arial" w:cs="Arial" w:eastAsia="Arial" w:hAnsi="Arial"/>
          <w:sz w:val="14"/>
          <w:szCs w:val="14"/>
          <w:color w:val="auto"/>
        </w:rPr>
        <w:t>value realized on prior years' compensation from stock appreciation is the reward for the NEO's work over that period and the achievement of our long-term goals;</w:t>
      </w:r>
    </w:p>
    <w:p>
      <w:pPr>
        <w:spacing w:after="0" w:line="258" w:lineRule="exact"/>
        <w:rPr>
          <w:rFonts w:ascii="Arial" w:cs="Arial" w:eastAsia="Arial" w:hAnsi="Arial"/>
          <w:sz w:val="14"/>
          <w:szCs w:val="14"/>
          <w:color w:val="auto"/>
        </w:rPr>
      </w:pPr>
    </w:p>
    <w:p>
      <w:pPr>
        <w:ind w:left="981" w:right="400" w:hanging="488"/>
        <w:spacing w:after="0" w:line="270" w:lineRule="auto"/>
        <w:tabs>
          <w:tab w:leader="none" w:pos="981" w:val="left"/>
        </w:tabs>
        <w:numPr>
          <w:ilvl w:val="0"/>
          <w:numId w:val="44"/>
        </w:numPr>
        <w:rPr>
          <w:rFonts w:ascii="Arial" w:cs="Arial" w:eastAsia="Arial" w:hAnsi="Arial"/>
          <w:sz w:val="16"/>
          <w:szCs w:val="16"/>
          <w:color w:val="auto"/>
        </w:rPr>
      </w:pPr>
      <w:r>
        <w:rPr>
          <w:rFonts w:ascii="Arial" w:cs="Arial" w:eastAsia="Arial" w:hAnsi="Arial"/>
          <w:sz w:val="16"/>
          <w:szCs w:val="16"/>
          <w:color w:val="auto"/>
        </w:rPr>
        <w:t>reducing current year compensation because an executive has realized gains based on a desired creation of shareholder value, or otherwise giving significant weight to an accumulated wealth analysis when making decisions regarding current compensation, is counterproductive and poses an unnecessary risk to shareholder value; and</w:t>
      </w:r>
    </w:p>
    <w:p>
      <w:pPr>
        <w:spacing w:after="0" w:line="180" w:lineRule="exact"/>
        <w:rPr>
          <w:rFonts w:ascii="Arial" w:cs="Arial" w:eastAsia="Arial" w:hAnsi="Arial"/>
          <w:sz w:val="16"/>
          <w:szCs w:val="16"/>
          <w:color w:val="auto"/>
        </w:rPr>
      </w:pPr>
    </w:p>
    <w:p>
      <w:pPr>
        <w:ind w:left="981" w:right="220" w:hanging="488"/>
        <w:spacing w:after="0" w:line="284" w:lineRule="auto"/>
        <w:tabs>
          <w:tab w:leader="none" w:pos="981"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 order to maintain the best group of executives to lead the Company, we must provide a compensation package each year that represents a fair and reasonable reward for the Company's performance that year and the executive's role in it.</w:t>
      </w:r>
    </w:p>
    <w:p>
      <w:pPr>
        <w:spacing w:after="0" w:line="156" w:lineRule="exact"/>
        <w:rPr>
          <w:sz w:val="20"/>
          <w:szCs w:val="20"/>
          <w:color w:val="auto"/>
        </w:rPr>
      </w:pPr>
    </w:p>
    <w:p>
      <w:pPr>
        <w:ind w:left="1" w:right="20" w:firstLine="558"/>
        <w:spacing w:after="0" w:line="264" w:lineRule="auto"/>
        <w:rPr>
          <w:sz w:val="20"/>
          <w:szCs w:val="20"/>
          <w:color w:val="auto"/>
        </w:rPr>
      </w:pPr>
      <w:r>
        <w:rPr>
          <w:rFonts w:ascii="Arial" w:cs="Arial" w:eastAsia="Arial" w:hAnsi="Arial"/>
          <w:sz w:val="16"/>
          <w:szCs w:val="16"/>
          <w:color w:val="auto"/>
        </w:rPr>
        <w:t>The Committee also considers the recommendations of our Chief Executive Officer with respect to the compensation of our other executive officers. Following these reviews and assessments, the Committee determines the compensation packages for each NEO. This process is subjective and involves the exercise of discretion and judgment. While the Committee will review detailed financial models showing variations in compensation at differing levels of achievement, the Committee does not rely on a fixed formula but rather, it establishes the compensation packages based on the Committee's judgment as to what it believes are reasonable in relation to the levels of shareholder value created at each level of Company performance.</w:t>
      </w:r>
    </w:p>
    <w:p>
      <w:pPr>
        <w:spacing w:after="0" w:line="172" w:lineRule="exact"/>
        <w:rPr>
          <w:sz w:val="20"/>
          <w:szCs w:val="20"/>
          <w:color w:val="auto"/>
        </w:rPr>
      </w:pPr>
    </w:p>
    <w:p>
      <w:pPr>
        <w:ind w:left="1"/>
        <w:spacing w:after="0"/>
        <w:rPr>
          <w:sz w:val="20"/>
          <w:szCs w:val="20"/>
          <w:color w:val="auto"/>
        </w:rPr>
      </w:pPr>
      <w:r>
        <w:rPr>
          <w:rFonts w:ascii="Arial" w:cs="Arial" w:eastAsia="Arial" w:hAnsi="Arial"/>
          <w:sz w:val="16"/>
          <w:szCs w:val="16"/>
          <w:b w:val="1"/>
          <w:bCs w:val="1"/>
          <w:i w:val="1"/>
          <w:iCs w:val="1"/>
          <w:color w:val="auto"/>
        </w:rPr>
        <w:t>Evaluating Compensation Program Design Using Compensation Comparison Companies</w:t>
      </w:r>
    </w:p>
    <w:p>
      <w:pPr>
        <w:spacing w:after="0" w:line="211" w:lineRule="exact"/>
        <w:rPr>
          <w:sz w:val="20"/>
          <w:szCs w:val="20"/>
          <w:color w:val="auto"/>
        </w:rPr>
      </w:pPr>
    </w:p>
    <w:p>
      <w:pPr>
        <w:ind w:left="1" w:firstLine="558"/>
        <w:spacing w:after="0" w:line="285" w:lineRule="auto"/>
        <w:rPr>
          <w:sz w:val="20"/>
          <w:szCs w:val="20"/>
          <w:color w:val="auto"/>
        </w:rPr>
      </w:pPr>
      <w:r>
        <w:rPr>
          <w:rFonts w:ascii="Arial" w:cs="Arial" w:eastAsia="Arial" w:hAnsi="Arial"/>
          <w:sz w:val="15"/>
          <w:szCs w:val="15"/>
          <w:color w:val="auto"/>
        </w:rPr>
        <w:t>We believe we have a unique business model and that there is no other company of a similar size and complexity engaged in our same lines of business on a global scale. However, in order to ensure that the Committee has a comprehensive view of market trends in executive compensation, the Committee approved a group of compensation comparison companies that reflects multiple aspects of our complex business model and it uses this group to benchmark our executive compensation program. In forming the group, we considered companies in the industry sectors listed below, taking into account their relative financial size (with a specific focus on net income and market capitalization), and maintaining a reasonable expectation these companies will have some consistency in terms of ongoing industry sector membership.</w:t>
      </w:r>
    </w:p>
    <w:p>
      <w:pPr>
        <w:spacing w:after="0" w:line="172" w:lineRule="exact"/>
        <w:rPr>
          <w:sz w:val="20"/>
          <w:szCs w:val="20"/>
          <w:color w:val="auto"/>
        </w:rPr>
      </w:pPr>
    </w:p>
    <w:p>
      <w:pPr>
        <w:ind w:left="501" w:hanging="501"/>
        <w:spacing w:after="0"/>
        <w:tabs>
          <w:tab w:leader="none" w:pos="501" w:val="left"/>
        </w:tabs>
        <w:numPr>
          <w:ilvl w:val="0"/>
          <w:numId w:val="45"/>
        </w:numPr>
        <w:rPr>
          <w:rFonts w:ascii="Arial" w:cs="Arial" w:eastAsia="Arial" w:hAnsi="Arial"/>
          <w:sz w:val="16"/>
          <w:szCs w:val="16"/>
          <w:color w:val="auto"/>
        </w:rPr>
      </w:pPr>
      <w:r>
        <w:rPr>
          <w:rFonts w:ascii="Arial" w:cs="Arial" w:eastAsia="Arial" w:hAnsi="Arial"/>
          <w:sz w:val="16"/>
          <w:szCs w:val="16"/>
          <w:color w:val="auto"/>
        </w:rPr>
        <w:t>Asset-light demand aggregators;</w:t>
      </w:r>
    </w:p>
    <w:p>
      <w:pPr>
        <w:spacing w:after="0" w:line="235" w:lineRule="exact"/>
        <w:rPr>
          <w:rFonts w:ascii="Arial" w:cs="Arial" w:eastAsia="Arial" w:hAnsi="Arial"/>
          <w:sz w:val="16"/>
          <w:szCs w:val="16"/>
          <w:color w:val="auto"/>
        </w:rPr>
      </w:pPr>
    </w:p>
    <w:p>
      <w:pPr>
        <w:ind w:left="501" w:hanging="501"/>
        <w:spacing w:after="0"/>
        <w:tabs>
          <w:tab w:leader="none" w:pos="501" w:val="left"/>
        </w:tabs>
        <w:numPr>
          <w:ilvl w:val="0"/>
          <w:numId w:val="45"/>
        </w:numPr>
        <w:rPr>
          <w:rFonts w:ascii="Arial" w:cs="Arial" w:eastAsia="Arial" w:hAnsi="Arial"/>
          <w:sz w:val="16"/>
          <w:szCs w:val="16"/>
          <w:color w:val="auto"/>
        </w:rPr>
      </w:pPr>
      <w:r>
        <w:rPr>
          <w:rFonts w:ascii="Arial" w:cs="Arial" w:eastAsia="Arial" w:hAnsi="Arial"/>
          <w:sz w:val="16"/>
          <w:szCs w:val="16"/>
          <w:color w:val="auto"/>
        </w:rPr>
        <w:t>Energy commodity trading organizations;</w:t>
      </w:r>
    </w:p>
    <w:p>
      <w:pPr>
        <w:spacing w:after="0" w:line="222" w:lineRule="exact"/>
        <w:rPr>
          <w:rFonts w:ascii="Arial" w:cs="Arial" w:eastAsia="Arial" w:hAnsi="Arial"/>
          <w:sz w:val="16"/>
          <w:szCs w:val="16"/>
          <w:color w:val="auto"/>
        </w:rPr>
      </w:pPr>
    </w:p>
    <w:p>
      <w:pPr>
        <w:ind w:left="501" w:hanging="501"/>
        <w:spacing w:after="0"/>
        <w:tabs>
          <w:tab w:leader="none" w:pos="501" w:val="left"/>
        </w:tabs>
        <w:numPr>
          <w:ilvl w:val="0"/>
          <w:numId w:val="45"/>
        </w:numPr>
        <w:rPr>
          <w:rFonts w:ascii="Arial" w:cs="Arial" w:eastAsia="Arial" w:hAnsi="Arial"/>
          <w:sz w:val="16"/>
          <w:szCs w:val="16"/>
          <w:color w:val="auto"/>
        </w:rPr>
      </w:pPr>
      <w:r>
        <w:rPr>
          <w:rFonts w:ascii="Arial" w:cs="Arial" w:eastAsia="Arial" w:hAnsi="Arial"/>
          <w:sz w:val="16"/>
          <w:szCs w:val="16"/>
          <w:color w:val="auto"/>
        </w:rPr>
        <w:t>Wholesale diversified distributors;</w:t>
      </w:r>
    </w:p>
    <w:p>
      <w:pPr>
        <w:spacing w:after="0" w:line="222" w:lineRule="exact"/>
        <w:rPr>
          <w:rFonts w:ascii="Arial" w:cs="Arial" w:eastAsia="Arial" w:hAnsi="Arial"/>
          <w:sz w:val="16"/>
          <w:szCs w:val="16"/>
          <w:color w:val="auto"/>
        </w:rPr>
      </w:pPr>
    </w:p>
    <w:p>
      <w:pPr>
        <w:ind w:left="501" w:hanging="501"/>
        <w:spacing w:after="0"/>
        <w:tabs>
          <w:tab w:leader="none" w:pos="501" w:val="left"/>
        </w:tabs>
        <w:numPr>
          <w:ilvl w:val="0"/>
          <w:numId w:val="45"/>
        </w:numPr>
        <w:rPr>
          <w:rFonts w:ascii="Arial" w:cs="Arial" w:eastAsia="Arial" w:hAnsi="Arial"/>
          <w:sz w:val="16"/>
          <w:szCs w:val="16"/>
          <w:color w:val="auto"/>
        </w:rPr>
      </w:pPr>
      <w:r>
        <w:rPr>
          <w:rFonts w:ascii="Arial" w:cs="Arial" w:eastAsia="Arial" w:hAnsi="Arial"/>
          <w:sz w:val="16"/>
          <w:szCs w:val="16"/>
          <w:color w:val="auto"/>
        </w:rPr>
        <w:t>Marine, land, and aviation services providers;</w:t>
      </w:r>
    </w:p>
    <w:p>
      <w:pPr>
        <w:spacing w:after="0" w:line="21" w:lineRule="exact"/>
        <w:rPr>
          <w:sz w:val="20"/>
          <w:szCs w:val="20"/>
          <w:color w:val="auto"/>
        </w:rPr>
      </w:pPr>
    </w:p>
    <w:p>
      <w:pPr>
        <w:jc w:val="right"/>
        <w:spacing w:after="0"/>
        <w:tabs>
          <w:tab w:leader="none" w:pos="1960" w:val="left"/>
          <w:tab w:leader="none" w:pos="1720" w:val="left"/>
          <w:tab w:leader="none" w:pos="14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3"/>
          <w:szCs w:val="33"/>
          <w:b w:val="1"/>
          <w:bCs w:val="1"/>
          <w:color w:val="auto"/>
          <w:vertAlign w:val="subscript"/>
        </w:rPr>
        <w:t>|</w:t>
      </w:r>
      <w:r>
        <w:rPr>
          <w:sz w:val="20"/>
          <w:szCs w:val="20"/>
          <w:color w:val="auto"/>
        </w:rPr>
        <w:tab/>
      </w:r>
      <w:r>
        <w:rPr>
          <w:rFonts w:ascii="Arial" w:cs="Arial" w:eastAsia="Arial" w:hAnsi="Arial"/>
          <w:sz w:val="16"/>
          <w:szCs w:val="16"/>
          <w:color w:val="auto"/>
        </w:rPr>
        <w:t>2018 Proxy Statement</w:t>
      </w:r>
      <w:r>
        <w:rPr>
          <w:sz w:val="20"/>
          <w:szCs w:val="20"/>
          <w:color w:val="auto"/>
        </w:rPr>
        <w:tab/>
      </w: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7263130" cy="203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1"/>
          </w:cols>
          <w:pgMar w:left="239" w:top="131" w:right="239" w:bottom="1440" w:gutter="0" w:footer="0" w:header="0"/>
        </w:sectPr>
      </w:pPr>
    </w:p>
    <w:bookmarkStart w:id="39" w:name="page40"/>
    <w:bookmarkEnd w:id="39"/>
    <w:p>
      <w:pPr>
        <w:ind w:left="1"/>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ind w:left="501" w:hanging="501"/>
        <w:spacing w:after="0"/>
        <w:tabs>
          <w:tab w:leader="none" w:pos="501" w:val="left"/>
        </w:tabs>
        <w:numPr>
          <w:ilvl w:val="0"/>
          <w:numId w:val="46"/>
        </w:numPr>
        <w:rPr>
          <w:rFonts w:ascii="Arial" w:cs="Arial" w:eastAsia="Arial" w:hAnsi="Arial"/>
          <w:sz w:val="16"/>
          <w:szCs w:val="16"/>
          <w:color w:val="auto"/>
        </w:rPr>
      </w:pPr>
      <w:r>
        <w:rPr>
          <w:rFonts w:ascii="Arial" w:cs="Arial" w:eastAsia="Arial" w:hAnsi="Arial"/>
          <w:sz w:val="16"/>
          <w:szCs w:val="16"/>
          <w:color w:val="auto"/>
        </w:rPr>
        <w:t>Freight forwarding and logistics services providers; and</w:t>
      </w:r>
    </w:p>
    <w:p>
      <w:pPr>
        <w:spacing w:after="0" w:line="235" w:lineRule="exact"/>
        <w:rPr>
          <w:rFonts w:ascii="Arial" w:cs="Arial" w:eastAsia="Arial" w:hAnsi="Arial"/>
          <w:sz w:val="16"/>
          <w:szCs w:val="16"/>
          <w:color w:val="auto"/>
        </w:rPr>
      </w:pPr>
    </w:p>
    <w:p>
      <w:pPr>
        <w:ind w:left="501" w:hanging="501"/>
        <w:spacing w:after="0"/>
        <w:tabs>
          <w:tab w:leader="none" w:pos="501" w:val="left"/>
        </w:tabs>
        <w:numPr>
          <w:ilvl w:val="0"/>
          <w:numId w:val="46"/>
        </w:numPr>
        <w:rPr>
          <w:rFonts w:ascii="Arial" w:cs="Arial" w:eastAsia="Arial" w:hAnsi="Arial"/>
          <w:sz w:val="16"/>
          <w:szCs w:val="16"/>
          <w:color w:val="auto"/>
        </w:rPr>
      </w:pPr>
      <w:r>
        <w:rPr>
          <w:rFonts w:ascii="Arial" w:cs="Arial" w:eastAsia="Arial" w:hAnsi="Arial"/>
          <w:sz w:val="16"/>
          <w:szCs w:val="16"/>
          <w:color w:val="auto"/>
        </w:rPr>
        <w:t>Systems/payment processing services providers.</w:t>
      </w:r>
    </w:p>
    <w:p>
      <w:pPr>
        <w:spacing w:after="0" w:line="211" w:lineRule="exact"/>
        <w:rPr>
          <w:sz w:val="20"/>
          <w:szCs w:val="20"/>
          <w:color w:val="auto"/>
        </w:rPr>
      </w:pPr>
    </w:p>
    <w:p>
      <w:pPr>
        <w:jc w:val="both"/>
        <w:ind w:left="1" w:right="100"/>
        <w:spacing w:after="0" w:line="270" w:lineRule="auto"/>
        <w:rPr>
          <w:sz w:val="20"/>
          <w:szCs w:val="20"/>
          <w:color w:val="auto"/>
        </w:rPr>
      </w:pPr>
      <w:r>
        <w:rPr>
          <w:rFonts w:ascii="Arial" w:cs="Arial" w:eastAsia="Arial" w:hAnsi="Arial"/>
          <w:sz w:val="16"/>
          <w:szCs w:val="16"/>
          <w:color w:val="auto"/>
        </w:rPr>
        <w:t>The Compensation Committee used data derived from the compensation comparison companies group shown below to inform its decisions about NEO compensation including amounts, design, and mix of pay components. For 2017, the Committee maintained the same compensation comparison companies group as was utilized in 2016, other than one company which was removed as it had been recently acquired by a private company.</w:t>
      </w:r>
    </w:p>
    <w:p>
      <w:pPr>
        <w:spacing w:after="0" w:line="168" w:lineRule="exact"/>
        <w:rPr>
          <w:sz w:val="20"/>
          <w:szCs w:val="20"/>
          <w:color w:val="auto"/>
        </w:rPr>
      </w:pPr>
    </w:p>
    <w:tbl>
      <w:tblPr>
        <w:tblLayout w:type="fixed"/>
        <w:tblInd w:w="1" w:type="dxa"/>
        <w:tblCellMar>
          <w:top w:w="0" w:type="dxa"/>
          <w:left w:w="0" w:type="dxa"/>
          <w:bottom w:w="0" w:type="dxa"/>
          <w:right w:w="0" w:type="dxa"/>
        </w:tblCellMar>
      </w:tblPr>
      <w:tr>
        <w:trPr>
          <w:trHeight w:val="205"/>
        </w:trPr>
        <w:tc>
          <w:tcPr>
            <w:tcW w:w="160" w:type="dxa"/>
            <w:vAlign w:val="bottom"/>
          </w:tcPr>
          <w:p>
            <w:pPr>
              <w:spacing w:after="0"/>
              <w:rPr>
                <w:sz w:val="20"/>
                <w:szCs w:val="20"/>
                <w:color w:val="auto"/>
              </w:rPr>
            </w:pPr>
            <w:r>
              <w:rPr>
                <w:rFonts w:ascii="Arial" w:cs="Arial" w:eastAsia="Arial" w:hAnsi="Arial"/>
                <w:sz w:val="16"/>
                <w:szCs w:val="16"/>
                <w:color w:val="auto"/>
              </w:rPr>
              <w:t>•</w:t>
            </w:r>
          </w:p>
        </w:tc>
        <w:tc>
          <w:tcPr>
            <w:tcW w:w="4380" w:type="dxa"/>
            <w:vAlign w:val="bottom"/>
          </w:tcPr>
          <w:p>
            <w:pPr>
              <w:ind w:left="100"/>
              <w:spacing w:after="0"/>
              <w:rPr>
                <w:sz w:val="20"/>
                <w:szCs w:val="20"/>
                <w:color w:val="auto"/>
              </w:rPr>
            </w:pPr>
            <w:r>
              <w:rPr>
                <w:rFonts w:ascii="Arial" w:cs="Arial" w:eastAsia="Arial" w:hAnsi="Arial"/>
                <w:sz w:val="16"/>
                <w:szCs w:val="16"/>
                <w:color w:val="auto"/>
              </w:rPr>
              <w:t>Anixter International Inc.</w:t>
            </w:r>
          </w:p>
        </w:tc>
        <w:tc>
          <w:tcPr>
            <w:tcW w:w="1580" w:type="dxa"/>
            <w:vAlign w:val="bottom"/>
          </w:tcPr>
          <w:p>
            <w:pPr>
              <w:ind w:left="1420"/>
              <w:spacing w:after="0"/>
              <w:rPr>
                <w:sz w:val="20"/>
                <w:szCs w:val="20"/>
                <w:color w:val="auto"/>
              </w:rPr>
            </w:pPr>
            <w:r>
              <w:rPr>
                <w:rFonts w:ascii="Arial" w:cs="Arial" w:eastAsia="Arial" w:hAnsi="Arial"/>
                <w:sz w:val="16"/>
                <w:szCs w:val="16"/>
                <w:color w:val="auto"/>
              </w:rPr>
              <w:t>•</w:t>
            </w:r>
          </w:p>
        </w:tc>
        <w:tc>
          <w:tcPr>
            <w:tcW w:w="2060" w:type="dxa"/>
            <w:vAlign w:val="bottom"/>
          </w:tcPr>
          <w:p>
            <w:pPr>
              <w:ind w:left="100"/>
              <w:spacing w:after="0"/>
              <w:rPr>
                <w:sz w:val="20"/>
                <w:szCs w:val="20"/>
                <w:color w:val="auto"/>
              </w:rPr>
            </w:pPr>
            <w:r>
              <w:rPr>
                <w:rFonts w:ascii="Arial" w:cs="Arial" w:eastAsia="Arial" w:hAnsi="Arial"/>
                <w:sz w:val="16"/>
                <w:szCs w:val="16"/>
                <w:color w:val="auto"/>
              </w:rPr>
              <w:t>Noble Energy, Inc.</w:t>
            </w:r>
          </w:p>
        </w:tc>
      </w:tr>
      <w:tr>
        <w:trPr>
          <w:trHeight w:val="395"/>
        </w:trPr>
        <w:tc>
          <w:tcPr>
            <w:tcW w:w="160" w:type="dxa"/>
            <w:vAlign w:val="bottom"/>
          </w:tcPr>
          <w:p>
            <w:pPr>
              <w:spacing w:after="0"/>
              <w:rPr>
                <w:sz w:val="20"/>
                <w:szCs w:val="20"/>
                <w:color w:val="auto"/>
              </w:rPr>
            </w:pPr>
            <w:r>
              <w:rPr>
                <w:rFonts w:ascii="Arial" w:cs="Arial" w:eastAsia="Arial" w:hAnsi="Arial"/>
                <w:sz w:val="16"/>
                <w:szCs w:val="16"/>
                <w:color w:val="auto"/>
              </w:rPr>
              <w:t>•</w:t>
            </w:r>
          </w:p>
        </w:tc>
        <w:tc>
          <w:tcPr>
            <w:tcW w:w="4380" w:type="dxa"/>
            <w:vAlign w:val="bottom"/>
          </w:tcPr>
          <w:p>
            <w:pPr>
              <w:ind w:left="100"/>
              <w:spacing w:after="0"/>
              <w:rPr>
                <w:sz w:val="20"/>
                <w:szCs w:val="20"/>
                <w:color w:val="auto"/>
              </w:rPr>
            </w:pPr>
            <w:r>
              <w:rPr>
                <w:rFonts w:ascii="Arial" w:cs="Arial" w:eastAsia="Arial" w:hAnsi="Arial"/>
                <w:sz w:val="16"/>
                <w:szCs w:val="16"/>
                <w:color w:val="auto"/>
              </w:rPr>
              <w:t>Arrow Electronics, Inc.</w:t>
            </w:r>
          </w:p>
        </w:tc>
        <w:tc>
          <w:tcPr>
            <w:tcW w:w="1580" w:type="dxa"/>
            <w:vAlign w:val="bottom"/>
          </w:tcPr>
          <w:p>
            <w:pPr>
              <w:ind w:left="1420"/>
              <w:spacing w:after="0"/>
              <w:rPr>
                <w:sz w:val="20"/>
                <w:szCs w:val="20"/>
                <w:color w:val="auto"/>
              </w:rPr>
            </w:pPr>
            <w:r>
              <w:rPr>
                <w:rFonts w:ascii="Arial" w:cs="Arial" w:eastAsia="Arial" w:hAnsi="Arial"/>
                <w:sz w:val="16"/>
                <w:szCs w:val="16"/>
                <w:color w:val="auto"/>
              </w:rPr>
              <w:t>•</w:t>
            </w:r>
          </w:p>
        </w:tc>
        <w:tc>
          <w:tcPr>
            <w:tcW w:w="2060" w:type="dxa"/>
            <w:vAlign w:val="bottom"/>
          </w:tcPr>
          <w:p>
            <w:pPr>
              <w:ind w:left="100"/>
              <w:spacing w:after="0"/>
              <w:rPr>
                <w:sz w:val="20"/>
                <w:szCs w:val="20"/>
                <w:color w:val="auto"/>
              </w:rPr>
            </w:pPr>
            <w:r>
              <w:rPr>
                <w:rFonts w:ascii="Arial" w:cs="Arial" w:eastAsia="Arial" w:hAnsi="Arial"/>
                <w:sz w:val="16"/>
                <w:szCs w:val="16"/>
                <w:color w:val="auto"/>
              </w:rPr>
              <w:t>Owens &amp; Minor, Inc.</w:t>
            </w:r>
          </w:p>
        </w:tc>
      </w:tr>
      <w:tr>
        <w:trPr>
          <w:trHeight w:val="395"/>
        </w:trPr>
        <w:tc>
          <w:tcPr>
            <w:tcW w:w="4540" w:type="dxa"/>
            <w:vAlign w:val="bottom"/>
            <w:gridSpan w:val="2"/>
          </w:tcPr>
          <w:p>
            <w:pPr>
              <w:spacing w:after="0"/>
              <w:rPr>
                <w:sz w:val="20"/>
                <w:szCs w:val="20"/>
                <w:color w:val="auto"/>
              </w:rPr>
            </w:pPr>
            <w:r>
              <w:rPr>
                <w:rFonts w:ascii="Arial" w:cs="Arial" w:eastAsia="Arial" w:hAnsi="Arial"/>
                <w:sz w:val="16"/>
                <w:szCs w:val="16"/>
                <w:color w:val="auto"/>
              </w:rPr>
              <w:t>•   Atlas Air Worldwide Holdings, Inc.</w:t>
            </w:r>
          </w:p>
        </w:tc>
        <w:tc>
          <w:tcPr>
            <w:tcW w:w="3640" w:type="dxa"/>
            <w:vAlign w:val="bottom"/>
            <w:gridSpan w:val="2"/>
          </w:tcPr>
          <w:p>
            <w:pPr>
              <w:ind w:left="1420"/>
              <w:spacing w:after="0"/>
              <w:rPr>
                <w:sz w:val="20"/>
                <w:szCs w:val="20"/>
                <w:color w:val="auto"/>
              </w:rPr>
            </w:pPr>
            <w:r>
              <w:rPr>
                <w:rFonts w:ascii="Arial" w:cs="Arial" w:eastAsia="Arial" w:hAnsi="Arial"/>
                <w:sz w:val="16"/>
                <w:szCs w:val="16"/>
                <w:color w:val="auto"/>
                <w:w w:val="93"/>
              </w:rPr>
              <w:t>•   Performance Food Group, Inc.</w:t>
            </w:r>
          </w:p>
        </w:tc>
      </w:tr>
      <w:tr>
        <w:trPr>
          <w:trHeight w:val="395"/>
        </w:trPr>
        <w:tc>
          <w:tcPr>
            <w:tcW w:w="4540" w:type="dxa"/>
            <w:vAlign w:val="bottom"/>
            <w:gridSpan w:val="2"/>
          </w:tcPr>
          <w:p>
            <w:pPr>
              <w:spacing w:after="0"/>
              <w:rPr>
                <w:sz w:val="20"/>
                <w:szCs w:val="20"/>
                <w:color w:val="auto"/>
              </w:rPr>
            </w:pPr>
            <w:r>
              <w:rPr>
                <w:rFonts w:ascii="Arial" w:cs="Arial" w:eastAsia="Arial" w:hAnsi="Arial"/>
                <w:sz w:val="16"/>
                <w:szCs w:val="16"/>
                <w:color w:val="auto"/>
              </w:rPr>
              <w:t>•   C.H. Robinson Worldwide, Inc.</w:t>
            </w:r>
          </w:p>
        </w:tc>
        <w:tc>
          <w:tcPr>
            <w:tcW w:w="1580" w:type="dxa"/>
            <w:vAlign w:val="bottom"/>
          </w:tcPr>
          <w:p>
            <w:pPr>
              <w:ind w:left="1420"/>
              <w:spacing w:after="0"/>
              <w:rPr>
                <w:sz w:val="20"/>
                <w:szCs w:val="20"/>
                <w:color w:val="auto"/>
              </w:rPr>
            </w:pPr>
            <w:r>
              <w:rPr>
                <w:rFonts w:ascii="Arial" w:cs="Arial" w:eastAsia="Arial" w:hAnsi="Arial"/>
                <w:sz w:val="16"/>
                <w:szCs w:val="16"/>
                <w:color w:val="auto"/>
              </w:rPr>
              <w:t>•</w:t>
            </w:r>
          </w:p>
        </w:tc>
        <w:tc>
          <w:tcPr>
            <w:tcW w:w="2060" w:type="dxa"/>
            <w:vAlign w:val="bottom"/>
          </w:tcPr>
          <w:p>
            <w:pPr>
              <w:ind w:left="100"/>
              <w:spacing w:after="0"/>
              <w:rPr>
                <w:sz w:val="20"/>
                <w:szCs w:val="20"/>
                <w:color w:val="auto"/>
              </w:rPr>
            </w:pPr>
            <w:r>
              <w:rPr>
                <w:rFonts w:ascii="Arial" w:cs="Arial" w:eastAsia="Arial" w:hAnsi="Arial"/>
                <w:sz w:val="16"/>
                <w:szCs w:val="16"/>
                <w:color w:val="auto"/>
              </w:rPr>
              <w:t>Ryder System, Inc.</w:t>
            </w:r>
          </w:p>
        </w:tc>
      </w:tr>
      <w:tr>
        <w:trPr>
          <w:trHeight w:val="395"/>
        </w:trPr>
        <w:tc>
          <w:tcPr>
            <w:tcW w:w="4540" w:type="dxa"/>
            <w:vAlign w:val="bottom"/>
            <w:gridSpan w:val="2"/>
          </w:tcPr>
          <w:p>
            <w:pPr>
              <w:spacing w:after="0"/>
              <w:rPr>
                <w:sz w:val="20"/>
                <w:szCs w:val="20"/>
                <w:color w:val="auto"/>
              </w:rPr>
            </w:pPr>
            <w:r>
              <w:rPr>
                <w:rFonts w:ascii="Arial" w:cs="Arial" w:eastAsia="Arial" w:hAnsi="Arial"/>
                <w:sz w:val="16"/>
                <w:szCs w:val="16"/>
                <w:color w:val="auto"/>
              </w:rPr>
              <w:t>•   Expeditors International of Washington, Inc.</w:t>
            </w:r>
          </w:p>
        </w:tc>
        <w:tc>
          <w:tcPr>
            <w:tcW w:w="1580" w:type="dxa"/>
            <w:vAlign w:val="bottom"/>
          </w:tcPr>
          <w:p>
            <w:pPr>
              <w:ind w:left="1420"/>
              <w:spacing w:after="0"/>
              <w:rPr>
                <w:sz w:val="20"/>
                <w:szCs w:val="20"/>
                <w:color w:val="auto"/>
              </w:rPr>
            </w:pPr>
            <w:r>
              <w:rPr>
                <w:rFonts w:ascii="Arial" w:cs="Arial" w:eastAsia="Arial" w:hAnsi="Arial"/>
                <w:sz w:val="16"/>
                <w:szCs w:val="16"/>
                <w:color w:val="auto"/>
              </w:rPr>
              <w:t>•</w:t>
            </w:r>
          </w:p>
        </w:tc>
        <w:tc>
          <w:tcPr>
            <w:tcW w:w="2060" w:type="dxa"/>
            <w:vAlign w:val="bottom"/>
          </w:tcPr>
          <w:p>
            <w:pPr>
              <w:ind w:left="100"/>
              <w:spacing w:after="0"/>
              <w:rPr>
                <w:sz w:val="20"/>
                <w:szCs w:val="20"/>
                <w:color w:val="auto"/>
              </w:rPr>
            </w:pPr>
            <w:r>
              <w:rPr>
                <w:rFonts w:ascii="Arial" w:cs="Arial" w:eastAsia="Arial" w:hAnsi="Arial"/>
                <w:sz w:val="16"/>
                <w:szCs w:val="16"/>
                <w:color w:val="auto"/>
              </w:rPr>
              <w:t>Sysco Corporation</w:t>
            </w:r>
          </w:p>
        </w:tc>
      </w:tr>
      <w:tr>
        <w:trPr>
          <w:trHeight w:val="395"/>
        </w:trPr>
        <w:tc>
          <w:tcPr>
            <w:tcW w:w="160" w:type="dxa"/>
            <w:vAlign w:val="bottom"/>
          </w:tcPr>
          <w:p>
            <w:pPr>
              <w:spacing w:after="0"/>
              <w:rPr>
                <w:sz w:val="20"/>
                <w:szCs w:val="20"/>
                <w:color w:val="auto"/>
              </w:rPr>
            </w:pPr>
            <w:r>
              <w:rPr>
                <w:rFonts w:ascii="Arial" w:cs="Arial" w:eastAsia="Arial" w:hAnsi="Arial"/>
                <w:sz w:val="16"/>
                <w:szCs w:val="16"/>
                <w:color w:val="auto"/>
              </w:rPr>
              <w:t>•</w:t>
            </w:r>
          </w:p>
        </w:tc>
        <w:tc>
          <w:tcPr>
            <w:tcW w:w="4380" w:type="dxa"/>
            <w:vAlign w:val="bottom"/>
          </w:tcPr>
          <w:p>
            <w:pPr>
              <w:ind w:left="100"/>
              <w:spacing w:after="0"/>
              <w:rPr>
                <w:sz w:val="20"/>
                <w:szCs w:val="20"/>
                <w:color w:val="auto"/>
              </w:rPr>
            </w:pPr>
            <w:r>
              <w:rPr>
                <w:rFonts w:ascii="Arial" w:cs="Arial" w:eastAsia="Arial" w:hAnsi="Arial"/>
                <w:sz w:val="16"/>
                <w:szCs w:val="16"/>
                <w:color w:val="auto"/>
              </w:rPr>
              <w:t>FleetCor Technologies, Inc.</w:t>
            </w:r>
          </w:p>
        </w:tc>
        <w:tc>
          <w:tcPr>
            <w:tcW w:w="1580" w:type="dxa"/>
            <w:vAlign w:val="bottom"/>
          </w:tcPr>
          <w:p>
            <w:pPr>
              <w:ind w:left="1420"/>
              <w:spacing w:after="0"/>
              <w:rPr>
                <w:sz w:val="20"/>
                <w:szCs w:val="20"/>
                <w:color w:val="auto"/>
              </w:rPr>
            </w:pPr>
            <w:r>
              <w:rPr>
                <w:rFonts w:ascii="Arial" w:cs="Arial" w:eastAsia="Arial" w:hAnsi="Arial"/>
                <w:sz w:val="16"/>
                <w:szCs w:val="16"/>
                <w:color w:val="auto"/>
              </w:rPr>
              <w:t>•</w:t>
            </w:r>
          </w:p>
        </w:tc>
        <w:tc>
          <w:tcPr>
            <w:tcW w:w="2060" w:type="dxa"/>
            <w:vAlign w:val="bottom"/>
          </w:tcPr>
          <w:p>
            <w:pPr>
              <w:ind w:left="100"/>
              <w:spacing w:after="0"/>
              <w:rPr>
                <w:sz w:val="20"/>
                <w:szCs w:val="20"/>
                <w:color w:val="auto"/>
              </w:rPr>
            </w:pPr>
            <w:r>
              <w:rPr>
                <w:rFonts w:ascii="Arial" w:cs="Arial" w:eastAsia="Arial" w:hAnsi="Arial"/>
                <w:sz w:val="16"/>
                <w:szCs w:val="16"/>
                <w:color w:val="auto"/>
              </w:rPr>
              <w:t>Tech Data Corporation</w:t>
            </w:r>
          </w:p>
        </w:tc>
      </w:tr>
      <w:tr>
        <w:trPr>
          <w:trHeight w:val="395"/>
        </w:trPr>
        <w:tc>
          <w:tcPr>
            <w:tcW w:w="160" w:type="dxa"/>
            <w:vAlign w:val="bottom"/>
          </w:tcPr>
          <w:p>
            <w:pPr>
              <w:spacing w:after="0"/>
              <w:rPr>
                <w:sz w:val="20"/>
                <w:szCs w:val="20"/>
                <w:color w:val="auto"/>
              </w:rPr>
            </w:pPr>
            <w:r>
              <w:rPr>
                <w:rFonts w:ascii="Arial" w:cs="Arial" w:eastAsia="Arial" w:hAnsi="Arial"/>
                <w:sz w:val="16"/>
                <w:szCs w:val="16"/>
                <w:color w:val="auto"/>
              </w:rPr>
              <w:t>•</w:t>
            </w:r>
          </w:p>
        </w:tc>
        <w:tc>
          <w:tcPr>
            <w:tcW w:w="4380" w:type="dxa"/>
            <w:vAlign w:val="bottom"/>
          </w:tcPr>
          <w:p>
            <w:pPr>
              <w:ind w:left="100"/>
              <w:spacing w:after="0"/>
              <w:rPr>
                <w:sz w:val="20"/>
                <w:szCs w:val="20"/>
                <w:color w:val="auto"/>
              </w:rPr>
            </w:pPr>
            <w:r>
              <w:rPr>
                <w:rFonts w:ascii="Arial" w:cs="Arial" w:eastAsia="Arial" w:hAnsi="Arial"/>
                <w:sz w:val="16"/>
                <w:szCs w:val="16"/>
                <w:color w:val="auto"/>
              </w:rPr>
              <w:t>Henry Schein, Inc.</w:t>
            </w:r>
          </w:p>
        </w:tc>
        <w:tc>
          <w:tcPr>
            <w:tcW w:w="3640" w:type="dxa"/>
            <w:vAlign w:val="bottom"/>
            <w:gridSpan w:val="2"/>
          </w:tcPr>
          <w:p>
            <w:pPr>
              <w:ind w:left="1420"/>
              <w:spacing w:after="0"/>
              <w:rPr>
                <w:sz w:val="20"/>
                <w:szCs w:val="20"/>
                <w:color w:val="auto"/>
              </w:rPr>
            </w:pPr>
            <w:r>
              <w:rPr>
                <w:rFonts w:ascii="Arial" w:cs="Arial" w:eastAsia="Arial" w:hAnsi="Arial"/>
                <w:sz w:val="16"/>
                <w:szCs w:val="16"/>
                <w:color w:val="auto"/>
              </w:rPr>
              <w:t>•   United Natural Foods, Inc.</w:t>
            </w:r>
          </w:p>
        </w:tc>
      </w:tr>
      <w:tr>
        <w:trPr>
          <w:trHeight w:val="395"/>
        </w:trPr>
        <w:tc>
          <w:tcPr>
            <w:tcW w:w="160" w:type="dxa"/>
            <w:vAlign w:val="bottom"/>
          </w:tcPr>
          <w:p>
            <w:pPr>
              <w:spacing w:after="0"/>
              <w:rPr>
                <w:sz w:val="20"/>
                <w:szCs w:val="20"/>
                <w:color w:val="auto"/>
              </w:rPr>
            </w:pPr>
            <w:r>
              <w:rPr>
                <w:rFonts w:ascii="Arial" w:cs="Arial" w:eastAsia="Arial" w:hAnsi="Arial"/>
                <w:sz w:val="16"/>
                <w:szCs w:val="16"/>
                <w:color w:val="auto"/>
              </w:rPr>
              <w:t>•</w:t>
            </w:r>
          </w:p>
        </w:tc>
        <w:tc>
          <w:tcPr>
            <w:tcW w:w="4380" w:type="dxa"/>
            <w:vAlign w:val="bottom"/>
          </w:tcPr>
          <w:p>
            <w:pPr>
              <w:ind w:left="100"/>
              <w:spacing w:after="0"/>
              <w:rPr>
                <w:sz w:val="20"/>
                <w:szCs w:val="20"/>
                <w:color w:val="auto"/>
              </w:rPr>
            </w:pPr>
            <w:r>
              <w:rPr>
                <w:rFonts w:ascii="Arial" w:cs="Arial" w:eastAsia="Arial" w:hAnsi="Arial"/>
                <w:sz w:val="16"/>
                <w:szCs w:val="16"/>
                <w:color w:val="auto"/>
              </w:rPr>
              <w:t>Hub Group, Inc.</w:t>
            </w:r>
          </w:p>
        </w:tc>
        <w:tc>
          <w:tcPr>
            <w:tcW w:w="1580" w:type="dxa"/>
            <w:vAlign w:val="bottom"/>
          </w:tcPr>
          <w:p>
            <w:pPr>
              <w:ind w:left="1420"/>
              <w:spacing w:after="0"/>
              <w:rPr>
                <w:sz w:val="20"/>
                <w:szCs w:val="20"/>
                <w:color w:val="auto"/>
              </w:rPr>
            </w:pPr>
            <w:r>
              <w:rPr>
                <w:rFonts w:ascii="Arial" w:cs="Arial" w:eastAsia="Arial" w:hAnsi="Arial"/>
                <w:sz w:val="16"/>
                <w:szCs w:val="16"/>
                <w:color w:val="auto"/>
              </w:rPr>
              <w:t>•</w:t>
            </w:r>
          </w:p>
        </w:tc>
        <w:tc>
          <w:tcPr>
            <w:tcW w:w="2060" w:type="dxa"/>
            <w:vAlign w:val="bottom"/>
          </w:tcPr>
          <w:p>
            <w:pPr>
              <w:ind w:left="100"/>
              <w:spacing w:after="0"/>
              <w:rPr>
                <w:sz w:val="20"/>
                <w:szCs w:val="20"/>
                <w:color w:val="auto"/>
              </w:rPr>
            </w:pPr>
            <w:r>
              <w:rPr>
                <w:rFonts w:ascii="Arial" w:cs="Arial" w:eastAsia="Arial" w:hAnsi="Arial"/>
                <w:sz w:val="16"/>
                <w:szCs w:val="16"/>
                <w:color w:val="auto"/>
              </w:rPr>
              <w:t>W.W. Grainger, Inc.</w:t>
            </w:r>
          </w:p>
        </w:tc>
      </w:tr>
      <w:tr>
        <w:trPr>
          <w:trHeight w:val="395"/>
        </w:trPr>
        <w:tc>
          <w:tcPr>
            <w:tcW w:w="4540" w:type="dxa"/>
            <w:vAlign w:val="bottom"/>
            <w:gridSpan w:val="2"/>
          </w:tcPr>
          <w:p>
            <w:pPr>
              <w:spacing w:after="0"/>
              <w:rPr>
                <w:sz w:val="20"/>
                <w:szCs w:val="20"/>
                <w:color w:val="auto"/>
              </w:rPr>
            </w:pPr>
            <w:r>
              <w:rPr>
                <w:rFonts w:ascii="Arial" w:cs="Arial" w:eastAsia="Arial" w:hAnsi="Arial"/>
                <w:sz w:val="16"/>
                <w:szCs w:val="16"/>
                <w:color w:val="auto"/>
              </w:rPr>
              <w:t>•   J.B. Hunt Transport Services, Inc.</w:t>
            </w:r>
          </w:p>
        </w:tc>
        <w:tc>
          <w:tcPr>
            <w:tcW w:w="1580" w:type="dxa"/>
            <w:vAlign w:val="bottom"/>
          </w:tcPr>
          <w:p>
            <w:pPr>
              <w:ind w:left="1420"/>
              <w:spacing w:after="0"/>
              <w:rPr>
                <w:sz w:val="20"/>
                <w:szCs w:val="20"/>
                <w:color w:val="auto"/>
              </w:rPr>
            </w:pPr>
            <w:r>
              <w:rPr>
                <w:rFonts w:ascii="Arial" w:cs="Arial" w:eastAsia="Arial" w:hAnsi="Arial"/>
                <w:sz w:val="16"/>
                <w:szCs w:val="16"/>
                <w:color w:val="auto"/>
              </w:rPr>
              <w:t>•</w:t>
            </w:r>
          </w:p>
        </w:tc>
        <w:tc>
          <w:tcPr>
            <w:tcW w:w="2060" w:type="dxa"/>
            <w:vAlign w:val="bottom"/>
          </w:tcPr>
          <w:p>
            <w:pPr>
              <w:ind w:left="100"/>
              <w:spacing w:after="0"/>
              <w:rPr>
                <w:sz w:val="20"/>
                <w:szCs w:val="20"/>
                <w:color w:val="auto"/>
              </w:rPr>
            </w:pPr>
            <w:r>
              <w:rPr>
                <w:rFonts w:ascii="Arial" w:cs="Arial" w:eastAsia="Arial" w:hAnsi="Arial"/>
                <w:sz w:val="16"/>
                <w:szCs w:val="16"/>
                <w:color w:val="auto"/>
              </w:rPr>
              <w:t>WESCO International, Inc.</w:t>
            </w:r>
          </w:p>
        </w:tc>
      </w:tr>
      <w:tr>
        <w:trPr>
          <w:trHeight w:val="395"/>
        </w:trPr>
        <w:tc>
          <w:tcPr>
            <w:tcW w:w="4540" w:type="dxa"/>
            <w:vAlign w:val="bottom"/>
            <w:gridSpan w:val="2"/>
          </w:tcPr>
          <w:p>
            <w:pPr>
              <w:spacing w:after="0"/>
              <w:rPr>
                <w:sz w:val="20"/>
                <w:szCs w:val="20"/>
                <w:color w:val="auto"/>
              </w:rPr>
            </w:pPr>
            <w:r>
              <w:rPr>
                <w:rFonts w:ascii="Arial" w:cs="Arial" w:eastAsia="Arial" w:hAnsi="Arial"/>
                <w:sz w:val="16"/>
                <w:szCs w:val="16"/>
                <w:color w:val="auto"/>
              </w:rPr>
              <w:t>•   Jones Lang LaSalle Incorporated</w:t>
            </w:r>
          </w:p>
        </w:tc>
        <w:tc>
          <w:tcPr>
            <w:tcW w:w="1580" w:type="dxa"/>
            <w:vAlign w:val="bottom"/>
          </w:tcPr>
          <w:p>
            <w:pPr>
              <w:ind w:left="1420"/>
              <w:spacing w:after="0"/>
              <w:rPr>
                <w:sz w:val="20"/>
                <w:szCs w:val="20"/>
                <w:color w:val="auto"/>
              </w:rPr>
            </w:pPr>
            <w:r>
              <w:rPr>
                <w:rFonts w:ascii="Arial" w:cs="Arial" w:eastAsia="Arial" w:hAnsi="Arial"/>
                <w:sz w:val="16"/>
                <w:szCs w:val="16"/>
                <w:color w:val="auto"/>
              </w:rPr>
              <w:t>•</w:t>
            </w:r>
          </w:p>
        </w:tc>
        <w:tc>
          <w:tcPr>
            <w:tcW w:w="2060" w:type="dxa"/>
            <w:vAlign w:val="bottom"/>
          </w:tcPr>
          <w:p>
            <w:pPr>
              <w:ind w:left="100"/>
              <w:spacing w:after="0"/>
              <w:rPr>
                <w:sz w:val="20"/>
                <w:szCs w:val="20"/>
                <w:color w:val="auto"/>
              </w:rPr>
            </w:pPr>
            <w:r>
              <w:rPr>
                <w:rFonts w:ascii="Arial" w:cs="Arial" w:eastAsia="Arial" w:hAnsi="Arial"/>
                <w:sz w:val="16"/>
                <w:szCs w:val="16"/>
                <w:color w:val="auto"/>
              </w:rPr>
              <w:t>WEX Inc.</w:t>
            </w:r>
          </w:p>
        </w:tc>
      </w:tr>
      <w:tr>
        <w:trPr>
          <w:trHeight w:val="395"/>
        </w:trPr>
        <w:tc>
          <w:tcPr>
            <w:tcW w:w="160" w:type="dxa"/>
            <w:vAlign w:val="bottom"/>
          </w:tcPr>
          <w:p>
            <w:pPr>
              <w:spacing w:after="0"/>
              <w:rPr>
                <w:sz w:val="20"/>
                <w:szCs w:val="20"/>
                <w:color w:val="auto"/>
              </w:rPr>
            </w:pPr>
            <w:r>
              <w:rPr>
                <w:rFonts w:ascii="Arial" w:cs="Arial" w:eastAsia="Arial" w:hAnsi="Arial"/>
                <w:sz w:val="16"/>
                <w:szCs w:val="16"/>
                <w:color w:val="auto"/>
              </w:rPr>
              <w:t>•</w:t>
            </w:r>
          </w:p>
        </w:tc>
        <w:tc>
          <w:tcPr>
            <w:tcW w:w="4380" w:type="dxa"/>
            <w:vAlign w:val="bottom"/>
          </w:tcPr>
          <w:p>
            <w:pPr>
              <w:ind w:left="100"/>
              <w:spacing w:after="0"/>
              <w:rPr>
                <w:sz w:val="20"/>
                <w:szCs w:val="20"/>
                <w:color w:val="auto"/>
              </w:rPr>
            </w:pPr>
            <w:r>
              <w:rPr>
                <w:rFonts w:ascii="Arial" w:cs="Arial" w:eastAsia="Arial" w:hAnsi="Arial"/>
                <w:sz w:val="16"/>
                <w:szCs w:val="16"/>
                <w:color w:val="auto"/>
              </w:rPr>
              <w:t>Kirby Corporation</w:t>
            </w:r>
          </w:p>
        </w:tc>
        <w:tc>
          <w:tcPr>
            <w:tcW w:w="1580" w:type="dxa"/>
            <w:vAlign w:val="bottom"/>
          </w:tcPr>
          <w:p>
            <w:pPr>
              <w:ind w:left="1420"/>
              <w:spacing w:after="0"/>
              <w:rPr>
                <w:sz w:val="20"/>
                <w:szCs w:val="20"/>
                <w:color w:val="auto"/>
              </w:rPr>
            </w:pPr>
            <w:r>
              <w:rPr>
                <w:rFonts w:ascii="Arial" w:cs="Arial" w:eastAsia="Arial" w:hAnsi="Arial"/>
                <w:sz w:val="16"/>
                <w:szCs w:val="16"/>
                <w:color w:val="auto"/>
              </w:rPr>
              <w:t>•</w:t>
            </w:r>
          </w:p>
        </w:tc>
        <w:tc>
          <w:tcPr>
            <w:tcW w:w="2060" w:type="dxa"/>
            <w:vAlign w:val="bottom"/>
          </w:tcPr>
          <w:p>
            <w:pPr>
              <w:ind w:left="100"/>
              <w:spacing w:after="0"/>
              <w:rPr>
                <w:sz w:val="20"/>
                <w:szCs w:val="20"/>
                <w:color w:val="auto"/>
              </w:rPr>
            </w:pPr>
            <w:r>
              <w:rPr>
                <w:rFonts w:ascii="Arial" w:cs="Arial" w:eastAsia="Arial" w:hAnsi="Arial"/>
                <w:sz w:val="16"/>
                <w:szCs w:val="16"/>
                <w:color w:val="auto"/>
              </w:rPr>
              <w:t>XPO Logistics, Inc.</w:t>
            </w:r>
          </w:p>
        </w:tc>
      </w:tr>
    </w:tbl>
    <w:p>
      <w:pPr>
        <w:spacing w:after="0" w:line="190" w:lineRule="exact"/>
        <w:rPr>
          <w:sz w:val="20"/>
          <w:szCs w:val="20"/>
          <w:color w:val="auto"/>
        </w:rPr>
      </w:pPr>
    </w:p>
    <w:p>
      <w:pPr>
        <w:ind w:left="261" w:hanging="261"/>
        <w:spacing w:after="0"/>
        <w:tabs>
          <w:tab w:leader="none" w:pos="261" w:val="left"/>
        </w:tabs>
        <w:numPr>
          <w:ilvl w:val="0"/>
          <w:numId w:val="47"/>
        </w:numPr>
        <w:rPr>
          <w:rFonts w:ascii="Arial" w:cs="Arial" w:eastAsia="Arial" w:hAnsi="Arial"/>
          <w:sz w:val="16"/>
          <w:szCs w:val="16"/>
          <w:color w:val="auto"/>
        </w:rPr>
      </w:pPr>
      <w:r>
        <w:rPr>
          <w:rFonts w:ascii="Arial" w:cs="Arial" w:eastAsia="Arial" w:hAnsi="Arial"/>
          <w:sz w:val="16"/>
          <w:szCs w:val="16"/>
          <w:color w:val="auto"/>
        </w:rPr>
        <w:t>Landstar System, Inc.</w:t>
      </w:r>
    </w:p>
    <w:p>
      <w:pPr>
        <w:spacing w:after="0" w:line="211" w:lineRule="exact"/>
        <w:rPr>
          <w:sz w:val="20"/>
          <w:szCs w:val="20"/>
          <w:color w:val="auto"/>
        </w:rPr>
      </w:pPr>
    </w:p>
    <w:p>
      <w:pPr>
        <w:ind w:left="1" w:right="20" w:firstLine="552"/>
        <w:spacing w:after="0" w:line="292" w:lineRule="auto"/>
        <w:rPr>
          <w:sz w:val="20"/>
          <w:szCs w:val="20"/>
          <w:color w:val="auto"/>
        </w:rPr>
      </w:pPr>
      <w:r>
        <w:rPr>
          <w:rFonts w:ascii="Arial" w:cs="Arial" w:eastAsia="Arial" w:hAnsi="Arial"/>
          <w:sz w:val="15"/>
          <w:szCs w:val="15"/>
          <w:color w:val="auto"/>
        </w:rPr>
        <w:t>Although the Committee believes comparison compensation and performance data can be useful, the Committee does not believe that any comparison group company, whose composition is based solely on our industry classification, revenues, net income and/or market capitalization, is fully reflective of the markets in which we compete for talent. Consequently, the Committee does not set the executives' target total direct compensation, or any of the target components of such compensation, at any specific percentile of the comparison group. Rather, it considers, as part of the overall compensation discussion, the target and actual (1) base salary, (2) short-term incentive compensation and (3) long-term compensation of the NEOs against the 50</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percentile of the comparison group.</w:t>
      </w:r>
    </w:p>
    <w:p>
      <w:pPr>
        <w:spacing w:after="0" w:line="42"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Independent Compensation Consultants</w:t>
      </w:r>
    </w:p>
    <w:p>
      <w:pPr>
        <w:spacing w:after="0" w:line="215" w:lineRule="exact"/>
        <w:rPr>
          <w:sz w:val="20"/>
          <w:szCs w:val="20"/>
          <w:color w:val="auto"/>
        </w:rPr>
      </w:pPr>
    </w:p>
    <w:p>
      <w:pPr>
        <w:ind w:left="1" w:firstLine="561"/>
        <w:spacing w:after="0" w:line="289" w:lineRule="auto"/>
        <w:rPr>
          <w:sz w:val="20"/>
          <w:szCs w:val="20"/>
          <w:color w:val="auto"/>
        </w:rPr>
      </w:pPr>
      <w:r>
        <w:rPr>
          <w:rFonts w:ascii="Arial" w:cs="Arial" w:eastAsia="Arial" w:hAnsi="Arial"/>
          <w:sz w:val="15"/>
          <w:szCs w:val="15"/>
          <w:color w:val="auto"/>
        </w:rPr>
        <w:t>In connection with the setting of 2017 executive compensation, the Committee engaged and received advice and assistance from Compensation Strategies, Inc. ("Compensation Strategies"), its independent compensation consultant. Compensation Strategies provides services solely to the Committee and reports directly and exclusively to the Committee. The Committee has assessed the independence of Compensation Strategies pursuant to SEC and NYSE rules and the guidelines of the Compensation Committee Charter and concluded that its work for the Committee does not raise any conflict of interest and that it is independent.</w:t>
      </w:r>
    </w:p>
    <w:p>
      <w:pPr>
        <w:spacing w:after="0" w:line="156" w:lineRule="exact"/>
        <w:rPr>
          <w:sz w:val="20"/>
          <w:szCs w:val="20"/>
          <w:color w:val="auto"/>
        </w:rPr>
      </w:pPr>
    </w:p>
    <w:p>
      <w:pPr>
        <w:ind w:left="561"/>
        <w:spacing w:after="0"/>
        <w:rPr>
          <w:sz w:val="20"/>
          <w:szCs w:val="20"/>
          <w:color w:val="auto"/>
        </w:rPr>
      </w:pPr>
      <w:r>
        <w:rPr>
          <w:rFonts w:ascii="Arial" w:cs="Arial" w:eastAsia="Arial" w:hAnsi="Arial"/>
          <w:sz w:val="16"/>
          <w:szCs w:val="16"/>
          <w:color w:val="auto"/>
        </w:rPr>
        <w:t>For 2017, Compensation Strategies provided assistance to the Committee as follows:</w:t>
      </w:r>
    </w:p>
    <w:p>
      <w:pPr>
        <w:spacing w:after="0" w:line="223" w:lineRule="exact"/>
        <w:rPr>
          <w:sz w:val="20"/>
          <w:szCs w:val="20"/>
          <w:color w:val="auto"/>
        </w:rPr>
      </w:pPr>
    </w:p>
    <w:p>
      <w:pPr>
        <w:ind w:left="981" w:hanging="488"/>
        <w:spacing w:after="0"/>
        <w:tabs>
          <w:tab w:leader="none" w:pos="981" w:val="left"/>
        </w:tabs>
        <w:numPr>
          <w:ilvl w:val="0"/>
          <w:numId w:val="48"/>
        </w:numPr>
        <w:rPr>
          <w:rFonts w:ascii="Arial" w:cs="Arial" w:eastAsia="Arial" w:hAnsi="Arial"/>
          <w:sz w:val="16"/>
          <w:szCs w:val="16"/>
          <w:color w:val="auto"/>
        </w:rPr>
      </w:pPr>
      <w:r>
        <w:rPr>
          <w:rFonts w:ascii="Arial" w:cs="Arial" w:eastAsia="Arial" w:hAnsi="Arial"/>
          <w:sz w:val="16"/>
          <w:szCs w:val="16"/>
          <w:color w:val="auto"/>
        </w:rPr>
        <w:t>assisted in the preparation and review of quantitative analysis used in the compensation setting process;</w:t>
      </w:r>
    </w:p>
    <w:p>
      <w:pPr>
        <w:spacing w:after="0" w:line="222" w:lineRule="exact"/>
        <w:rPr>
          <w:rFonts w:ascii="Arial" w:cs="Arial" w:eastAsia="Arial" w:hAnsi="Arial"/>
          <w:sz w:val="16"/>
          <w:szCs w:val="16"/>
          <w:color w:val="auto"/>
        </w:rPr>
      </w:pPr>
    </w:p>
    <w:p>
      <w:pPr>
        <w:ind w:left="981" w:hanging="488"/>
        <w:spacing w:after="0"/>
        <w:tabs>
          <w:tab w:leader="none" w:pos="981" w:val="left"/>
        </w:tabs>
        <w:numPr>
          <w:ilvl w:val="0"/>
          <w:numId w:val="48"/>
        </w:numPr>
        <w:rPr>
          <w:rFonts w:ascii="Arial" w:cs="Arial" w:eastAsia="Arial" w:hAnsi="Arial"/>
          <w:sz w:val="16"/>
          <w:szCs w:val="16"/>
          <w:color w:val="auto"/>
        </w:rPr>
      </w:pPr>
      <w:r>
        <w:rPr>
          <w:rFonts w:ascii="Arial" w:cs="Arial" w:eastAsia="Arial" w:hAnsi="Arial"/>
          <w:sz w:val="16"/>
          <w:szCs w:val="16"/>
          <w:color w:val="auto"/>
        </w:rPr>
        <w:t>assisted the Committee in developing a competitive analysis of our NEO compensation;</w:t>
      </w:r>
    </w:p>
    <w:p>
      <w:pPr>
        <w:spacing w:after="0" w:line="235" w:lineRule="exact"/>
        <w:rPr>
          <w:rFonts w:ascii="Arial" w:cs="Arial" w:eastAsia="Arial" w:hAnsi="Arial"/>
          <w:sz w:val="16"/>
          <w:szCs w:val="16"/>
          <w:color w:val="auto"/>
        </w:rPr>
      </w:pPr>
    </w:p>
    <w:p>
      <w:pPr>
        <w:ind w:left="981" w:hanging="488"/>
        <w:spacing w:after="0"/>
        <w:tabs>
          <w:tab w:leader="none" w:pos="981" w:val="left"/>
        </w:tabs>
        <w:numPr>
          <w:ilvl w:val="0"/>
          <w:numId w:val="48"/>
        </w:numPr>
        <w:rPr>
          <w:rFonts w:ascii="Arial" w:cs="Arial" w:eastAsia="Arial" w:hAnsi="Arial"/>
          <w:sz w:val="16"/>
          <w:szCs w:val="16"/>
          <w:color w:val="auto"/>
        </w:rPr>
      </w:pPr>
      <w:r>
        <w:rPr>
          <w:rFonts w:ascii="Arial" w:cs="Arial" w:eastAsia="Arial" w:hAnsi="Arial"/>
          <w:sz w:val="16"/>
          <w:szCs w:val="16"/>
          <w:color w:val="auto"/>
        </w:rPr>
        <w:t>provided recommendations for the 2017 compensation for our NEOs;</w:t>
      </w:r>
    </w:p>
    <w:p>
      <w:pPr>
        <w:spacing w:after="0" w:line="222" w:lineRule="exact"/>
        <w:rPr>
          <w:rFonts w:ascii="Arial" w:cs="Arial" w:eastAsia="Arial" w:hAnsi="Arial"/>
          <w:sz w:val="16"/>
          <w:szCs w:val="16"/>
          <w:color w:val="auto"/>
        </w:rPr>
      </w:pPr>
    </w:p>
    <w:p>
      <w:pPr>
        <w:ind w:left="981" w:hanging="488"/>
        <w:spacing w:after="0"/>
        <w:tabs>
          <w:tab w:leader="none" w:pos="981" w:val="left"/>
        </w:tabs>
        <w:numPr>
          <w:ilvl w:val="0"/>
          <w:numId w:val="48"/>
        </w:numPr>
        <w:rPr>
          <w:rFonts w:ascii="Arial" w:cs="Arial" w:eastAsia="Arial" w:hAnsi="Arial"/>
          <w:sz w:val="15"/>
          <w:szCs w:val="15"/>
          <w:color w:val="auto"/>
        </w:rPr>
      </w:pPr>
      <w:r>
        <w:rPr>
          <w:rFonts w:ascii="Arial" w:cs="Arial" w:eastAsia="Arial" w:hAnsi="Arial"/>
          <w:sz w:val="15"/>
          <w:szCs w:val="15"/>
          <w:color w:val="auto"/>
        </w:rPr>
        <w:t>performed a competitive analysis of compensation levels for non-employee directors and provided recommendations for our director compensation program;</w:t>
      </w:r>
    </w:p>
    <w:p>
      <w:pPr>
        <w:spacing w:after="0" w:line="32" w:lineRule="exact"/>
        <w:rPr>
          <w:sz w:val="20"/>
          <w:szCs w:val="20"/>
          <w:color w:val="auto"/>
        </w:rPr>
      </w:pPr>
    </w:p>
    <w:p>
      <w:pPr>
        <w:jc w:val="right"/>
        <w:spacing w:after="0"/>
        <w:tabs>
          <w:tab w:leader="none" w:pos="1960" w:val="left"/>
          <w:tab w:leader="none" w:pos="1720" w:val="left"/>
          <w:tab w:leader="none" w:pos="14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3"/>
          <w:szCs w:val="33"/>
          <w:b w:val="1"/>
          <w:bCs w:val="1"/>
          <w:color w:val="auto"/>
          <w:vertAlign w:val="subscript"/>
        </w:rPr>
        <w:t>|</w:t>
      </w:r>
      <w:r>
        <w:rPr>
          <w:sz w:val="20"/>
          <w:szCs w:val="20"/>
          <w:color w:val="auto"/>
        </w:rPr>
        <w:tab/>
      </w:r>
      <w:r>
        <w:rPr>
          <w:rFonts w:ascii="Arial" w:cs="Arial" w:eastAsia="Arial" w:hAnsi="Arial"/>
          <w:sz w:val="16"/>
          <w:szCs w:val="16"/>
          <w:color w:val="auto"/>
        </w:rPr>
        <w:t>2018 Proxy Statement</w:t>
      </w:r>
      <w:r>
        <w:rPr>
          <w:sz w:val="20"/>
          <w:szCs w:val="20"/>
          <w:color w:val="auto"/>
        </w:rPr>
        <w:tab/>
      </w: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7263130" cy="203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1"/>
          </w:cols>
          <w:pgMar w:left="239" w:top="131" w:right="239" w:bottom="1440" w:gutter="0" w:footer="0" w:header="0"/>
        </w:sectPr>
      </w:pPr>
    </w:p>
    <w:bookmarkStart w:id="40" w:name="page41"/>
    <w:bookmarkEnd w:id="40"/>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ind w:left="980" w:hanging="488"/>
        <w:spacing w:after="0"/>
        <w:tabs>
          <w:tab w:leader="none" w:pos="9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reviewed the Compensation Discussion and Analysis in the annual proxy statement;</w:t>
      </w:r>
    </w:p>
    <w:p>
      <w:pPr>
        <w:spacing w:after="0" w:line="235" w:lineRule="exact"/>
        <w:rPr>
          <w:rFonts w:ascii="Arial" w:cs="Arial" w:eastAsia="Arial" w:hAnsi="Arial"/>
          <w:sz w:val="16"/>
          <w:szCs w:val="16"/>
          <w:color w:val="auto"/>
        </w:rPr>
      </w:pPr>
    </w:p>
    <w:p>
      <w:pPr>
        <w:ind w:left="980" w:hanging="488"/>
        <w:spacing w:after="0"/>
        <w:tabs>
          <w:tab w:leader="none" w:pos="9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provided general advice on agreements or other documents the Committee was asked to approve; and</w:t>
      </w:r>
    </w:p>
    <w:p>
      <w:pPr>
        <w:spacing w:after="0" w:line="222" w:lineRule="exact"/>
        <w:rPr>
          <w:rFonts w:ascii="Arial" w:cs="Arial" w:eastAsia="Arial" w:hAnsi="Arial"/>
          <w:sz w:val="16"/>
          <w:szCs w:val="16"/>
          <w:color w:val="auto"/>
        </w:rPr>
      </w:pPr>
    </w:p>
    <w:p>
      <w:pPr>
        <w:ind w:left="980" w:hanging="488"/>
        <w:spacing w:after="0"/>
        <w:tabs>
          <w:tab w:leader="none" w:pos="9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provided updates on regulatory developments and market trends related to executive compensation.</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2017 Say-on-Pay Vote</w:t>
      </w:r>
    </w:p>
    <w:p>
      <w:pPr>
        <w:spacing w:after="0" w:line="215" w:lineRule="exact"/>
        <w:rPr>
          <w:sz w:val="20"/>
          <w:szCs w:val="20"/>
          <w:color w:val="auto"/>
        </w:rPr>
      </w:pPr>
    </w:p>
    <w:p>
      <w:pPr>
        <w:ind w:right="20" w:firstLine="552"/>
        <w:spacing w:after="0" w:line="295" w:lineRule="auto"/>
        <w:rPr>
          <w:sz w:val="20"/>
          <w:szCs w:val="20"/>
          <w:color w:val="auto"/>
        </w:rPr>
      </w:pPr>
      <w:r>
        <w:rPr>
          <w:rFonts w:ascii="Arial" w:cs="Arial" w:eastAsia="Arial" w:hAnsi="Arial"/>
          <w:sz w:val="14"/>
          <w:szCs w:val="14"/>
          <w:color w:val="auto"/>
        </w:rPr>
        <w:t>At our 2017 annual meeting of shareholders, we sought and received approval from 97% of votes cast (excluding abstentions), on a non-binding, advisory basis, of the 2016 compensation of our NEOs. We regularly engage with our shareholders to understand better their perspectives on our compensation programs. As discussed above under "Shareholder Engagement" on page 14, during 2017 we interacted with 18 of our 25 largest active shareholders of our common stock, representing approximately 52% percent of our shares outstanding. In the past, shareholder feedback has led to changes to our long-term incentive compensation program payable to our executive officers to enhance predictability, by adding a long-term performance metric and enhancing shareholder alignment. Specifically, in 2016 we adopted the performance-based long-term incentive share program (the "Performance Share Plan" or "PSP") to complement the existing annual incentive compensation program. As discussed below, on an annual basis, executives are granted an opportunity to earn equity, with the actual number of shares earned determined based on the Company's CAGR in EPS over the subsequent three-year period.</w:t>
      </w:r>
    </w:p>
    <w:p>
      <w:pPr>
        <w:spacing w:after="0" w:line="3" w:lineRule="exact"/>
        <w:rPr>
          <w:sz w:val="20"/>
          <w:szCs w:val="20"/>
          <w:color w:val="auto"/>
        </w:rPr>
      </w:pPr>
    </w:p>
    <w:p>
      <w:pPr>
        <w:jc w:val="right"/>
        <w:spacing w:after="0"/>
        <w:tabs>
          <w:tab w:leader="none" w:pos="1960" w:val="left"/>
          <w:tab w:leader="none" w:pos="1720" w:val="left"/>
          <w:tab w:leader="none" w:pos="14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3"/>
          <w:szCs w:val="33"/>
          <w:b w:val="1"/>
          <w:bCs w:val="1"/>
          <w:color w:val="auto"/>
          <w:vertAlign w:val="subscript"/>
        </w:rPr>
        <w:t>|</w:t>
      </w:r>
      <w:r>
        <w:rPr>
          <w:sz w:val="20"/>
          <w:szCs w:val="20"/>
          <w:color w:val="auto"/>
        </w:rPr>
        <w:tab/>
      </w:r>
      <w:r>
        <w:rPr>
          <w:rFonts w:ascii="Arial" w:cs="Arial" w:eastAsia="Arial" w:hAnsi="Arial"/>
          <w:sz w:val="16"/>
          <w:szCs w:val="16"/>
          <w:color w:val="auto"/>
        </w:rPr>
        <w:t>2018 Proxy Statement</w:t>
      </w:r>
      <w:r>
        <w:rPr>
          <w:sz w:val="20"/>
          <w:szCs w:val="20"/>
          <w:color w:val="auto"/>
        </w:rPr>
        <w:tab/>
      </w: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133350</wp:posOffset>
            </wp:positionV>
            <wp:extent cx="7263130" cy="203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1" w:name="page42"/>
    <w:bookmarkEnd w:id="41"/>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2017 Compensation Program</w:t>
      </w:r>
    </w:p>
    <w:p>
      <w:pPr>
        <w:spacing w:after="0" w:line="215" w:lineRule="exact"/>
        <w:rPr>
          <w:sz w:val="20"/>
          <w:szCs w:val="20"/>
          <w:color w:val="auto"/>
        </w:rPr>
      </w:pPr>
    </w:p>
    <w:p>
      <w:pPr>
        <w:ind w:left="980"/>
        <w:spacing w:after="0"/>
        <w:rPr>
          <w:sz w:val="20"/>
          <w:szCs w:val="20"/>
          <w:color w:val="auto"/>
        </w:rPr>
      </w:pPr>
      <w:r>
        <w:rPr>
          <w:rFonts w:ascii="Arial" w:cs="Arial" w:eastAsia="Arial" w:hAnsi="Arial"/>
          <w:sz w:val="16"/>
          <w:szCs w:val="16"/>
          <w:i w:val="1"/>
          <w:iCs w:val="1"/>
          <w:color w:val="auto"/>
        </w:rPr>
        <w:t>Elements of Compensation</w:t>
      </w:r>
    </w:p>
    <w:p>
      <w:pPr>
        <w:spacing w:after="0" w:line="211" w:lineRule="exact"/>
        <w:rPr>
          <w:sz w:val="20"/>
          <w:szCs w:val="20"/>
          <w:color w:val="auto"/>
        </w:rPr>
      </w:pPr>
    </w:p>
    <w:p>
      <w:pPr>
        <w:ind w:right="860" w:firstLine="558"/>
        <w:spacing w:after="0" w:line="284" w:lineRule="auto"/>
        <w:rPr>
          <w:sz w:val="20"/>
          <w:szCs w:val="20"/>
          <w:color w:val="auto"/>
        </w:rPr>
      </w:pPr>
      <w:r>
        <w:rPr>
          <w:rFonts w:ascii="Arial" w:cs="Arial" w:eastAsia="Arial" w:hAnsi="Arial"/>
          <w:sz w:val="16"/>
          <w:szCs w:val="16"/>
          <w:color w:val="auto"/>
        </w:rPr>
        <w:t>The Committee uses a variety of compensation elements to establish individual compensation programs for each of its NEOs. The table below sets forth the compensation elements that the Committee uses in its programs and the objective of each of these elements.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ind w:right="20" w:firstLine="561"/>
        <w:spacing w:after="0" w:line="297" w:lineRule="auto"/>
        <w:rPr>
          <w:sz w:val="20"/>
          <w:szCs w:val="20"/>
          <w:color w:val="auto"/>
        </w:rPr>
      </w:pPr>
      <w:r>
        <w:rPr>
          <w:rFonts w:ascii="Arial" w:cs="Arial" w:eastAsia="Arial" w:hAnsi="Arial"/>
          <w:sz w:val="14"/>
          <w:szCs w:val="14"/>
          <w:color w:val="auto"/>
        </w:rPr>
        <w:t>In addition to the compensation elements set forth above, the Committee may grant additional equity awards, including sign-on awards, special retention awards or other discretionary awards from time to time. The Committee uses these awards to attract, reward, incentivize and retain key executives that it believes are integral to our overall long-term success, as well as to promote business continuity, drive achievement and growth and ensure proper focus on achieving our long-term strategic objectives.</w:t>
      </w:r>
    </w:p>
    <w:p>
      <w:pPr>
        <w:spacing w:after="0" w:line="2" w:lineRule="exact"/>
        <w:rPr>
          <w:sz w:val="20"/>
          <w:szCs w:val="20"/>
          <w:color w:val="auto"/>
        </w:rPr>
      </w:pPr>
    </w:p>
    <w:p>
      <w:pPr>
        <w:jc w:val="right"/>
        <w:spacing w:after="0"/>
        <w:tabs>
          <w:tab w:leader="none" w:pos="1960" w:val="left"/>
          <w:tab w:leader="none" w:pos="1720" w:val="left"/>
          <w:tab w:leader="none" w:pos="14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3"/>
          <w:szCs w:val="33"/>
          <w:b w:val="1"/>
          <w:bCs w:val="1"/>
          <w:color w:val="auto"/>
          <w:vertAlign w:val="subscript"/>
        </w:rPr>
        <w:t>|</w:t>
      </w:r>
      <w:r>
        <w:rPr>
          <w:sz w:val="20"/>
          <w:szCs w:val="20"/>
          <w:color w:val="auto"/>
        </w:rPr>
        <w:tab/>
      </w:r>
      <w:r>
        <w:rPr>
          <w:rFonts w:ascii="Arial" w:cs="Arial" w:eastAsia="Arial" w:hAnsi="Arial"/>
          <w:sz w:val="16"/>
          <w:szCs w:val="16"/>
          <w:color w:val="auto"/>
        </w:rPr>
        <w:t>2018 Proxy Statement</w:t>
      </w:r>
      <w:r>
        <w:rPr>
          <w:sz w:val="20"/>
          <w:szCs w:val="20"/>
          <w:color w:val="auto"/>
        </w:rPr>
        <w:tab/>
      </w: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133350</wp:posOffset>
            </wp:positionV>
            <wp:extent cx="7263130" cy="203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2" w:name="page43"/>
    <w:bookmarkEnd w:id="42"/>
    <w:p>
      <w:pPr>
        <w:ind w:left="1"/>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ind w:left="981"/>
        <w:spacing w:after="0"/>
        <w:rPr>
          <w:sz w:val="20"/>
          <w:szCs w:val="20"/>
          <w:color w:val="auto"/>
        </w:rPr>
      </w:pPr>
      <w:r>
        <w:rPr>
          <w:rFonts w:ascii="Arial" w:cs="Arial" w:eastAsia="Arial" w:hAnsi="Arial"/>
          <w:sz w:val="16"/>
          <w:szCs w:val="16"/>
          <w:i w:val="1"/>
          <w:iCs w:val="1"/>
          <w:color w:val="auto"/>
        </w:rPr>
        <w:t>2017 Compensation Program Overview</w:t>
      </w:r>
    </w:p>
    <w:p>
      <w:pPr>
        <w:spacing w:after="0" w:line="211" w:lineRule="exact"/>
        <w:rPr>
          <w:sz w:val="20"/>
          <w:szCs w:val="20"/>
          <w:color w:val="auto"/>
        </w:rPr>
      </w:pPr>
    </w:p>
    <w:p>
      <w:pPr>
        <w:ind w:left="1" w:right="200" w:firstLine="561"/>
        <w:spacing w:after="0" w:line="297" w:lineRule="auto"/>
        <w:rPr>
          <w:sz w:val="20"/>
          <w:szCs w:val="20"/>
          <w:color w:val="auto"/>
        </w:rPr>
      </w:pPr>
      <w:r>
        <w:rPr>
          <w:rFonts w:ascii="Arial" w:cs="Arial" w:eastAsia="Arial" w:hAnsi="Arial"/>
          <w:sz w:val="14"/>
          <w:szCs w:val="14"/>
          <w:color w:val="auto"/>
        </w:rPr>
        <w:t>In 2017, the Committee used each of the compensation elements described above in establishing the executive compensation programs for Messrs. Kasbar, Birns, Crosby and Rau and determined the amounts that could be earned for each of these elements in accordance with our pay-for-performance philosophy. Base salary was the only fixed portion of the NEOs' direct compensation. The remainder of the direct compensation for Messrs. Kasbar, Birns, Crosby and Rau was variable and designed to reward:</w:t>
      </w:r>
    </w:p>
    <w:p>
      <w:pPr>
        <w:spacing w:after="0" w:line="2" w:lineRule="exact"/>
        <w:rPr>
          <w:sz w:val="20"/>
          <w:szCs w:val="20"/>
          <w:color w:val="auto"/>
        </w:rPr>
      </w:pPr>
    </w:p>
    <w:p>
      <w:pPr>
        <w:jc w:val="both"/>
        <w:ind w:left="1" w:right="180" w:hanging="1"/>
        <w:spacing w:after="0" w:line="266" w:lineRule="auto"/>
        <w:tabs>
          <w:tab w:leader="none" w:pos="228" w:val="left"/>
        </w:tabs>
        <w:numPr>
          <w:ilvl w:val="0"/>
          <w:numId w:val="50"/>
        </w:numPr>
        <w:rPr>
          <w:rFonts w:ascii="Arial" w:cs="Arial" w:eastAsia="Arial" w:hAnsi="Arial"/>
          <w:sz w:val="16"/>
          <w:szCs w:val="16"/>
          <w:color w:val="auto"/>
        </w:rPr>
      </w:pPr>
      <w:r>
        <w:rPr>
          <w:rFonts w:ascii="Arial" w:cs="Arial" w:eastAsia="Arial" w:hAnsi="Arial"/>
          <w:sz w:val="16"/>
          <w:szCs w:val="16"/>
          <w:color w:val="auto"/>
        </w:rPr>
        <w:t>each of our NEOs for achieving specified levels of Net Income/EPS, (2) each of our NEOs for achievement of operational and organizational objectives that the Committee believes will contribute to the Company's long-term growth and operational excellence, and (3) Messrs. Crosby and Rau for achieving specified levels of Operating Income for select LOS.</w:t>
      </w:r>
    </w:p>
    <w:p>
      <w:pPr>
        <w:spacing w:after="0" w:line="170" w:lineRule="exact"/>
        <w:rPr>
          <w:sz w:val="20"/>
          <w:szCs w:val="20"/>
          <w:color w:val="auto"/>
        </w:rPr>
      </w:pPr>
    </w:p>
    <w:p>
      <w:pPr>
        <w:ind w:left="1" w:right="120" w:firstLine="561"/>
        <w:spacing w:after="0" w:line="264" w:lineRule="auto"/>
        <w:rPr>
          <w:sz w:val="20"/>
          <w:szCs w:val="20"/>
          <w:color w:val="auto"/>
        </w:rPr>
      </w:pPr>
      <w:r>
        <w:rPr>
          <w:rFonts w:ascii="Arial" w:cs="Arial" w:eastAsia="Arial" w:hAnsi="Arial"/>
          <w:sz w:val="16"/>
          <w:szCs w:val="16"/>
          <w:color w:val="auto"/>
        </w:rPr>
        <w:t>In 2017, the Committee transitioned the performance-based components of our annual incentive program from being measured on growth in Net Income from the prior year ("Net Income Growth"), to being measured against targeted levels of Net Income/EPS, where the threshold, target, and excellence levels were set based on public earnings guidance and our internal budgets. We believe that rewarding based on these levels provides challenging metrics that align with investor expectations and better reflects the operating environment and market dynamics in the industries where we operate. Furthermore, Net Income/EPS are metrics that each NEO can impact and therefore serves as an appropriate executive performance measure.</w:t>
      </w:r>
    </w:p>
    <w:p>
      <w:pPr>
        <w:spacing w:after="0" w:line="172" w:lineRule="exact"/>
        <w:rPr>
          <w:sz w:val="20"/>
          <w:szCs w:val="20"/>
          <w:color w:val="auto"/>
        </w:rPr>
      </w:pPr>
    </w:p>
    <w:p>
      <w:pPr>
        <w:ind w:left="1" w:firstLine="561"/>
        <w:spacing w:after="0" w:line="270" w:lineRule="auto"/>
        <w:rPr>
          <w:sz w:val="20"/>
          <w:szCs w:val="20"/>
          <w:color w:val="auto"/>
        </w:rPr>
      </w:pPr>
      <w:r>
        <w:rPr>
          <w:rFonts w:ascii="Arial" w:cs="Arial" w:eastAsia="Arial" w:hAnsi="Arial"/>
          <w:sz w:val="16"/>
          <w:szCs w:val="16"/>
          <w:color w:val="auto"/>
        </w:rPr>
        <w:t>Finally, in 2017, the Committee included Performance-based SSARs ("Performance SSARs") as an additional element of our Long-Term Performance Equity Program in order to further incentivize our NEO's to grow annual EPS. Our Long-Term Performance Equity Program for 2017 therefore had two components, the Performance SSARs and the PSP awards.</w:t>
      </w:r>
    </w:p>
    <w:p>
      <w:pPr>
        <w:spacing w:after="0" w:line="181" w:lineRule="exact"/>
        <w:rPr>
          <w:sz w:val="20"/>
          <w:szCs w:val="20"/>
          <w:color w:val="auto"/>
        </w:rPr>
      </w:pPr>
    </w:p>
    <w:p>
      <w:pPr>
        <w:ind w:left="501" w:right="40" w:hanging="501"/>
        <w:spacing w:after="0" w:line="266" w:lineRule="auto"/>
        <w:tabs>
          <w:tab w:leader="none" w:pos="501"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Performance SSARs were awarded in March of 2017 and would be earned by the NEOs upon achieving specified EPS targets for 2017. Once earned, the Performance SSARs cliff would vest on the third anniversary of the grant date and expire on the fifth anniversary of the grant date. The exercise price of the Performance SSARs was our closing price on the date of grant and therefore would have value only to the extent that our stock price appreciates over the stock price at the time of the grant.</w:t>
      </w:r>
    </w:p>
    <w:p>
      <w:pPr>
        <w:spacing w:after="0" w:line="195" w:lineRule="exact"/>
        <w:rPr>
          <w:rFonts w:ascii="Arial" w:cs="Arial" w:eastAsia="Arial" w:hAnsi="Arial"/>
          <w:sz w:val="16"/>
          <w:szCs w:val="16"/>
          <w:color w:val="auto"/>
        </w:rPr>
      </w:pPr>
    </w:p>
    <w:p>
      <w:pPr>
        <w:ind w:left="501" w:right="420" w:hanging="501"/>
        <w:spacing w:after="0" w:line="283" w:lineRule="auto"/>
        <w:tabs>
          <w:tab w:leader="none" w:pos="501" w:val="left"/>
        </w:tabs>
        <w:numPr>
          <w:ilvl w:val="0"/>
          <w:numId w:val="51"/>
        </w:numPr>
        <w:rPr>
          <w:rFonts w:ascii="Arial" w:cs="Arial" w:eastAsia="Arial" w:hAnsi="Arial"/>
          <w:sz w:val="15"/>
          <w:szCs w:val="15"/>
          <w:color w:val="auto"/>
        </w:rPr>
      </w:pPr>
      <w:r>
        <w:rPr>
          <w:rFonts w:ascii="Arial" w:cs="Arial" w:eastAsia="Arial" w:hAnsi="Arial"/>
          <w:sz w:val="15"/>
          <w:szCs w:val="15"/>
          <w:color w:val="auto"/>
        </w:rPr>
        <w:t>The Committee continued to use the PSP, adopted in 2016, as an overlay to the current core compensation program. Under the PSP, executives are granted a PSP opportunity of a fixed amount (the "PSP Opportunity") annually at the beginning of the three-year vesting period. The PSP Opportunity will be earned based on the achievement of CAGR in EPS targets over the vesting period in order to provide the executives with appropriate incentives to balance the objectives of maximizing earnings with a minimum amount of dilution. The CAGR in EPS performance levels established a Threshold CAGR, at which 50% of the PSP Opportunity will be earned, a Target CAGR at which 100% of the PSP Opportunity will be earned and a Maximum CAGR, at which 200% of the PSP Opportunity will be earned. The number of shares granted at the end of each three-year period would vary based on the level of CAGR in EPS achieved.</w:t>
      </w:r>
    </w:p>
    <w:p>
      <w:pPr>
        <w:spacing w:after="0" w:line="161" w:lineRule="exact"/>
        <w:rPr>
          <w:sz w:val="20"/>
          <w:szCs w:val="20"/>
          <w:color w:val="auto"/>
        </w:rPr>
      </w:pPr>
    </w:p>
    <w:p>
      <w:pPr>
        <w:ind w:left="1" w:right="140" w:firstLine="558"/>
        <w:spacing w:after="0" w:line="319" w:lineRule="auto"/>
        <w:rPr>
          <w:sz w:val="20"/>
          <w:szCs w:val="20"/>
          <w:color w:val="auto"/>
        </w:rPr>
      </w:pPr>
      <w:r>
        <w:rPr>
          <w:rFonts w:ascii="Arial" w:cs="Arial" w:eastAsia="Arial" w:hAnsi="Arial"/>
          <w:sz w:val="15"/>
          <w:szCs w:val="15"/>
          <w:color w:val="auto"/>
        </w:rPr>
        <w:t>The Committee believes that this layering approach to long-term equity (1) is consistent with the practices of our compensation comparison companies and the broader market and (2) provides executives a consistent and continuous incentive to focus on our long-term EPS growth and to share in increases in our market value.</w:t>
      </w:r>
    </w:p>
    <w:p>
      <w:pPr>
        <w:spacing w:after="0" w:line="129" w:lineRule="exact"/>
        <w:rPr>
          <w:sz w:val="20"/>
          <w:szCs w:val="20"/>
          <w:color w:val="auto"/>
        </w:rPr>
      </w:pPr>
    </w:p>
    <w:p>
      <w:pPr>
        <w:jc w:val="right"/>
        <w:spacing w:after="0"/>
        <w:tabs>
          <w:tab w:leader="none" w:pos="1960" w:val="left"/>
          <w:tab w:leader="none" w:pos="1720" w:val="left"/>
          <w:tab w:leader="none" w:pos="14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16"/>
          <w:szCs w:val="16"/>
          <w:b w:val="1"/>
          <w:bCs w:val="1"/>
          <w:color w:val="auto"/>
        </w:rPr>
        <w:t>|</w:t>
      </w:r>
      <w:r>
        <w:rPr>
          <w:sz w:val="20"/>
          <w:szCs w:val="20"/>
          <w:color w:val="auto"/>
        </w:rPr>
        <w:tab/>
      </w:r>
      <w:r>
        <w:rPr>
          <w:rFonts w:ascii="Arial" w:cs="Arial" w:eastAsia="Arial" w:hAnsi="Arial"/>
          <w:sz w:val="16"/>
          <w:szCs w:val="16"/>
          <w:color w:val="auto"/>
        </w:rPr>
        <w:t>2018 Proxy Statement</w:t>
      </w:r>
      <w:r>
        <w:rPr>
          <w:sz w:val="20"/>
          <w:szCs w:val="20"/>
          <w:color w:val="auto"/>
        </w:rPr>
        <w:tab/>
      </w: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139700</wp:posOffset>
            </wp:positionV>
            <wp:extent cx="7263130" cy="203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1"/>
          </w:cols>
          <w:pgMar w:left="239" w:top="131" w:right="239" w:bottom="1440" w:gutter="0" w:footer="0" w:header="0"/>
        </w:sectPr>
      </w:pPr>
    </w:p>
    <w:bookmarkStart w:id="43" w:name="page44"/>
    <w:bookmarkEnd w:id="43"/>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2017 Compensation Program</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Base Salary</w:t>
      </w:r>
    </w:p>
    <w:p>
      <w:pPr>
        <w:spacing w:after="0" w:line="211" w:lineRule="exact"/>
        <w:rPr>
          <w:sz w:val="20"/>
          <w:szCs w:val="20"/>
          <w:color w:val="auto"/>
        </w:rPr>
      </w:pPr>
    </w:p>
    <w:p>
      <w:pPr>
        <w:jc w:val="both"/>
        <w:ind w:right="200" w:firstLine="561"/>
        <w:spacing w:after="0" w:line="266" w:lineRule="auto"/>
        <w:rPr>
          <w:sz w:val="20"/>
          <w:szCs w:val="20"/>
          <w:color w:val="auto"/>
        </w:rPr>
      </w:pPr>
      <w:r>
        <w:rPr>
          <w:rFonts w:ascii="Arial" w:cs="Arial" w:eastAsia="Arial" w:hAnsi="Arial"/>
          <w:sz w:val="16"/>
          <w:szCs w:val="16"/>
          <w:color w:val="auto"/>
        </w:rPr>
        <w:t>Base salary is the only fixed portion of our Compensation Program for our executive officers, including our NEOs. The base salary for each NEO is based on various factors, including position, role, responsibility and past experience. In February 2017, the Committee reviewed the base salaries for our NEOs and decided not to increase their base salaries. In October 2017, upon his appointment as Executive Vice President and Chief Operating Officer, the Committee approved an annual base salary of $600,000 for Mr. Smith.</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Annual Incentive Program</w:t>
      </w:r>
    </w:p>
    <w:p>
      <w:pPr>
        <w:spacing w:after="0" w:line="211" w:lineRule="exact"/>
        <w:rPr>
          <w:sz w:val="20"/>
          <w:szCs w:val="20"/>
          <w:color w:val="auto"/>
        </w:rPr>
      </w:pPr>
    </w:p>
    <w:p>
      <w:pPr>
        <w:ind w:firstLine="558"/>
        <w:spacing w:after="0" w:line="283" w:lineRule="auto"/>
        <w:rPr>
          <w:sz w:val="20"/>
          <w:szCs w:val="20"/>
          <w:color w:val="auto"/>
        </w:rPr>
      </w:pPr>
      <w:r>
        <w:rPr>
          <w:rFonts w:ascii="Arial" w:cs="Arial" w:eastAsia="Arial" w:hAnsi="Arial"/>
          <w:sz w:val="15"/>
          <w:szCs w:val="15"/>
          <w:color w:val="auto"/>
        </w:rPr>
        <w:t>The Committee's design of the annual compensation program is intended to promote investments in near-term and long-term growth and opportunities by our NEOs as well as reward/motivate annual performance. As such, the annual incentive program for each of Messrs. Kasbar, Birns, Crosby and Rau consisted of a mix of Performance-Related Incentive Awards based on annual Net Income/EPS, and for Messrs. Crosby and Rau, also based on specific LOS Operating Income. In addition, each NEO was provided the opportunity to earn a Strategic Objective Cash Incentive Award based on the individual's performance against operational and organizational objectives. Consistent with its objective to align executive compensation with our Company's performance, beginning in 2017, each of the components of the compensation program (other than base salary) is subject to the Company achieving consolidated gross profit for 2017 at least equal to 75% of the prior year's consolidated gross profit.</w:t>
      </w:r>
    </w:p>
    <w:p>
      <w:pPr>
        <w:spacing w:after="0" w:line="161" w:lineRule="exact"/>
        <w:rPr>
          <w:sz w:val="20"/>
          <w:szCs w:val="20"/>
          <w:color w:val="auto"/>
        </w:rPr>
      </w:pPr>
    </w:p>
    <w:p>
      <w:pPr>
        <w:ind w:left="980"/>
        <w:spacing w:after="0"/>
        <w:rPr>
          <w:sz w:val="20"/>
          <w:szCs w:val="20"/>
          <w:color w:val="auto"/>
        </w:rPr>
      </w:pPr>
      <w:r>
        <w:rPr>
          <w:rFonts w:ascii="Arial" w:cs="Arial" w:eastAsia="Arial" w:hAnsi="Arial"/>
          <w:sz w:val="16"/>
          <w:szCs w:val="16"/>
          <w:i w:val="1"/>
          <w:iCs w:val="1"/>
          <w:color w:val="auto"/>
        </w:rPr>
        <w:t>Performance-Related Incentive Awards</w:t>
      </w:r>
    </w:p>
    <w:p>
      <w:pPr>
        <w:spacing w:after="0" w:line="211" w:lineRule="exact"/>
        <w:rPr>
          <w:sz w:val="20"/>
          <w:szCs w:val="20"/>
          <w:color w:val="auto"/>
        </w:rPr>
      </w:pPr>
    </w:p>
    <w:p>
      <w:pPr>
        <w:ind w:right="40" w:firstLine="561"/>
        <w:spacing w:after="0" w:line="262" w:lineRule="auto"/>
        <w:rPr>
          <w:sz w:val="20"/>
          <w:szCs w:val="20"/>
          <w:color w:val="auto"/>
        </w:rPr>
      </w:pPr>
      <w:r>
        <w:rPr>
          <w:rFonts w:ascii="Arial" w:cs="Arial" w:eastAsia="Arial" w:hAnsi="Arial"/>
          <w:sz w:val="16"/>
          <w:szCs w:val="16"/>
          <w:color w:val="auto"/>
        </w:rPr>
        <w:t>In 2017, our Performance-Related Incentive Awards were structured so that NEOs are rewarded for their direct responsibilities within our business. Accordingly, Messrs. Kasbar's and Birns' compensation was based on Net Income/EPS levels at the consolidated level. The Committee believes that this metric is appropriate because Messrs. Kasbar and Birns have roles that directly affect the strategic direction of the Company and our overall performance on a consolidated basis. For Messrs. Crosby and Rau, who each individually oversee a component of our operations, the Committee decided to award a portion of their Performance-Related Incentive Award based on Net Income/EPS achievement and a portion based on the Operating Income for select LOS for which they have responsibility and for which the Committee believes they can impact achievement levels.</w:t>
      </w:r>
    </w:p>
    <w:p>
      <w:pPr>
        <w:spacing w:after="0" w:line="176" w:lineRule="exact"/>
        <w:rPr>
          <w:sz w:val="20"/>
          <w:szCs w:val="20"/>
          <w:color w:val="auto"/>
        </w:rPr>
      </w:pPr>
    </w:p>
    <w:p>
      <w:pPr>
        <w:ind w:firstLine="552"/>
        <w:spacing w:after="0" w:line="266" w:lineRule="auto"/>
        <w:rPr>
          <w:sz w:val="20"/>
          <w:szCs w:val="20"/>
          <w:color w:val="auto"/>
        </w:rPr>
      </w:pPr>
      <w:r>
        <w:rPr>
          <w:rFonts w:ascii="Arial" w:cs="Arial" w:eastAsia="Arial" w:hAnsi="Arial"/>
          <w:sz w:val="16"/>
          <w:szCs w:val="16"/>
          <w:color w:val="auto"/>
        </w:rPr>
        <w:t>As in prior years, the annual incentive award is payable in cash and equity with the Committee establishing threshold levels at which each components would begin to be earned. The Committee then establishes the amount of cash and equity that would be earned at both target and maximum performance levels. The Committee believes that awarding a portion of the annual incentive award in equity which vests over time further aligns our NEOs interests with the interests of our shareholders and encourages executive decision-making that maximizes value creation over the long-term and that leads to share price appreciation.</w:t>
      </w:r>
    </w:p>
    <w:p>
      <w:pPr>
        <w:spacing w:after="0" w:line="171" w:lineRule="exact"/>
        <w:rPr>
          <w:sz w:val="20"/>
          <w:szCs w:val="20"/>
          <w:color w:val="auto"/>
        </w:rPr>
      </w:pPr>
    </w:p>
    <w:p>
      <w:pPr>
        <w:jc w:val="both"/>
        <w:ind w:right="200" w:firstLine="558"/>
        <w:spacing w:after="0" w:line="277" w:lineRule="auto"/>
        <w:rPr>
          <w:sz w:val="20"/>
          <w:szCs w:val="20"/>
          <w:color w:val="auto"/>
        </w:rPr>
      </w:pPr>
      <w:r>
        <w:rPr>
          <w:rFonts w:ascii="Arial" w:cs="Arial" w:eastAsia="Arial" w:hAnsi="Arial"/>
          <w:sz w:val="15"/>
          <w:szCs w:val="15"/>
          <w:color w:val="auto"/>
        </w:rPr>
        <w:t>To the extent that the threshold level targets of Net Income/EPS performance are achieved for a particular year, RSUs are issued in March of the subsequent year and vest ratably over the next three years. As in prior years, the Committee chose to use RSUs for the equity portion of the annual Performance-Related Incentive Awards based on tax considerations. The amount of RSUs awarded is determined by taking the actual amount earned by each NEO and issuing RSUs equal to the amount earned divided by the closing price of our common stock on the NYSE on the date the shares of RSUs are issued.</w:t>
      </w:r>
    </w:p>
    <w:p>
      <w:pPr>
        <w:ind w:left="6980"/>
        <w:spacing w:after="0"/>
        <w:tabs>
          <w:tab w:leader="none" w:pos="9420" w:val="left"/>
          <w:tab w:leader="none" w:pos="9660" w:val="left"/>
          <w:tab w:leader="none" w:pos="1124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3"/>
          <w:szCs w:val="33"/>
          <w:b w:val="1"/>
          <w:bCs w:val="1"/>
          <w:color w:val="auto"/>
          <w:vertAlign w:val="subscript"/>
        </w:rPr>
        <w:t>|</w:t>
      </w:r>
      <w:r>
        <w:rPr>
          <w:sz w:val="20"/>
          <w:szCs w:val="20"/>
          <w:color w:val="auto"/>
        </w:rPr>
        <w:tab/>
      </w:r>
      <w:r>
        <w:rPr>
          <w:rFonts w:ascii="Arial" w:cs="Arial" w:eastAsia="Arial" w:hAnsi="Arial"/>
          <w:sz w:val="16"/>
          <w:szCs w:val="16"/>
          <w:color w:val="auto"/>
        </w:rPr>
        <w:t>2018 Proxy Statement</w:t>
      </w:r>
      <w:r>
        <w:rPr>
          <w:sz w:val="20"/>
          <w:szCs w:val="20"/>
          <w:color w:val="auto"/>
        </w:rPr>
        <w:tab/>
      </w: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133350</wp:posOffset>
            </wp:positionV>
            <wp:extent cx="7263130" cy="203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4" w:name="page45"/>
    <w:bookmarkEnd w:id="44"/>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ind w:right="140" w:firstLine="561"/>
        <w:spacing w:after="0" w:line="284" w:lineRule="auto"/>
        <w:rPr>
          <w:sz w:val="20"/>
          <w:szCs w:val="20"/>
          <w:color w:val="auto"/>
        </w:rPr>
      </w:pPr>
      <w:r>
        <w:rPr>
          <w:rFonts w:ascii="Arial" w:cs="Arial" w:eastAsia="Arial" w:hAnsi="Arial"/>
          <w:sz w:val="16"/>
          <w:szCs w:val="16"/>
          <w:color w:val="auto"/>
        </w:rPr>
        <w:t>For 2017, the Committee established for our NEOs the following thresholds, target and maximum opportunities for our Performance-Related Incentive Awards and the amounts that would be paid in cash and equity.</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Company Profitability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1447800</wp:posOffset>
            </wp:positionH>
            <wp:positionV relativeFrom="paragraph">
              <wp:posOffset>139065</wp:posOffset>
            </wp:positionV>
            <wp:extent cx="4353560" cy="2584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353560" cy="258445"/>
                    </a:xfrm>
                    <a:prstGeom prst="rect">
                      <a:avLst/>
                    </a:prstGeom>
                    <a:noFill/>
                  </pic:spPr>
                </pic:pic>
              </a:graphicData>
            </a:graphic>
          </wp:anchor>
        </w:drawing>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FFFFFE"/>
        </w:rPr>
        <w:t>Bonus Opportunity – Net Income/EPS</w:t>
      </w:r>
    </w:p>
    <w:p>
      <w:pPr>
        <w:spacing w:after="0" w:line="45" w:lineRule="exact"/>
        <w:rPr>
          <w:sz w:val="20"/>
          <w:szCs w:val="20"/>
          <w:color w:val="auto"/>
        </w:rPr>
      </w:pPr>
    </w:p>
    <w:tbl>
      <w:tblPr>
        <w:tblLayout w:type="fixed"/>
        <w:tblInd w:w="2280" w:type="dxa"/>
        <w:tblCellMar>
          <w:top w:w="0" w:type="dxa"/>
          <w:left w:w="0" w:type="dxa"/>
          <w:bottom w:w="0" w:type="dxa"/>
          <w:right w:w="0" w:type="dxa"/>
        </w:tblCellMar>
      </w:tblPr>
      <w:tr>
        <w:trPr>
          <w:trHeight w:val="191"/>
        </w:trPr>
        <w:tc>
          <w:tcPr>
            <w:tcW w:w="2620" w:type="dxa"/>
            <w:vAlign w:val="bottom"/>
            <w:shd w:val="clear" w:color="auto" w:fill="00529B"/>
          </w:tcPr>
          <w:p>
            <w:pPr>
              <w:spacing w:after="0"/>
              <w:rPr>
                <w:sz w:val="20"/>
                <w:szCs w:val="20"/>
                <w:color w:val="auto"/>
              </w:rPr>
            </w:pPr>
            <w:r>
              <w:rPr>
                <w:rFonts w:ascii="Arial" w:cs="Arial" w:eastAsia="Arial" w:hAnsi="Arial"/>
                <w:sz w:val="16"/>
                <w:szCs w:val="16"/>
                <w:b w:val="1"/>
                <w:bCs w:val="1"/>
                <w:color w:val="FFFFFE"/>
              </w:rPr>
              <w:t>NEO</w:t>
            </w:r>
          </w:p>
        </w:tc>
        <w:tc>
          <w:tcPr>
            <w:tcW w:w="940" w:type="dxa"/>
            <w:vAlign w:val="bottom"/>
            <w:shd w:val="clear" w:color="auto" w:fill="00529B"/>
          </w:tcPr>
          <w:p>
            <w:pPr>
              <w:spacing w:after="0"/>
              <w:rPr>
                <w:sz w:val="16"/>
                <w:szCs w:val="16"/>
                <w:color w:val="auto"/>
              </w:rPr>
            </w:pPr>
          </w:p>
        </w:tc>
        <w:tc>
          <w:tcPr>
            <w:tcW w:w="940" w:type="dxa"/>
            <w:vAlign w:val="bottom"/>
            <w:shd w:val="clear" w:color="auto" w:fill="00529B"/>
          </w:tcPr>
          <w:p>
            <w:pPr>
              <w:jc w:val="right"/>
              <w:ind w:right="100"/>
              <w:spacing w:after="0"/>
              <w:rPr>
                <w:sz w:val="20"/>
                <w:szCs w:val="20"/>
                <w:color w:val="auto"/>
              </w:rPr>
            </w:pPr>
            <w:r>
              <w:rPr>
                <w:rFonts w:ascii="Arial" w:cs="Arial" w:eastAsia="Arial" w:hAnsi="Arial"/>
                <w:sz w:val="16"/>
                <w:szCs w:val="16"/>
                <w:b w:val="1"/>
                <w:bCs w:val="1"/>
                <w:color w:val="FFFFFE"/>
                <w:w w:val="95"/>
              </w:rPr>
              <w:t>Threshold</w:t>
            </w:r>
          </w:p>
        </w:tc>
        <w:tc>
          <w:tcPr>
            <w:tcW w:w="260" w:type="dxa"/>
            <w:vAlign w:val="bottom"/>
            <w:shd w:val="clear" w:color="auto" w:fill="00529B"/>
          </w:tcPr>
          <w:p>
            <w:pPr>
              <w:spacing w:after="0"/>
              <w:rPr>
                <w:sz w:val="16"/>
                <w:szCs w:val="16"/>
                <w:color w:val="auto"/>
              </w:rPr>
            </w:pPr>
          </w:p>
        </w:tc>
        <w:tc>
          <w:tcPr>
            <w:tcW w:w="880" w:type="dxa"/>
            <w:vAlign w:val="bottom"/>
            <w:shd w:val="clear" w:color="auto" w:fill="00529B"/>
          </w:tcPr>
          <w:p>
            <w:pPr>
              <w:jc w:val="right"/>
              <w:ind w:right="220"/>
              <w:spacing w:after="0"/>
              <w:rPr>
                <w:sz w:val="20"/>
                <w:szCs w:val="20"/>
                <w:color w:val="auto"/>
              </w:rPr>
            </w:pPr>
            <w:r>
              <w:rPr>
                <w:rFonts w:ascii="Arial" w:cs="Arial" w:eastAsia="Arial" w:hAnsi="Arial"/>
                <w:sz w:val="16"/>
                <w:szCs w:val="16"/>
                <w:b w:val="1"/>
                <w:bCs w:val="1"/>
                <w:color w:val="FFFFFE"/>
              </w:rPr>
              <w:t>Target</w:t>
            </w:r>
          </w:p>
        </w:tc>
        <w:tc>
          <w:tcPr>
            <w:tcW w:w="200" w:type="dxa"/>
            <w:vAlign w:val="bottom"/>
            <w:shd w:val="clear" w:color="auto" w:fill="00529B"/>
          </w:tcPr>
          <w:p>
            <w:pPr>
              <w:spacing w:after="0"/>
              <w:rPr>
                <w:sz w:val="16"/>
                <w:szCs w:val="16"/>
                <w:color w:val="auto"/>
              </w:rPr>
            </w:pPr>
          </w:p>
        </w:tc>
        <w:tc>
          <w:tcPr>
            <w:tcW w:w="1020" w:type="dxa"/>
            <w:vAlign w:val="bottom"/>
            <w:shd w:val="clear" w:color="auto" w:fill="00529B"/>
          </w:tcPr>
          <w:p>
            <w:pPr>
              <w:jc w:val="right"/>
              <w:ind w:right="160"/>
              <w:spacing w:after="0"/>
              <w:rPr>
                <w:sz w:val="20"/>
                <w:szCs w:val="20"/>
                <w:color w:val="auto"/>
              </w:rPr>
            </w:pPr>
            <w:r>
              <w:rPr>
                <w:rFonts w:ascii="Arial" w:cs="Arial" w:eastAsia="Arial" w:hAnsi="Arial"/>
                <w:sz w:val="16"/>
                <w:szCs w:val="16"/>
                <w:b w:val="1"/>
                <w:bCs w:val="1"/>
                <w:color w:val="FFFFFE"/>
              </w:rPr>
              <w:t>Maximum</w:t>
            </w:r>
          </w:p>
        </w:tc>
      </w:tr>
      <w:tr>
        <w:trPr>
          <w:trHeight w:val="197"/>
        </w:trPr>
        <w:tc>
          <w:tcPr>
            <w:tcW w:w="2620" w:type="dxa"/>
            <w:vAlign w:val="bottom"/>
            <w:shd w:val="clear" w:color="auto" w:fill="DFE3F1"/>
          </w:tcPr>
          <w:p>
            <w:pPr>
              <w:spacing w:after="0"/>
              <w:rPr>
                <w:sz w:val="20"/>
                <w:szCs w:val="20"/>
                <w:color w:val="auto"/>
              </w:rPr>
            </w:pPr>
            <w:r>
              <w:rPr>
                <w:rFonts w:ascii="Arial" w:cs="Arial" w:eastAsia="Arial" w:hAnsi="Arial"/>
                <w:sz w:val="16"/>
                <w:szCs w:val="16"/>
                <w:b w:val="1"/>
                <w:bCs w:val="1"/>
                <w:color w:val="auto"/>
              </w:rPr>
              <w:t>Kasbar</w:t>
            </w:r>
          </w:p>
        </w:tc>
        <w:tc>
          <w:tcPr>
            <w:tcW w:w="940" w:type="dxa"/>
            <w:vAlign w:val="bottom"/>
            <w:shd w:val="clear" w:color="auto" w:fill="DFE3F1"/>
          </w:tcPr>
          <w:p>
            <w:pPr>
              <w:ind w:left="160"/>
              <w:spacing w:after="0"/>
              <w:rPr>
                <w:sz w:val="20"/>
                <w:szCs w:val="20"/>
                <w:color w:val="auto"/>
              </w:rPr>
            </w:pPr>
            <w:r>
              <w:rPr>
                <w:rFonts w:ascii="Arial" w:cs="Arial" w:eastAsia="Arial" w:hAnsi="Arial"/>
                <w:sz w:val="16"/>
                <w:szCs w:val="16"/>
                <w:b w:val="1"/>
                <w:bCs w:val="1"/>
                <w:color w:val="auto"/>
              </w:rPr>
              <w:t xml:space="preserve">Equity  </w:t>
            </w:r>
            <w:r>
              <w:rPr>
                <w:rFonts w:ascii="Arial" w:cs="Arial" w:eastAsia="Arial" w:hAnsi="Arial"/>
                <w:sz w:val="16"/>
                <w:szCs w:val="16"/>
                <w:color w:val="auto"/>
              </w:rPr>
              <w:t>$</w:t>
            </w:r>
          </w:p>
        </w:tc>
        <w:tc>
          <w:tcPr>
            <w:tcW w:w="940" w:type="dxa"/>
            <w:vAlign w:val="bottom"/>
            <w:shd w:val="clear" w:color="auto" w:fill="DFE3F1"/>
          </w:tcPr>
          <w:p>
            <w:pPr>
              <w:jc w:val="right"/>
              <w:spacing w:after="0"/>
              <w:rPr>
                <w:sz w:val="20"/>
                <w:szCs w:val="20"/>
                <w:color w:val="auto"/>
              </w:rPr>
            </w:pPr>
            <w:r>
              <w:rPr>
                <w:rFonts w:ascii="Arial" w:cs="Arial" w:eastAsia="Arial" w:hAnsi="Arial"/>
                <w:sz w:val="16"/>
                <w:szCs w:val="16"/>
                <w:color w:val="auto"/>
              </w:rPr>
              <w:t>125,000</w:t>
            </w:r>
          </w:p>
        </w:tc>
        <w:tc>
          <w:tcPr>
            <w:tcW w:w="260" w:type="dxa"/>
            <w:vAlign w:val="bottom"/>
            <w:shd w:val="clear" w:color="auto" w:fill="DFE3F1"/>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shd w:val="clear" w:color="auto" w:fill="DFE3F1"/>
          </w:tcPr>
          <w:p>
            <w:pPr>
              <w:jc w:val="right"/>
              <w:spacing w:after="0"/>
              <w:rPr>
                <w:sz w:val="20"/>
                <w:szCs w:val="20"/>
                <w:color w:val="auto"/>
              </w:rPr>
            </w:pPr>
            <w:r>
              <w:rPr>
                <w:rFonts w:ascii="Arial" w:cs="Arial" w:eastAsia="Arial" w:hAnsi="Arial"/>
                <w:sz w:val="16"/>
                <w:szCs w:val="16"/>
                <w:color w:val="auto"/>
              </w:rPr>
              <w:t>500,000</w:t>
            </w:r>
          </w:p>
        </w:tc>
        <w:tc>
          <w:tcPr>
            <w:tcW w:w="200" w:type="dxa"/>
            <w:vAlign w:val="bottom"/>
            <w:shd w:val="clear" w:color="auto" w:fill="DFE3F1"/>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DFE3F1"/>
          </w:tcPr>
          <w:p>
            <w:pPr>
              <w:jc w:val="right"/>
              <w:ind w:right="80"/>
              <w:spacing w:after="0"/>
              <w:rPr>
                <w:sz w:val="20"/>
                <w:szCs w:val="20"/>
                <w:color w:val="auto"/>
              </w:rPr>
            </w:pPr>
            <w:r>
              <w:rPr>
                <w:rFonts w:ascii="Arial" w:cs="Arial" w:eastAsia="Arial" w:hAnsi="Arial"/>
                <w:sz w:val="16"/>
                <w:szCs w:val="16"/>
                <w:color w:val="auto"/>
              </w:rPr>
              <w:t>1,500,000</w:t>
            </w:r>
          </w:p>
        </w:tc>
      </w:tr>
      <w:tr>
        <w:trPr>
          <w:trHeight w:val="197"/>
        </w:trPr>
        <w:tc>
          <w:tcPr>
            <w:tcW w:w="2620" w:type="dxa"/>
            <w:vAlign w:val="bottom"/>
            <w:tcBorders>
              <w:bottom w:val="single" w:sz="8" w:color="DFE3F1"/>
            </w:tcBorders>
            <w:shd w:val="clear" w:color="auto" w:fill="DFE3F1"/>
          </w:tcPr>
          <w:p>
            <w:pPr>
              <w:spacing w:after="0"/>
              <w:rPr>
                <w:sz w:val="17"/>
                <w:szCs w:val="17"/>
                <w:color w:val="auto"/>
              </w:rPr>
            </w:pPr>
          </w:p>
        </w:tc>
        <w:tc>
          <w:tcPr>
            <w:tcW w:w="940" w:type="dxa"/>
            <w:vAlign w:val="bottom"/>
            <w:tcBorders>
              <w:bottom w:val="single" w:sz="8" w:color="auto"/>
            </w:tcBorders>
            <w:shd w:val="clear" w:color="auto" w:fill="DFE3F1"/>
          </w:tcPr>
          <w:p>
            <w:pPr>
              <w:ind w:left="160"/>
              <w:spacing w:after="0"/>
              <w:rPr>
                <w:sz w:val="20"/>
                <w:szCs w:val="20"/>
                <w:color w:val="auto"/>
              </w:rPr>
            </w:pPr>
            <w:r>
              <w:rPr>
                <w:rFonts w:ascii="Arial" w:cs="Arial" w:eastAsia="Arial" w:hAnsi="Arial"/>
                <w:sz w:val="16"/>
                <w:szCs w:val="16"/>
                <w:b w:val="1"/>
                <w:bCs w:val="1"/>
                <w:color w:val="auto"/>
              </w:rPr>
              <w:t>Cash</w:t>
            </w:r>
          </w:p>
        </w:tc>
        <w:tc>
          <w:tcPr>
            <w:tcW w:w="940" w:type="dxa"/>
            <w:vAlign w:val="bottom"/>
            <w:tcBorders>
              <w:bottom w:val="single" w:sz="8" w:color="auto"/>
            </w:tcBorders>
            <w:shd w:val="clear" w:color="auto" w:fill="DFE3F1"/>
          </w:tcPr>
          <w:p>
            <w:pPr>
              <w:jc w:val="right"/>
              <w:spacing w:after="0"/>
              <w:rPr>
                <w:sz w:val="20"/>
                <w:szCs w:val="20"/>
                <w:color w:val="auto"/>
              </w:rPr>
            </w:pPr>
            <w:r>
              <w:rPr>
                <w:rFonts w:ascii="Arial" w:cs="Arial" w:eastAsia="Arial" w:hAnsi="Arial"/>
                <w:sz w:val="16"/>
                <w:szCs w:val="16"/>
                <w:color w:val="auto"/>
              </w:rPr>
              <w:t>500,000</w:t>
            </w:r>
          </w:p>
        </w:tc>
        <w:tc>
          <w:tcPr>
            <w:tcW w:w="260" w:type="dxa"/>
            <w:vAlign w:val="bottom"/>
            <w:tcBorders>
              <w:bottom w:val="single" w:sz="8" w:color="auto"/>
            </w:tcBorders>
            <w:shd w:val="clear" w:color="auto" w:fill="DFE3F1"/>
          </w:tcPr>
          <w:p>
            <w:pPr>
              <w:spacing w:after="0"/>
              <w:rPr>
                <w:sz w:val="17"/>
                <w:szCs w:val="17"/>
                <w:color w:val="auto"/>
              </w:rPr>
            </w:pPr>
          </w:p>
        </w:tc>
        <w:tc>
          <w:tcPr>
            <w:tcW w:w="880" w:type="dxa"/>
            <w:vAlign w:val="bottom"/>
            <w:tcBorders>
              <w:bottom w:val="single" w:sz="8" w:color="auto"/>
            </w:tcBorders>
            <w:shd w:val="clear" w:color="auto" w:fill="DFE3F1"/>
          </w:tcPr>
          <w:p>
            <w:pPr>
              <w:jc w:val="right"/>
              <w:spacing w:after="0"/>
              <w:rPr>
                <w:sz w:val="20"/>
                <w:szCs w:val="20"/>
                <w:color w:val="auto"/>
              </w:rPr>
            </w:pPr>
            <w:r>
              <w:rPr>
                <w:rFonts w:ascii="Arial" w:cs="Arial" w:eastAsia="Arial" w:hAnsi="Arial"/>
                <w:sz w:val="16"/>
                <w:szCs w:val="16"/>
                <w:color w:val="auto"/>
              </w:rPr>
              <w:t>1,000,000</w:t>
            </w:r>
          </w:p>
        </w:tc>
        <w:tc>
          <w:tcPr>
            <w:tcW w:w="200" w:type="dxa"/>
            <w:vAlign w:val="bottom"/>
            <w:tcBorders>
              <w:bottom w:val="single" w:sz="8" w:color="auto"/>
            </w:tcBorders>
            <w:shd w:val="clear" w:color="auto" w:fill="DFE3F1"/>
          </w:tcPr>
          <w:p>
            <w:pPr>
              <w:spacing w:after="0"/>
              <w:rPr>
                <w:sz w:val="17"/>
                <w:szCs w:val="17"/>
                <w:color w:val="auto"/>
              </w:rPr>
            </w:pPr>
          </w:p>
        </w:tc>
        <w:tc>
          <w:tcPr>
            <w:tcW w:w="1020" w:type="dxa"/>
            <w:vAlign w:val="bottom"/>
            <w:tcBorders>
              <w:bottom w:val="single" w:sz="8" w:color="auto"/>
            </w:tcBorders>
            <w:shd w:val="clear" w:color="auto" w:fill="DFE3F1"/>
          </w:tcPr>
          <w:p>
            <w:pPr>
              <w:jc w:val="right"/>
              <w:ind w:right="60"/>
              <w:spacing w:after="0"/>
              <w:rPr>
                <w:sz w:val="20"/>
                <w:szCs w:val="20"/>
                <w:color w:val="auto"/>
              </w:rPr>
            </w:pPr>
            <w:r>
              <w:rPr>
                <w:rFonts w:ascii="Arial" w:cs="Arial" w:eastAsia="Arial" w:hAnsi="Arial"/>
                <w:sz w:val="16"/>
                <w:szCs w:val="16"/>
                <w:color w:val="auto"/>
              </w:rPr>
              <w:t>3,000,000</w:t>
            </w:r>
          </w:p>
        </w:tc>
      </w:tr>
      <w:tr>
        <w:trPr>
          <w:trHeight w:val="190"/>
        </w:trPr>
        <w:tc>
          <w:tcPr>
            <w:tcW w:w="2620" w:type="dxa"/>
            <w:vAlign w:val="bottom"/>
            <w:tcBorders>
              <w:bottom w:val="single" w:sz="8" w:color="auto"/>
            </w:tcBorders>
            <w:shd w:val="clear" w:color="auto" w:fill="DFE3F1"/>
          </w:tcPr>
          <w:p>
            <w:pPr>
              <w:spacing w:after="0"/>
              <w:rPr>
                <w:sz w:val="16"/>
                <w:szCs w:val="16"/>
                <w:color w:val="auto"/>
              </w:rPr>
            </w:pPr>
          </w:p>
        </w:tc>
        <w:tc>
          <w:tcPr>
            <w:tcW w:w="940" w:type="dxa"/>
            <w:vAlign w:val="bottom"/>
            <w:tcBorders>
              <w:bottom w:val="single" w:sz="8" w:color="auto"/>
            </w:tcBorders>
            <w:shd w:val="clear" w:color="auto" w:fill="DFE3F1"/>
          </w:tcPr>
          <w:p>
            <w:pPr>
              <w:ind w:left="160"/>
              <w:spacing w:after="0"/>
              <w:rPr>
                <w:sz w:val="20"/>
                <w:szCs w:val="20"/>
                <w:color w:val="auto"/>
              </w:rPr>
            </w:pPr>
            <w:r>
              <w:rPr>
                <w:rFonts w:ascii="Arial" w:cs="Arial" w:eastAsia="Arial" w:hAnsi="Arial"/>
                <w:sz w:val="16"/>
                <w:szCs w:val="16"/>
                <w:b w:val="1"/>
                <w:bCs w:val="1"/>
                <w:color w:val="auto"/>
              </w:rPr>
              <w:t>Total</w:t>
            </w:r>
          </w:p>
        </w:tc>
        <w:tc>
          <w:tcPr>
            <w:tcW w:w="940" w:type="dxa"/>
            <w:vAlign w:val="bottom"/>
            <w:tcBorders>
              <w:bottom w:val="single" w:sz="8" w:color="auto"/>
            </w:tcBorders>
            <w:shd w:val="clear" w:color="auto" w:fill="DFE3F1"/>
          </w:tcPr>
          <w:p>
            <w:pPr>
              <w:jc w:val="right"/>
              <w:spacing w:after="0"/>
              <w:rPr>
                <w:sz w:val="20"/>
                <w:szCs w:val="20"/>
                <w:color w:val="auto"/>
              </w:rPr>
            </w:pPr>
            <w:r>
              <w:rPr>
                <w:rFonts w:ascii="Arial" w:cs="Arial" w:eastAsia="Arial" w:hAnsi="Arial"/>
                <w:sz w:val="16"/>
                <w:szCs w:val="16"/>
                <w:color w:val="auto"/>
              </w:rPr>
              <w:t>625,000</w:t>
            </w:r>
          </w:p>
        </w:tc>
        <w:tc>
          <w:tcPr>
            <w:tcW w:w="260" w:type="dxa"/>
            <w:vAlign w:val="bottom"/>
            <w:tcBorders>
              <w:bottom w:val="single" w:sz="8" w:color="auto"/>
            </w:tcBorders>
            <w:shd w:val="clear" w:color="auto" w:fill="DFE3F1"/>
          </w:tcPr>
          <w:p>
            <w:pPr>
              <w:spacing w:after="0"/>
              <w:rPr>
                <w:sz w:val="16"/>
                <w:szCs w:val="16"/>
                <w:color w:val="auto"/>
              </w:rPr>
            </w:pPr>
          </w:p>
        </w:tc>
        <w:tc>
          <w:tcPr>
            <w:tcW w:w="880" w:type="dxa"/>
            <w:vAlign w:val="bottom"/>
            <w:tcBorders>
              <w:bottom w:val="single" w:sz="8" w:color="auto"/>
            </w:tcBorders>
            <w:shd w:val="clear" w:color="auto" w:fill="DFE3F1"/>
          </w:tcPr>
          <w:p>
            <w:pPr>
              <w:jc w:val="right"/>
              <w:spacing w:after="0"/>
              <w:rPr>
                <w:sz w:val="20"/>
                <w:szCs w:val="20"/>
                <w:color w:val="auto"/>
              </w:rPr>
            </w:pPr>
            <w:r>
              <w:rPr>
                <w:rFonts w:ascii="Arial" w:cs="Arial" w:eastAsia="Arial" w:hAnsi="Arial"/>
                <w:sz w:val="16"/>
                <w:szCs w:val="16"/>
                <w:color w:val="auto"/>
              </w:rPr>
              <w:t>1,500,000</w:t>
            </w:r>
          </w:p>
        </w:tc>
        <w:tc>
          <w:tcPr>
            <w:tcW w:w="200" w:type="dxa"/>
            <w:vAlign w:val="bottom"/>
            <w:tcBorders>
              <w:bottom w:val="single" w:sz="8" w:color="auto"/>
            </w:tcBorders>
            <w:shd w:val="clear" w:color="auto" w:fill="DFE3F1"/>
          </w:tcPr>
          <w:p>
            <w:pPr>
              <w:spacing w:after="0"/>
              <w:rPr>
                <w:sz w:val="16"/>
                <w:szCs w:val="16"/>
                <w:color w:val="auto"/>
              </w:rPr>
            </w:pPr>
          </w:p>
        </w:tc>
        <w:tc>
          <w:tcPr>
            <w:tcW w:w="1020" w:type="dxa"/>
            <w:vAlign w:val="bottom"/>
            <w:tcBorders>
              <w:bottom w:val="single" w:sz="8" w:color="auto"/>
            </w:tcBorders>
            <w:shd w:val="clear" w:color="auto" w:fill="DFE3F1"/>
          </w:tcPr>
          <w:p>
            <w:pPr>
              <w:jc w:val="right"/>
              <w:ind w:right="60"/>
              <w:spacing w:after="0"/>
              <w:rPr>
                <w:sz w:val="20"/>
                <w:szCs w:val="20"/>
                <w:color w:val="auto"/>
              </w:rPr>
            </w:pPr>
            <w:r>
              <w:rPr>
                <w:rFonts w:ascii="Arial" w:cs="Arial" w:eastAsia="Arial" w:hAnsi="Arial"/>
                <w:sz w:val="16"/>
                <w:szCs w:val="16"/>
                <w:color w:val="auto"/>
              </w:rPr>
              <w:t>4,500,000</w:t>
            </w:r>
          </w:p>
        </w:tc>
      </w:tr>
      <w:tr>
        <w:trPr>
          <w:trHeight w:val="177"/>
        </w:trPr>
        <w:tc>
          <w:tcPr>
            <w:tcW w:w="2620" w:type="dxa"/>
            <w:vAlign w:val="bottom"/>
          </w:tcPr>
          <w:p>
            <w:pPr>
              <w:spacing w:after="0" w:line="177" w:lineRule="exact"/>
              <w:rPr>
                <w:sz w:val="20"/>
                <w:szCs w:val="20"/>
                <w:color w:val="auto"/>
              </w:rPr>
            </w:pPr>
            <w:r>
              <w:rPr>
                <w:rFonts w:ascii="Arial" w:cs="Arial" w:eastAsia="Arial" w:hAnsi="Arial"/>
                <w:sz w:val="16"/>
                <w:szCs w:val="16"/>
                <w:b w:val="1"/>
                <w:bCs w:val="1"/>
                <w:color w:val="auto"/>
              </w:rPr>
              <w:t>Birns</w:t>
            </w:r>
          </w:p>
        </w:tc>
        <w:tc>
          <w:tcPr>
            <w:tcW w:w="940" w:type="dxa"/>
            <w:vAlign w:val="bottom"/>
          </w:tcPr>
          <w:p>
            <w:pPr>
              <w:ind w:left="160"/>
              <w:spacing w:after="0" w:line="177" w:lineRule="exact"/>
              <w:rPr>
                <w:sz w:val="20"/>
                <w:szCs w:val="20"/>
                <w:color w:val="auto"/>
              </w:rPr>
            </w:pPr>
            <w:r>
              <w:rPr>
                <w:rFonts w:ascii="Arial" w:cs="Arial" w:eastAsia="Arial" w:hAnsi="Arial"/>
                <w:sz w:val="16"/>
                <w:szCs w:val="16"/>
                <w:b w:val="1"/>
                <w:bCs w:val="1"/>
                <w:color w:val="auto"/>
              </w:rPr>
              <w:t>Equity</w:t>
            </w:r>
          </w:p>
        </w:tc>
        <w:tc>
          <w:tcPr>
            <w:tcW w:w="940" w:type="dxa"/>
            <w:vAlign w:val="bottom"/>
          </w:tcPr>
          <w:p>
            <w:pPr>
              <w:jc w:val="right"/>
              <w:spacing w:after="0" w:line="177" w:lineRule="exact"/>
              <w:rPr>
                <w:sz w:val="20"/>
                <w:szCs w:val="20"/>
                <w:color w:val="auto"/>
              </w:rPr>
            </w:pPr>
            <w:r>
              <w:rPr>
                <w:rFonts w:ascii="Arial" w:cs="Arial" w:eastAsia="Arial" w:hAnsi="Arial"/>
                <w:sz w:val="16"/>
                <w:szCs w:val="16"/>
                <w:color w:val="auto"/>
              </w:rPr>
              <w:t>56,250</w:t>
            </w:r>
          </w:p>
        </w:tc>
        <w:tc>
          <w:tcPr>
            <w:tcW w:w="260" w:type="dxa"/>
            <w:vAlign w:val="bottom"/>
          </w:tcPr>
          <w:p>
            <w:pPr>
              <w:spacing w:after="0"/>
              <w:rPr>
                <w:sz w:val="15"/>
                <w:szCs w:val="15"/>
                <w:color w:val="auto"/>
              </w:rPr>
            </w:pPr>
          </w:p>
        </w:tc>
        <w:tc>
          <w:tcPr>
            <w:tcW w:w="880" w:type="dxa"/>
            <w:vAlign w:val="bottom"/>
          </w:tcPr>
          <w:p>
            <w:pPr>
              <w:jc w:val="right"/>
              <w:spacing w:after="0" w:line="177" w:lineRule="exact"/>
              <w:rPr>
                <w:sz w:val="20"/>
                <w:szCs w:val="20"/>
                <w:color w:val="auto"/>
              </w:rPr>
            </w:pPr>
            <w:r>
              <w:rPr>
                <w:rFonts w:ascii="Arial" w:cs="Arial" w:eastAsia="Arial" w:hAnsi="Arial"/>
                <w:sz w:val="16"/>
                <w:szCs w:val="16"/>
                <w:color w:val="auto"/>
              </w:rPr>
              <w:t>225,000</w:t>
            </w:r>
          </w:p>
        </w:tc>
        <w:tc>
          <w:tcPr>
            <w:tcW w:w="200" w:type="dxa"/>
            <w:vAlign w:val="bottom"/>
          </w:tcPr>
          <w:p>
            <w:pPr>
              <w:spacing w:after="0"/>
              <w:rPr>
                <w:sz w:val="15"/>
                <w:szCs w:val="15"/>
                <w:color w:val="auto"/>
              </w:rPr>
            </w:pPr>
          </w:p>
        </w:tc>
        <w:tc>
          <w:tcPr>
            <w:tcW w:w="1020" w:type="dxa"/>
            <w:vAlign w:val="bottom"/>
          </w:tcPr>
          <w:p>
            <w:pPr>
              <w:jc w:val="right"/>
              <w:ind w:right="60"/>
              <w:spacing w:after="0" w:line="177" w:lineRule="exact"/>
              <w:rPr>
                <w:sz w:val="20"/>
                <w:szCs w:val="20"/>
                <w:color w:val="auto"/>
              </w:rPr>
            </w:pPr>
            <w:r>
              <w:rPr>
                <w:rFonts w:ascii="Arial" w:cs="Arial" w:eastAsia="Arial" w:hAnsi="Arial"/>
                <w:sz w:val="16"/>
                <w:szCs w:val="16"/>
                <w:color w:val="auto"/>
              </w:rPr>
              <w:t>675,000</w:t>
            </w:r>
          </w:p>
        </w:tc>
      </w:tr>
      <w:tr>
        <w:trPr>
          <w:trHeight w:val="209"/>
        </w:trPr>
        <w:tc>
          <w:tcPr>
            <w:tcW w:w="2620" w:type="dxa"/>
            <w:vAlign w:val="bottom"/>
          </w:tcPr>
          <w:p>
            <w:pPr>
              <w:spacing w:after="0"/>
              <w:rPr>
                <w:sz w:val="18"/>
                <w:szCs w:val="18"/>
                <w:color w:val="auto"/>
              </w:rPr>
            </w:pPr>
          </w:p>
        </w:tc>
        <w:tc>
          <w:tcPr>
            <w:tcW w:w="94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Cash</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175,000</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350,000</w:t>
            </w: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1,050,000</w:t>
            </w:r>
          </w:p>
        </w:tc>
      </w:tr>
      <w:tr>
        <w:trPr>
          <w:trHeight w:val="190"/>
        </w:trPr>
        <w:tc>
          <w:tcPr>
            <w:tcW w:w="26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Total</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231,250</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575,000</w:t>
            </w: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1,725,000</w:t>
            </w:r>
          </w:p>
        </w:tc>
      </w:tr>
      <w:tr>
        <w:trPr>
          <w:trHeight w:val="190"/>
        </w:trPr>
        <w:tc>
          <w:tcPr>
            <w:tcW w:w="2620" w:type="dxa"/>
            <w:vAlign w:val="bottom"/>
            <w:shd w:val="clear" w:color="auto" w:fill="DFE3F1"/>
          </w:tcPr>
          <w:p>
            <w:pPr>
              <w:spacing w:after="0"/>
              <w:rPr>
                <w:sz w:val="20"/>
                <w:szCs w:val="20"/>
                <w:color w:val="auto"/>
              </w:rPr>
            </w:pPr>
            <w:r>
              <w:rPr>
                <w:rFonts w:ascii="Arial" w:cs="Arial" w:eastAsia="Arial" w:hAnsi="Arial"/>
                <w:sz w:val="16"/>
                <w:szCs w:val="16"/>
                <w:b w:val="1"/>
                <w:bCs w:val="1"/>
                <w:color w:val="auto"/>
              </w:rPr>
              <w:t>Crosby</w:t>
            </w:r>
          </w:p>
        </w:tc>
        <w:tc>
          <w:tcPr>
            <w:tcW w:w="940" w:type="dxa"/>
            <w:vAlign w:val="bottom"/>
            <w:shd w:val="clear" w:color="auto" w:fill="DFE3F1"/>
          </w:tcPr>
          <w:p>
            <w:pPr>
              <w:ind w:left="160"/>
              <w:spacing w:after="0"/>
              <w:rPr>
                <w:sz w:val="20"/>
                <w:szCs w:val="20"/>
                <w:color w:val="auto"/>
              </w:rPr>
            </w:pPr>
            <w:r>
              <w:rPr>
                <w:rFonts w:ascii="Arial" w:cs="Arial" w:eastAsia="Arial" w:hAnsi="Arial"/>
                <w:sz w:val="16"/>
                <w:szCs w:val="16"/>
                <w:b w:val="1"/>
                <w:bCs w:val="1"/>
                <w:color w:val="auto"/>
              </w:rPr>
              <w:t>Equity</w:t>
            </w:r>
          </w:p>
        </w:tc>
        <w:tc>
          <w:tcPr>
            <w:tcW w:w="940" w:type="dxa"/>
            <w:vAlign w:val="bottom"/>
            <w:shd w:val="clear" w:color="auto" w:fill="DFE3F1"/>
          </w:tcPr>
          <w:p>
            <w:pPr>
              <w:jc w:val="right"/>
              <w:spacing w:after="0"/>
              <w:rPr>
                <w:sz w:val="20"/>
                <w:szCs w:val="20"/>
                <w:color w:val="auto"/>
              </w:rPr>
            </w:pPr>
            <w:r>
              <w:rPr>
                <w:rFonts w:ascii="Arial" w:cs="Arial" w:eastAsia="Arial" w:hAnsi="Arial"/>
                <w:sz w:val="16"/>
                <w:szCs w:val="16"/>
                <w:color w:val="auto"/>
              </w:rPr>
              <w:t>125,000</w:t>
            </w:r>
          </w:p>
        </w:tc>
        <w:tc>
          <w:tcPr>
            <w:tcW w:w="260" w:type="dxa"/>
            <w:vAlign w:val="bottom"/>
            <w:shd w:val="clear" w:color="auto" w:fill="DFE3F1"/>
          </w:tcPr>
          <w:p>
            <w:pPr>
              <w:spacing w:after="0"/>
              <w:rPr>
                <w:sz w:val="16"/>
                <w:szCs w:val="16"/>
                <w:color w:val="auto"/>
              </w:rPr>
            </w:pPr>
          </w:p>
        </w:tc>
        <w:tc>
          <w:tcPr>
            <w:tcW w:w="880" w:type="dxa"/>
            <w:vAlign w:val="bottom"/>
            <w:shd w:val="clear" w:color="auto" w:fill="DFE3F1"/>
          </w:tcPr>
          <w:p>
            <w:pPr>
              <w:jc w:val="right"/>
              <w:spacing w:after="0"/>
              <w:rPr>
                <w:sz w:val="20"/>
                <w:szCs w:val="20"/>
                <w:color w:val="auto"/>
              </w:rPr>
            </w:pPr>
            <w:r>
              <w:rPr>
                <w:rFonts w:ascii="Arial" w:cs="Arial" w:eastAsia="Arial" w:hAnsi="Arial"/>
                <w:sz w:val="16"/>
                <w:szCs w:val="16"/>
                <w:color w:val="auto"/>
              </w:rPr>
              <w:t>500,000</w:t>
            </w:r>
          </w:p>
        </w:tc>
        <w:tc>
          <w:tcPr>
            <w:tcW w:w="200" w:type="dxa"/>
            <w:vAlign w:val="bottom"/>
            <w:shd w:val="clear" w:color="auto" w:fill="DFE3F1"/>
          </w:tcPr>
          <w:p>
            <w:pPr>
              <w:spacing w:after="0"/>
              <w:rPr>
                <w:sz w:val="16"/>
                <w:szCs w:val="16"/>
                <w:color w:val="auto"/>
              </w:rPr>
            </w:pPr>
          </w:p>
        </w:tc>
        <w:tc>
          <w:tcPr>
            <w:tcW w:w="1020" w:type="dxa"/>
            <w:vAlign w:val="bottom"/>
            <w:shd w:val="clear" w:color="auto" w:fill="DFE3F1"/>
          </w:tcPr>
          <w:p>
            <w:pPr>
              <w:jc w:val="right"/>
              <w:ind w:right="60"/>
              <w:spacing w:after="0"/>
              <w:rPr>
                <w:sz w:val="20"/>
                <w:szCs w:val="20"/>
                <w:color w:val="auto"/>
              </w:rPr>
            </w:pPr>
            <w:r>
              <w:rPr>
                <w:rFonts w:ascii="Arial" w:cs="Arial" w:eastAsia="Arial" w:hAnsi="Arial"/>
                <w:sz w:val="16"/>
                <w:szCs w:val="16"/>
                <w:color w:val="auto"/>
              </w:rPr>
              <w:t>1,500,000</w:t>
            </w:r>
          </w:p>
        </w:tc>
      </w:tr>
      <w:tr>
        <w:trPr>
          <w:trHeight w:val="197"/>
        </w:trPr>
        <w:tc>
          <w:tcPr>
            <w:tcW w:w="2620" w:type="dxa"/>
            <w:vAlign w:val="bottom"/>
            <w:tcBorders>
              <w:bottom w:val="single" w:sz="8" w:color="DFE3F1"/>
            </w:tcBorders>
            <w:shd w:val="clear" w:color="auto" w:fill="DFE3F1"/>
          </w:tcPr>
          <w:p>
            <w:pPr>
              <w:spacing w:after="0"/>
              <w:rPr>
                <w:sz w:val="17"/>
                <w:szCs w:val="17"/>
                <w:color w:val="auto"/>
              </w:rPr>
            </w:pPr>
          </w:p>
        </w:tc>
        <w:tc>
          <w:tcPr>
            <w:tcW w:w="940" w:type="dxa"/>
            <w:vAlign w:val="bottom"/>
            <w:tcBorders>
              <w:bottom w:val="single" w:sz="8" w:color="auto"/>
            </w:tcBorders>
            <w:shd w:val="clear" w:color="auto" w:fill="DFE3F1"/>
          </w:tcPr>
          <w:p>
            <w:pPr>
              <w:ind w:left="160"/>
              <w:spacing w:after="0"/>
              <w:rPr>
                <w:sz w:val="20"/>
                <w:szCs w:val="20"/>
                <w:color w:val="auto"/>
              </w:rPr>
            </w:pPr>
            <w:r>
              <w:rPr>
                <w:rFonts w:ascii="Arial" w:cs="Arial" w:eastAsia="Arial" w:hAnsi="Arial"/>
                <w:sz w:val="16"/>
                <w:szCs w:val="16"/>
                <w:b w:val="1"/>
                <w:bCs w:val="1"/>
                <w:color w:val="auto"/>
              </w:rPr>
              <w:t>Cash</w:t>
            </w:r>
          </w:p>
        </w:tc>
        <w:tc>
          <w:tcPr>
            <w:tcW w:w="940" w:type="dxa"/>
            <w:vAlign w:val="bottom"/>
            <w:tcBorders>
              <w:bottom w:val="single" w:sz="8" w:color="auto"/>
            </w:tcBorders>
            <w:shd w:val="clear" w:color="auto" w:fill="DFE3F1"/>
          </w:tcPr>
          <w:p>
            <w:pPr>
              <w:jc w:val="right"/>
              <w:spacing w:after="0"/>
              <w:rPr>
                <w:sz w:val="20"/>
                <w:szCs w:val="20"/>
                <w:color w:val="auto"/>
              </w:rPr>
            </w:pPr>
            <w:r>
              <w:rPr>
                <w:rFonts w:ascii="Arial" w:cs="Arial" w:eastAsia="Arial" w:hAnsi="Arial"/>
                <w:sz w:val="16"/>
                <w:szCs w:val="16"/>
                <w:color w:val="auto"/>
              </w:rPr>
              <w:t>75,000</w:t>
            </w:r>
          </w:p>
        </w:tc>
        <w:tc>
          <w:tcPr>
            <w:tcW w:w="260" w:type="dxa"/>
            <w:vAlign w:val="bottom"/>
            <w:tcBorders>
              <w:bottom w:val="single" w:sz="8" w:color="auto"/>
            </w:tcBorders>
            <w:shd w:val="clear" w:color="auto" w:fill="DFE3F1"/>
          </w:tcPr>
          <w:p>
            <w:pPr>
              <w:spacing w:after="0"/>
              <w:rPr>
                <w:sz w:val="17"/>
                <w:szCs w:val="17"/>
                <w:color w:val="auto"/>
              </w:rPr>
            </w:pPr>
          </w:p>
        </w:tc>
        <w:tc>
          <w:tcPr>
            <w:tcW w:w="880" w:type="dxa"/>
            <w:vAlign w:val="bottom"/>
            <w:tcBorders>
              <w:bottom w:val="single" w:sz="8" w:color="auto"/>
            </w:tcBorders>
            <w:shd w:val="clear" w:color="auto" w:fill="DFE3F1"/>
          </w:tcPr>
          <w:p>
            <w:pPr>
              <w:jc w:val="right"/>
              <w:spacing w:after="0"/>
              <w:rPr>
                <w:sz w:val="20"/>
                <w:szCs w:val="20"/>
                <w:color w:val="auto"/>
              </w:rPr>
            </w:pPr>
            <w:r>
              <w:rPr>
                <w:rFonts w:ascii="Arial" w:cs="Arial" w:eastAsia="Arial" w:hAnsi="Arial"/>
                <w:sz w:val="16"/>
                <w:szCs w:val="16"/>
                <w:color w:val="auto"/>
              </w:rPr>
              <w:t>150,000</w:t>
            </w:r>
          </w:p>
        </w:tc>
        <w:tc>
          <w:tcPr>
            <w:tcW w:w="200" w:type="dxa"/>
            <w:vAlign w:val="bottom"/>
            <w:tcBorders>
              <w:bottom w:val="single" w:sz="8" w:color="auto"/>
            </w:tcBorders>
            <w:shd w:val="clear" w:color="auto" w:fill="DFE3F1"/>
          </w:tcPr>
          <w:p>
            <w:pPr>
              <w:spacing w:after="0"/>
              <w:rPr>
                <w:sz w:val="17"/>
                <w:szCs w:val="17"/>
                <w:color w:val="auto"/>
              </w:rPr>
            </w:pPr>
          </w:p>
        </w:tc>
        <w:tc>
          <w:tcPr>
            <w:tcW w:w="1020" w:type="dxa"/>
            <w:vAlign w:val="bottom"/>
            <w:tcBorders>
              <w:bottom w:val="single" w:sz="8" w:color="auto"/>
            </w:tcBorders>
            <w:shd w:val="clear" w:color="auto" w:fill="DFE3F1"/>
          </w:tcPr>
          <w:p>
            <w:pPr>
              <w:jc w:val="right"/>
              <w:ind w:right="60"/>
              <w:spacing w:after="0"/>
              <w:rPr>
                <w:sz w:val="20"/>
                <w:szCs w:val="20"/>
                <w:color w:val="auto"/>
              </w:rPr>
            </w:pPr>
            <w:r>
              <w:rPr>
                <w:rFonts w:ascii="Arial" w:cs="Arial" w:eastAsia="Arial" w:hAnsi="Arial"/>
                <w:sz w:val="16"/>
                <w:szCs w:val="16"/>
                <w:color w:val="auto"/>
              </w:rPr>
              <w:t>450,000</w:t>
            </w:r>
          </w:p>
        </w:tc>
      </w:tr>
      <w:tr>
        <w:trPr>
          <w:trHeight w:val="190"/>
        </w:trPr>
        <w:tc>
          <w:tcPr>
            <w:tcW w:w="2620" w:type="dxa"/>
            <w:vAlign w:val="bottom"/>
            <w:tcBorders>
              <w:bottom w:val="single" w:sz="8" w:color="auto"/>
            </w:tcBorders>
            <w:shd w:val="clear" w:color="auto" w:fill="DFE3F1"/>
          </w:tcPr>
          <w:p>
            <w:pPr>
              <w:spacing w:after="0"/>
              <w:rPr>
                <w:sz w:val="16"/>
                <w:szCs w:val="16"/>
                <w:color w:val="auto"/>
              </w:rPr>
            </w:pPr>
          </w:p>
        </w:tc>
        <w:tc>
          <w:tcPr>
            <w:tcW w:w="940" w:type="dxa"/>
            <w:vAlign w:val="bottom"/>
            <w:tcBorders>
              <w:bottom w:val="single" w:sz="8" w:color="auto"/>
            </w:tcBorders>
            <w:shd w:val="clear" w:color="auto" w:fill="DFE3F1"/>
          </w:tcPr>
          <w:p>
            <w:pPr>
              <w:ind w:left="160"/>
              <w:spacing w:after="0"/>
              <w:rPr>
                <w:sz w:val="20"/>
                <w:szCs w:val="20"/>
                <w:color w:val="auto"/>
              </w:rPr>
            </w:pPr>
            <w:r>
              <w:rPr>
                <w:rFonts w:ascii="Arial" w:cs="Arial" w:eastAsia="Arial" w:hAnsi="Arial"/>
                <w:sz w:val="16"/>
                <w:szCs w:val="16"/>
                <w:b w:val="1"/>
                <w:bCs w:val="1"/>
                <w:color w:val="auto"/>
              </w:rPr>
              <w:t>Total</w:t>
            </w:r>
          </w:p>
        </w:tc>
        <w:tc>
          <w:tcPr>
            <w:tcW w:w="940" w:type="dxa"/>
            <w:vAlign w:val="bottom"/>
            <w:tcBorders>
              <w:bottom w:val="single" w:sz="8" w:color="auto"/>
            </w:tcBorders>
            <w:shd w:val="clear" w:color="auto" w:fill="DFE3F1"/>
          </w:tcPr>
          <w:p>
            <w:pPr>
              <w:jc w:val="right"/>
              <w:spacing w:after="0"/>
              <w:rPr>
                <w:sz w:val="20"/>
                <w:szCs w:val="20"/>
                <w:color w:val="auto"/>
              </w:rPr>
            </w:pPr>
            <w:r>
              <w:rPr>
                <w:rFonts w:ascii="Arial" w:cs="Arial" w:eastAsia="Arial" w:hAnsi="Arial"/>
                <w:sz w:val="16"/>
                <w:szCs w:val="16"/>
                <w:color w:val="auto"/>
              </w:rPr>
              <w:t>200,000</w:t>
            </w:r>
          </w:p>
        </w:tc>
        <w:tc>
          <w:tcPr>
            <w:tcW w:w="260" w:type="dxa"/>
            <w:vAlign w:val="bottom"/>
            <w:tcBorders>
              <w:bottom w:val="single" w:sz="8" w:color="auto"/>
            </w:tcBorders>
            <w:shd w:val="clear" w:color="auto" w:fill="DFE3F1"/>
          </w:tcPr>
          <w:p>
            <w:pPr>
              <w:spacing w:after="0"/>
              <w:rPr>
                <w:sz w:val="16"/>
                <w:szCs w:val="16"/>
                <w:color w:val="auto"/>
              </w:rPr>
            </w:pPr>
          </w:p>
        </w:tc>
        <w:tc>
          <w:tcPr>
            <w:tcW w:w="880" w:type="dxa"/>
            <w:vAlign w:val="bottom"/>
            <w:tcBorders>
              <w:bottom w:val="single" w:sz="8" w:color="auto"/>
            </w:tcBorders>
            <w:shd w:val="clear" w:color="auto" w:fill="DFE3F1"/>
          </w:tcPr>
          <w:p>
            <w:pPr>
              <w:jc w:val="right"/>
              <w:spacing w:after="0"/>
              <w:rPr>
                <w:sz w:val="20"/>
                <w:szCs w:val="20"/>
                <w:color w:val="auto"/>
              </w:rPr>
            </w:pPr>
            <w:r>
              <w:rPr>
                <w:rFonts w:ascii="Arial" w:cs="Arial" w:eastAsia="Arial" w:hAnsi="Arial"/>
                <w:sz w:val="16"/>
                <w:szCs w:val="16"/>
                <w:color w:val="auto"/>
              </w:rPr>
              <w:t>650,000</w:t>
            </w:r>
          </w:p>
        </w:tc>
        <w:tc>
          <w:tcPr>
            <w:tcW w:w="200" w:type="dxa"/>
            <w:vAlign w:val="bottom"/>
            <w:tcBorders>
              <w:bottom w:val="single" w:sz="8" w:color="auto"/>
            </w:tcBorders>
            <w:shd w:val="clear" w:color="auto" w:fill="DFE3F1"/>
          </w:tcPr>
          <w:p>
            <w:pPr>
              <w:spacing w:after="0"/>
              <w:rPr>
                <w:sz w:val="16"/>
                <w:szCs w:val="16"/>
                <w:color w:val="auto"/>
              </w:rPr>
            </w:pPr>
          </w:p>
        </w:tc>
        <w:tc>
          <w:tcPr>
            <w:tcW w:w="1020" w:type="dxa"/>
            <w:vAlign w:val="bottom"/>
            <w:tcBorders>
              <w:bottom w:val="single" w:sz="8" w:color="auto"/>
            </w:tcBorders>
            <w:shd w:val="clear" w:color="auto" w:fill="DFE3F1"/>
          </w:tcPr>
          <w:p>
            <w:pPr>
              <w:jc w:val="right"/>
              <w:ind w:right="60"/>
              <w:spacing w:after="0"/>
              <w:rPr>
                <w:sz w:val="20"/>
                <w:szCs w:val="20"/>
                <w:color w:val="auto"/>
              </w:rPr>
            </w:pPr>
            <w:r>
              <w:rPr>
                <w:rFonts w:ascii="Arial" w:cs="Arial" w:eastAsia="Arial" w:hAnsi="Arial"/>
                <w:sz w:val="16"/>
                <w:szCs w:val="16"/>
                <w:color w:val="auto"/>
              </w:rPr>
              <w:t>1,950,000</w:t>
            </w:r>
          </w:p>
        </w:tc>
      </w:tr>
      <w:tr>
        <w:trPr>
          <w:trHeight w:val="177"/>
        </w:trPr>
        <w:tc>
          <w:tcPr>
            <w:tcW w:w="2620" w:type="dxa"/>
            <w:vAlign w:val="bottom"/>
          </w:tcPr>
          <w:p>
            <w:pPr>
              <w:spacing w:after="0" w:line="177" w:lineRule="exact"/>
              <w:rPr>
                <w:sz w:val="20"/>
                <w:szCs w:val="20"/>
                <w:color w:val="auto"/>
              </w:rPr>
            </w:pPr>
            <w:r>
              <w:rPr>
                <w:rFonts w:ascii="Arial" w:cs="Arial" w:eastAsia="Arial" w:hAnsi="Arial"/>
                <w:sz w:val="16"/>
                <w:szCs w:val="16"/>
                <w:b w:val="1"/>
                <w:bCs w:val="1"/>
                <w:color w:val="auto"/>
              </w:rPr>
              <w:t>Rau</w:t>
            </w:r>
          </w:p>
        </w:tc>
        <w:tc>
          <w:tcPr>
            <w:tcW w:w="940" w:type="dxa"/>
            <w:vAlign w:val="bottom"/>
          </w:tcPr>
          <w:p>
            <w:pPr>
              <w:ind w:left="160"/>
              <w:spacing w:after="0" w:line="177" w:lineRule="exact"/>
              <w:rPr>
                <w:sz w:val="20"/>
                <w:szCs w:val="20"/>
                <w:color w:val="auto"/>
              </w:rPr>
            </w:pPr>
            <w:r>
              <w:rPr>
                <w:rFonts w:ascii="Arial" w:cs="Arial" w:eastAsia="Arial" w:hAnsi="Arial"/>
                <w:sz w:val="16"/>
                <w:szCs w:val="16"/>
                <w:b w:val="1"/>
                <w:bCs w:val="1"/>
                <w:color w:val="auto"/>
              </w:rPr>
              <w:t>Equity</w:t>
            </w:r>
          </w:p>
        </w:tc>
        <w:tc>
          <w:tcPr>
            <w:tcW w:w="940" w:type="dxa"/>
            <w:vAlign w:val="bottom"/>
          </w:tcPr>
          <w:p>
            <w:pPr>
              <w:jc w:val="right"/>
              <w:spacing w:after="0" w:line="177" w:lineRule="exact"/>
              <w:rPr>
                <w:sz w:val="20"/>
                <w:szCs w:val="20"/>
                <w:color w:val="auto"/>
              </w:rPr>
            </w:pPr>
            <w:r>
              <w:rPr>
                <w:rFonts w:ascii="Arial" w:cs="Arial" w:eastAsia="Arial" w:hAnsi="Arial"/>
                <w:sz w:val="16"/>
                <w:szCs w:val="16"/>
                <w:color w:val="auto"/>
              </w:rPr>
              <w:t>125,000</w:t>
            </w:r>
          </w:p>
        </w:tc>
        <w:tc>
          <w:tcPr>
            <w:tcW w:w="260" w:type="dxa"/>
            <w:vAlign w:val="bottom"/>
          </w:tcPr>
          <w:p>
            <w:pPr>
              <w:spacing w:after="0"/>
              <w:rPr>
                <w:sz w:val="15"/>
                <w:szCs w:val="15"/>
                <w:color w:val="auto"/>
              </w:rPr>
            </w:pPr>
          </w:p>
        </w:tc>
        <w:tc>
          <w:tcPr>
            <w:tcW w:w="880" w:type="dxa"/>
            <w:vAlign w:val="bottom"/>
          </w:tcPr>
          <w:p>
            <w:pPr>
              <w:jc w:val="right"/>
              <w:spacing w:after="0" w:line="177" w:lineRule="exact"/>
              <w:rPr>
                <w:sz w:val="20"/>
                <w:szCs w:val="20"/>
                <w:color w:val="auto"/>
              </w:rPr>
            </w:pPr>
            <w:r>
              <w:rPr>
                <w:rFonts w:ascii="Arial" w:cs="Arial" w:eastAsia="Arial" w:hAnsi="Arial"/>
                <w:sz w:val="16"/>
                <w:szCs w:val="16"/>
                <w:color w:val="auto"/>
              </w:rPr>
              <w:t>500,000</w:t>
            </w:r>
          </w:p>
        </w:tc>
        <w:tc>
          <w:tcPr>
            <w:tcW w:w="200" w:type="dxa"/>
            <w:vAlign w:val="bottom"/>
          </w:tcPr>
          <w:p>
            <w:pPr>
              <w:spacing w:after="0"/>
              <w:rPr>
                <w:sz w:val="15"/>
                <w:szCs w:val="15"/>
                <w:color w:val="auto"/>
              </w:rPr>
            </w:pPr>
          </w:p>
        </w:tc>
        <w:tc>
          <w:tcPr>
            <w:tcW w:w="1020" w:type="dxa"/>
            <w:vAlign w:val="bottom"/>
          </w:tcPr>
          <w:p>
            <w:pPr>
              <w:jc w:val="right"/>
              <w:ind w:right="60"/>
              <w:spacing w:after="0" w:line="177" w:lineRule="exact"/>
              <w:rPr>
                <w:sz w:val="20"/>
                <w:szCs w:val="20"/>
                <w:color w:val="auto"/>
              </w:rPr>
            </w:pPr>
            <w:r>
              <w:rPr>
                <w:rFonts w:ascii="Arial" w:cs="Arial" w:eastAsia="Arial" w:hAnsi="Arial"/>
                <w:sz w:val="16"/>
                <w:szCs w:val="16"/>
                <w:color w:val="auto"/>
              </w:rPr>
              <w:t>1,500,000</w:t>
            </w:r>
          </w:p>
        </w:tc>
      </w:tr>
      <w:tr>
        <w:trPr>
          <w:trHeight w:val="209"/>
        </w:trPr>
        <w:tc>
          <w:tcPr>
            <w:tcW w:w="2620" w:type="dxa"/>
            <w:vAlign w:val="bottom"/>
          </w:tcPr>
          <w:p>
            <w:pPr>
              <w:spacing w:after="0"/>
              <w:rPr>
                <w:sz w:val="18"/>
                <w:szCs w:val="18"/>
                <w:color w:val="auto"/>
              </w:rPr>
            </w:pPr>
          </w:p>
        </w:tc>
        <w:tc>
          <w:tcPr>
            <w:tcW w:w="94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Cash</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75,000</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150,000</w:t>
            </w: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450,000</w:t>
            </w:r>
          </w:p>
        </w:tc>
      </w:tr>
      <w:tr>
        <w:trPr>
          <w:trHeight w:val="190"/>
        </w:trPr>
        <w:tc>
          <w:tcPr>
            <w:tcW w:w="26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Total</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200,000</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650,000</w:t>
            </w: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1,950,000</w:t>
            </w:r>
          </w:p>
        </w:tc>
      </w:tr>
    </w:tbl>
    <w:p>
      <w:pPr>
        <w:spacing w:after="0" w:line="188" w:lineRule="exact"/>
        <w:rPr>
          <w:sz w:val="20"/>
          <w:szCs w:val="20"/>
          <w:color w:val="auto"/>
        </w:rPr>
      </w:pPr>
    </w:p>
    <w:p>
      <w:pPr>
        <w:ind w:right="160"/>
        <w:spacing w:after="0" w:line="266" w:lineRule="auto"/>
        <w:rPr>
          <w:sz w:val="20"/>
          <w:szCs w:val="20"/>
          <w:color w:val="auto"/>
        </w:rPr>
      </w:pPr>
      <w:r>
        <w:rPr>
          <w:rFonts w:ascii="Arial" w:cs="Arial" w:eastAsia="Arial" w:hAnsi="Arial"/>
          <w:sz w:val="16"/>
          <w:szCs w:val="16"/>
          <w:color w:val="auto"/>
        </w:rPr>
        <w:t>The Committee then determined the performance levels of Net Income/EPS at which the Performance-Related Incentive Awards could be earned by our NEOs, calculated in accordance with generally accepted accounting principles, or GAAP, and adjusted for one-time items as deemed appropriate by the Committee. The following Net Income/EPS performance levels for 2017 were based on our internal budgets and consistent with public earnings guidance, with the threshold, target and maximum performance levels representing significant growth over the previous year.</w:t>
      </w:r>
    </w:p>
    <w:p>
      <w:pPr>
        <w:spacing w:after="0" w:line="180" w:lineRule="exact"/>
        <w:rPr>
          <w:sz w:val="20"/>
          <w:szCs w:val="20"/>
          <w:color w:val="auto"/>
        </w:rPr>
      </w:pPr>
    </w:p>
    <w:tbl>
      <w:tblPr>
        <w:tblLayout w:type="fixed"/>
        <w:tblInd w:w="2280" w:type="dxa"/>
        <w:tblCellMar>
          <w:top w:w="0" w:type="dxa"/>
          <w:left w:w="0" w:type="dxa"/>
          <w:bottom w:w="0" w:type="dxa"/>
          <w:right w:w="0" w:type="dxa"/>
        </w:tblCellMar>
      </w:tblPr>
      <w:tr>
        <w:trPr>
          <w:trHeight w:val="184"/>
        </w:trPr>
        <w:tc>
          <w:tcPr>
            <w:tcW w:w="2920" w:type="dxa"/>
            <w:vAlign w:val="bottom"/>
            <w:shd w:val="clear" w:color="auto" w:fill="00529B"/>
          </w:tcPr>
          <w:p>
            <w:pPr>
              <w:spacing w:after="0"/>
              <w:rPr>
                <w:sz w:val="20"/>
                <w:szCs w:val="20"/>
                <w:color w:val="auto"/>
              </w:rPr>
            </w:pPr>
            <w:r>
              <w:rPr>
                <w:rFonts w:ascii="Arial" w:cs="Arial" w:eastAsia="Arial" w:hAnsi="Arial"/>
                <w:sz w:val="16"/>
                <w:szCs w:val="16"/>
                <w:b w:val="1"/>
                <w:bCs w:val="1"/>
                <w:color w:val="FFFFFE"/>
              </w:rPr>
              <w:t>Performance Level</w:t>
            </w:r>
          </w:p>
        </w:tc>
        <w:tc>
          <w:tcPr>
            <w:tcW w:w="2660" w:type="dxa"/>
            <w:vAlign w:val="bottom"/>
            <w:shd w:val="clear" w:color="auto" w:fill="00529B"/>
          </w:tcPr>
          <w:p>
            <w:pPr>
              <w:jc w:val="center"/>
              <w:ind w:left="1220"/>
              <w:spacing w:after="0"/>
              <w:rPr>
                <w:sz w:val="20"/>
                <w:szCs w:val="20"/>
                <w:color w:val="auto"/>
              </w:rPr>
            </w:pPr>
            <w:r>
              <w:rPr>
                <w:rFonts w:ascii="Arial" w:cs="Arial" w:eastAsia="Arial" w:hAnsi="Arial"/>
                <w:sz w:val="16"/>
                <w:szCs w:val="16"/>
                <w:b w:val="1"/>
                <w:bCs w:val="1"/>
                <w:color w:val="FFFFFE"/>
                <w:w w:val="92"/>
              </w:rPr>
              <w:t>Net Income</w:t>
            </w:r>
          </w:p>
        </w:tc>
        <w:tc>
          <w:tcPr>
            <w:tcW w:w="1280" w:type="dxa"/>
            <w:vAlign w:val="bottom"/>
            <w:shd w:val="clear" w:color="auto" w:fill="00529B"/>
          </w:tcPr>
          <w:p>
            <w:pPr>
              <w:ind w:left="200"/>
              <w:spacing w:after="0"/>
              <w:rPr>
                <w:sz w:val="20"/>
                <w:szCs w:val="20"/>
                <w:color w:val="auto"/>
              </w:rPr>
            </w:pPr>
            <w:r>
              <w:rPr>
                <w:rFonts w:ascii="Arial" w:cs="Arial" w:eastAsia="Arial" w:hAnsi="Arial"/>
                <w:sz w:val="16"/>
                <w:szCs w:val="16"/>
                <w:b w:val="1"/>
                <w:bCs w:val="1"/>
                <w:color w:val="FFFFFE"/>
                <w:w w:val="92"/>
              </w:rPr>
              <w:t>Annual Growth</w:t>
            </w:r>
          </w:p>
        </w:tc>
      </w:tr>
      <w:tr>
        <w:trPr>
          <w:trHeight w:val="210"/>
        </w:trPr>
        <w:tc>
          <w:tcPr>
            <w:tcW w:w="2920" w:type="dxa"/>
            <w:vAlign w:val="bottom"/>
            <w:shd w:val="clear" w:color="auto" w:fill="00529B"/>
          </w:tcPr>
          <w:p>
            <w:pPr>
              <w:spacing w:after="0"/>
              <w:rPr>
                <w:sz w:val="18"/>
                <w:szCs w:val="18"/>
                <w:color w:val="auto"/>
              </w:rPr>
            </w:pPr>
          </w:p>
        </w:tc>
        <w:tc>
          <w:tcPr>
            <w:tcW w:w="2660" w:type="dxa"/>
            <w:vAlign w:val="bottom"/>
            <w:shd w:val="clear" w:color="auto" w:fill="00529B"/>
          </w:tcPr>
          <w:p>
            <w:pPr>
              <w:jc w:val="center"/>
              <w:ind w:left="1220"/>
              <w:spacing w:after="0"/>
              <w:rPr>
                <w:sz w:val="20"/>
                <w:szCs w:val="20"/>
                <w:color w:val="auto"/>
              </w:rPr>
            </w:pPr>
            <w:r>
              <w:rPr>
                <w:rFonts w:ascii="Arial" w:cs="Arial" w:eastAsia="Arial" w:hAnsi="Arial"/>
                <w:sz w:val="16"/>
                <w:szCs w:val="16"/>
                <w:b w:val="1"/>
                <w:bCs w:val="1"/>
                <w:color w:val="FFFFFE"/>
                <w:w w:val="92"/>
              </w:rPr>
              <w:t>(millions)/EPS</w:t>
            </w:r>
          </w:p>
        </w:tc>
        <w:tc>
          <w:tcPr>
            <w:tcW w:w="1280" w:type="dxa"/>
            <w:vAlign w:val="bottom"/>
            <w:shd w:val="clear" w:color="auto" w:fill="00529B"/>
          </w:tcPr>
          <w:p>
            <w:pPr>
              <w:spacing w:after="0"/>
              <w:rPr>
                <w:sz w:val="18"/>
                <w:szCs w:val="18"/>
                <w:color w:val="auto"/>
              </w:rPr>
            </w:pPr>
          </w:p>
        </w:tc>
      </w:tr>
      <w:tr>
        <w:trPr>
          <w:trHeight w:val="234"/>
        </w:trPr>
        <w:tc>
          <w:tcPr>
            <w:tcW w:w="2920" w:type="dxa"/>
            <w:vAlign w:val="bottom"/>
            <w:tcBorders>
              <w:bottom w:val="single" w:sz="8" w:color="auto"/>
            </w:tcBorders>
          </w:tcPr>
          <w:p>
            <w:pPr>
              <w:spacing w:after="0" w:line="235" w:lineRule="exact"/>
              <w:rPr>
                <w:sz w:val="20"/>
                <w:szCs w:val="20"/>
                <w:color w:val="auto"/>
              </w:rPr>
            </w:pPr>
            <w:r>
              <w:rPr>
                <w:rFonts w:ascii="Arial" w:cs="Arial" w:eastAsia="Arial" w:hAnsi="Arial"/>
                <w:sz w:val="16"/>
                <w:szCs w:val="16"/>
                <w:color w:val="auto"/>
              </w:rPr>
              <w:t>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Threshold (Equity)</w:t>
            </w:r>
          </w:p>
        </w:tc>
        <w:tc>
          <w:tcPr>
            <w:tcW w:w="2660" w:type="dxa"/>
            <w:vAlign w:val="bottom"/>
            <w:tcBorders>
              <w:bottom w:val="single" w:sz="8" w:color="auto"/>
            </w:tcBorders>
          </w:tcPr>
          <w:p>
            <w:pPr>
              <w:jc w:val="center"/>
              <w:ind w:left="1220"/>
              <w:spacing w:after="0"/>
              <w:rPr>
                <w:sz w:val="20"/>
                <w:szCs w:val="20"/>
                <w:color w:val="auto"/>
              </w:rPr>
            </w:pPr>
            <w:r>
              <w:rPr>
                <w:rFonts w:ascii="Arial" w:cs="Arial" w:eastAsia="Arial" w:hAnsi="Arial"/>
                <w:sz w:val="16"/>
                <w:szCs w:val="16"/>
                <w:color w:val="auto"/>
                <w:w w:val="89"/>
              </w:rPr>
              <w:t>$126.7/$1.81</w:t>
            </w:r>
          </w:p>
        </w:tc>
        <w:tc>
          <w:tcPr>
            <w:tcW w:w="1280" w:type="dxa"/>
            <w:vAlign w:val="bottom"/>
            <w:tcBorders>
              <w:bottom w:val="single" w:sz="8" w:color="auto"/>
            </w:tcBorders>
          </w:tcPr>
          <w:p>
            <w:pPr>
              <w:jc w:val="center"/>
              <w:ind w:left="100"/>
              <w:spacing w:after="0"/>
              <w:rPr>
                <w:sz w:val="20"/>
                <w:szCs w:val="20"/>
                <w:color w:val="auto"/>
              </w:rPr>
            </w:pPr>
            <w:r>
              <w:rPr>
                <w:rFonts w:ascii="Arial" w:cs="Arial" w:eastAsia="Arial" w:hAnsi="Arial"/>
                <w:sz w:val="16"/>
                <w:szCs w:val="16"/>
                <w:color w:val="auto"/>
              </w:rPr>
              <w:t>-</w:t>
            </w:r>
          </w:p>
        </w:tc>
      </w:tr>
      <w:tr>
        <w:trPr>
          <w:trHeight w:val="227"/>
        </w:trPr>
        <w:tc>
          <w:tcPr>
            <w:tcW w:w="2920" w:type="dxa"/>
            <w:vAlign w:val="bottom"/>
            <w:tcBorders>
              <w:bottom w:val="single" w:sz="8" w:color="auto"/>
            </w:tcBorders>
          </w:tcPr>
          <w:p>
            <w:pPr>
              <w:spacing w:after="0" w:line="226" w:lineRule="exact"/>
              <w:rPr>
                <w:sz w:val="20"/>
                <w:szCs w:val="20"/>
                <w:color w:val="auto"/>
              </w:rPr>
            </w:pPr>
            <w:r>
              <w:rPr>
                <w:rFonts w:ascii="Arial" w:cs="Arial" w:eastAsia="Arial" w:hAnsi="Arial"/>
                <w:sz w:val="16"/>
                <w:szCs w:val="16"/>
                <w:color w:val="auto"/>
              </w:rPr>
              <w:t>2</w:t>
            </w:r>
            <w:r>
              <w:rPr>
                <w:rFonts w:ascii="Arial" w:cs="Arial" w:eastAsia="Arial" w:hAnsi="Arial"/>
                <w:sz w:val="26"/>
                <w:szCs w:val="26"/>
                <w:color w:val="auto"/>
                <w:vertAlign w:val="superscript"/>
              </w:rPr>
              <w:t>nd</w:t>
            </w:r>
            <w:r>
              <w:rPr>
                <w:rFonts w:ascii="Arial" w:cs="Arial" w:eastAsia="Arial" w:hAnsi="Arial"/>
                <w:sz w:val="16"/>
                <w:szCs w:val="16"/>
                <w:color w:val="auto"/>
              </w:rPr>
              <w:t xml:space="preserve"> Threshold (Cash)</w:t>
            </w:r>
          </w:p>
        </w:tc>
        <w:tc>
          <w:tcPr>
            <w:tcW w:w="2660" w:type="dxa"/>
            <w:vAlign w:val="bottom"/>
            <w:tcBorders>
              <w:bottom w:val="single" w:sz="8" w:color="auto"/>
            </w:tcBorders>
          </w:tcPr>
          <w:p>
            <w:pPr>
              <w:jc w:val="center"/>
              <w:ind w:left="1220"/>
              <w:spacing w:after="0"/>
              <w:rPr>
                <w:sz w:val="20"/>
                <w:szCs w:val="20"/>
                <w:color w:val="auto"/>
              </w:rPr>
            </w:pPr>
            <w:r>
              <w:rPr>
                <w:rFonts w:ascii="Arial" w:cs="Arial" w:eastAsia="Arial" w:hAnsi="Arial"/>
                <w:sz w:val="16"/>
                <w:szCs w:val="16"/>
                <w:color w:val="auto"/>
                <w:w w:val="89"/>
              </w:rPr>
              <w:t>$171.9/$2.46</w:t>
            </w:r>
          </w:p>
        </w:tc>
        <w:tc>
          <w:tcPr>
            <w:tcW w:w="1280" w:type="dxa"/>
            <w:vAlign w:val="bottom"/>
            <w:tcBorders>
              <w:bottom w:val="single" w:sz="8" w:color="auto"/>
            </w:tcBorders>
          </w:tcPr>
          <w:p>
            <w:pPr>
              <w:jc w:val="center"/>
              <w:ind w:left="100"/>
              <w:spacing w:after="0"/>
              <w:rPr>
                <w:sz w:val="20"/>
                <w:szCs w:val="20"/>
                <w:color w:val="auto"/>
              </w:rPr>
            </w:pPr>
            <w:r>
              <w:rPr>
                <w:rFonts w:ascii="Arial" w:cs="Arial" w:eastAsia="Arial" w:hAnsi="Arial"/>
                <w:sz w:val="16"/>
                <w:szCs w:val="16"/>
                <w:color w:val="auto"/>
                <w:w w:val="93"/>
              </w:rPr>
              <w:t>36%</w:t>
            </w:r>
          </w:p>
        </w:tc>
      </w:tr>
      <w:tr>
        <w:trPr>
          <w:trHeight w:val="190"/>
        </w:trPr>
        <w:tc>
          <w:tcPr>
            <w:tcW w:w="2920" w:type="dxa"/>
            <w:vAlign w:val="bottom"/>
            <w:tcBorders>
              <w:bottom w:val="single" w:sz="8" w:color="auto"/>
            </w:tcBorders>
            <w:shd w:val="clear" w:color="auto" w:fill="DFE3F1"/>
          </w:tcPr>
          <w:p>
            <w:pPr>
              <w:spacing w:after="0"/>
              <w:rPr>
                <w:sz w:val="20"/>
                <w:szCs w:val="20"/>
                <w:color w:val="auto"/>
              </w:rPr>
            </w:pPr>
            <w:r>
              <w:rPr>
                <w:rFonts w:ascii="Arial" w:cs="Arial" w:eastAsia="Arial" w:hAnsi="Arial"/>
                <w:sz w:val="16"/>
                <w:szCs w:val="16"/>
                <w:color w:val="auto"/>
              </w:rPr>
              <w:t>Target</w:t>
            </w:r>
          </w:p>
        </w:tc>
        <w:tc>
          <w:tcPr>
            <w:tcW w:w="2660" w:type="dxa"/>
            <w:vAlign w:val="bottom"/>
            <w:tcBorders>
              <w:bottom w:val="single" w:sz="8" w:color="auto"/>
            </w:tcBorders>
            <w:shd w:val="clear" w:color="auto" w:fill="DFE3F1"/>
          </w:tcPr>
          <w:p>
            <w:pPr>
              <w:jc w:val="center"/>
              <w:ind w:left="1220"/>
              <w:spacing w:after="0"/>
              <w:rPr>
                <w:sz w:val="20"/>
                <w:szCs w:val="20"/>
                <w:color w:val="auto"/>
              </w:rPr>
            </w:pPr>
            <w:r>
              <w:rPr>
                <w:rFonts w:ascii="Arial" w:cs="Arial" w:eastAsia="Arial" w:hAnsi="Arial"/>
                <w:sz w:val="16"/>
                <w:szCs w:val="16"/>
                <w:color w:val="auto"/>
                <w:w w:val="89"/>
              </w:rPr>
              <w:t>$183.8/$2.63</w:t>
            </w:r>
          </w:p>
        </w:tc>
        <w:tc>
          <w:tcPr>
            <w:tcW w:w="1280" w:type="dxa"/>
            <w:vAlign w:val="bottom"/>
            <w:tcBorders>
              <w:bottom w:val="single" w:sz="8" w:color="auto"/>
            </w:tcBorders>
            <w:shd w:val="clear" w:color="auto" w:fill="DFE3F1"/>
          </w:tcPr>
          <w:p>
            <w:pPr>
              <w:jc w:val="center"/>
              <w:ind w:left="100"/>
              <w:spacing w:after="0"/>
              <w:rPr>
                <w:sz w:val="20"/>
                <w:szCs w:val="20"/>
                <w:color w:val="auto"/>
              </w:rPr>
            </w:pPr>
            <w:r>
              <w:rPr>
                <w:rFonts w:ascii="Arial" w:cs="Arial" w:eastAsia="Arial" w:hAnsi="Arial"/>
                <w:sz w:val="16"/>
                <w:szCs w:val="16"/>
                <w:color w:val="auto"/>
                <w:w w:val="93"/>
              </w:rPr>
              <w:t>45%</w:t>
            </w:r>
          </w:p>
        </w:tc>
      </w:tr>
      <w:tr>
        <w:trPr>
          <w:trHeight w:val="190"/>
        </w:trPr>
        <w:tc>
          <w:tcPr>
            <w:tcW w:w="29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Maximum</w:t>
            </w:r>
          </w:p>
        </w:tc>
        <w:tc>
          <w:tcPr>
            <w:tcW w:w="2660" w:type="dxa"/>
            <w:vAlign w:val="bottom"/>
            <w:tcBorders>
              <w:bottom w:val="single" w:sz="8" w:color="auto"/>
            </w:tcBorders>
          </w:tcPr>
          <w:p>
            <w:pPr>
              <w:jc w:val="center"/>
              <w:ind w:left="1220"/>
              <w:spacing w:after="0"/>
              <w:rPr>
                <w:sz w:val="20"/>
                <w:szCs w:val="20"/>
                <w:color w:val="auto"/>
              </w:rPr>
            </w:pPr>
            <w:r>
              <w:rPr>
                <w:rFonts w:ascii="Arial" w:cs="Arial" w:eastAsia="Arial" w:hAnsi="Arial"/>
                <w:sz w:val="16"/>
                <w:szCs w:val="16"/>
                <w:color w:val="auto"/>
                <w:w w:val="89"/>
              </w:rPr>
              <w:t>$220.6/$3.16</w:t>
            </w:r>
          </w:p>
        </w:tc>
        <w:tc>
          <w:tcPr>
            <w:tcW w:w="1280" w:type="dxa"/>
            <w:vAlign w:val="bottom"/>
            <w:tcBorders>
              <w:bottom w:val="single" w:sz="8" w:color="auto"/>
            </w:tcBorders>
          </w:tcPr>
          <w:p>
            <w:pPr>
              <w:jc w:val="center"/>
              <w:ind w:left="100"/>
              <w:spacing w:after="0"/>
              <w:rPr>
                <w:sz w:val="20"/>
                <w:szCs w:val="20"/>
                <w:color w:val="auto"/>
              </w:rPr>
            </w:pPr>
            <w:r>
              <w:rPr>
                <w:rFonts w:ascii="Arial" w:cs="Arial" w:eastAsia="Arial" w:hAnsi="Arial"/>
                <w:sz w:val="16"/>
                <w:szCs w:val="16"/>
                <w:color w:val="auto"/>
                <w:w w:val="93"/>
              </w:rPr>
              <w:t>75%</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LOS Profitability</w:t>
      </w:r>
    </w:p>
    <w:p>
      <w:pPr>
        <w:spacing w:after="0" w:line="211" w:lineRule="exact"/>
        <w:rPr>
          <w:sz w:val="20"/>
          <w:szCs w:val="20"/>
          <w:color w:val="auto"/>
        </w:rPr>
      </w:pPr>
    </w:p>
    <w:p>
      <w:pPr>
        <w:ind w:firstLine="561"/>
        <w:spacing w:after="0" w:line="259" w:lineRule="auto"/>
        <w:rPr>
          <w:sz w:val="20"/>
          <w:szCs w:val="20"/>
          <w:color w:val="auto"/>
        </w:rPr>
      </w:pPr>
      <w:r>
        <w:rPr>
          <w:rFonts w:ascii="Arial" w:cs="Arial" w:eastAsia="Arial" w:hAnsi="Arial"/>
          <w:sz w:val="16"/>
          <w:szCs w:val="16"/>
          <w:color w:val="auto"/>
        </w:rPr>
        <w:t>For each of Messrs. Crosby and Rau, a portion of their Performance-Related Incentive Awards was also based on the Operating Income of select parts of our business for which they had responsibility. For Mr. Crosby, this amount was based on the Operating Income of our government-related physical operations ("Physical Operations LOS") and the Operating Income of the land segment, excluding our payment processing operations and Physical Operations LOS ("Land LOS"). The Operating Income of the Land LOS would further be adjusted positively or negatively based on the Land LOS return on working capital percentage ("ROWC") achieved for the year (the "ROWC Modifier"). For Mr. Rau, this amount was based on the Operating Income of the aviation segment,</w:t>
      </w:r>
    </w:p>
    <w:p>
      <w:pPr>
        <w:spacing w:after="0" w:line="1" w:lineRule="exact"/>
        <w:rPr>
          <w:sz w:val="20"/>
          <w:szCs w:val="20"/>
          <w:color w:val="auto"/>
        </w:rPr>
      </w:pPr>
    </w:p>
    <w:p>
      <w:pPr>
        <w:jc w:val="right"/>
        <w:spacing w:after="0"/>
        <w:tabs>
          <w:tab w:leader="none" w:pos="1960" w:val="left"/>
          <w:tab w:leader="none" w:pos="1720" w:val="left"/>
          <w:tab w:leader="none" w:pos="14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3"/>
          <w:szCs w:val="33"/>
          <w:b w:val="1"/>
          <w:bCs w:val="1"/>
          <w:color w:val="auto"/>
          <w:vertAlign w:val="subscript"/>
        </w:rPr>
        <w:t>|</w:t>
      </w:r>
      <w:r>
        <w:rPr>
          <w:sz w:val="20"/>
          <w:szCs w:val="20"/>
          <w:color w:val="auto"/>
        </w:rPr>
        <w:tab/>
      </w:r>
      <w:r>
        <w:rPr>
          <w:rFonts w:ascii="Arial" w:cs="Arial" w:eastAsia="Arial" w:hAnsi="Arial"/>
          <w:sz w:val="16"/>
          <w:szCs w:val="16"/>
          <w:color w:val="auto"/>
        </w:rPr>
        <w:t>2018 Proxy Statement</w:t>
      </w:r>
      <w:r>
        <w:rPr>
          <w:sz w:val="20"/>
          <w:szCs w:val="20"/>
          <w:color w:val="auto"/>
        </w:rPr>
        <w:tab/>
      </w: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133350</wp:posOffset>
            </wp:positionV>
            <wp:extent cx="7263130" cy="203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5" w:name="page46"/>
    <w:bookmarkEnd w:id="45"/>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ind w:right="200"/>
        <w:spacing w:after="0" w:line="284" w:lineRule="auto"/>
        <w:rPr>
          <w:sz w:val="20"/>
          <w:szCs w:val="20"/>
          <w:color w:val="auto"/>
        </w:rPr>
      </w:pPr>
      <w:r>
        <w:rPr>
          <w:rFonts w:ascii="Arial" w:cs="Arial" w:eastAsia="Arial" w:hAnsi="Arial"/>
          <w:sz w:val="16"/>
          <w:szCs w:val="16"/>
          <w:color w:val="auto"/>
        </w:rPr>
        <w:t>excluding our payment processing operations and Physical Operations LOS ("Aviation LOS") as well as our marine segment activities ("Marine LOS"), subject in each case to the ROWC Modifier.</w:t>
      </w:r>
    </w:p>
    <w:p>
      <w:pPr>
        <w:spacing w:after="0" w:line="156" w:lineRule="exact"/>
        <w:rPr>
          <w:sz w:val="20"/>
          <w:szCs w:val="20"/>
          <w:color w:val="auto"/>
        </w:rPr>
      </w:pPr>
    </w:p>
    <w:p>
      <w:pPr>
        <w:ind w:left="560"/>
        <w:spacing w:after="0"/>
        <w:rPr>
          <w:sz w:val="20"/>
          <w:szCs w:val="20"/>
          <w:color w:val="auto"/>
        </w:rPr>
      </w:pPr>
      <w:r>
        <w:rPr>
          <w:rFonts w:ascii="Arial" w:cs="Arial" w:eastAsia="Arial" w:hAnsi="Arial"/>
          <w:sz w:val="14"/>
          <w:szCs w:val="14"/>
          <w:color w:val="auto"/>
        </w:rPr>
        <w:t>For 2017, the Committee set the following threshold, target and maximum cash bonus opportunities for the Operating Income of Messrs. Crosby's and Rau's respective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1087755</wp:posOffset>
            </wp:positionH>
            <wp:positionV relativeFrom="paragraph">
              <wp:posOffset>134620</wp:posOffset>
            </wp:positionV>
            <wp:extent cx="5073650" cy="2584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073650" cy="258445"/>
                    </a:xfrm>
                    <a:prstGeom prst="rect">
                      <a:avLst/>
                    </a:prstGeom>
                    <a:noFill/>
                  </pic:spPr>
                </pic:pic>
              </a:graphicData>
            </a:graphic>
          </wp:anchor>
        </w:drawing>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FFFFFE"/>
        </w:rPr>
        <w:t>Bonus Opportunity – LOS Operating Income</w:t>
      </w:r>
    </w:p>
    <w:p>
      <w:pPr>
        <w:spacing w:after="0" w:line="45" w:lineRule="exact"/>
        <w:rPr>
          <w:sz w:val="20"/>
          <w:szCs w:val="20"/>
          <w:color w:val="auto"/>
        </w:rPr>
      </w:pPr>
    </w:p>
    <w:tbl>
      <w:tblPr>
        <w:tblLayout w:type="fixed"/>
        <w:tblInd w:w="1720" w:type="dxa"/>
        <w:tblCellMar>
          <w:top w:w="0" w:type="dxa"/>
          <w:left w:w="0" w:type="dxa"/>
          <w:bottom w:w="0" w:type="dxa"/>
          <w:right w:w="0" w:type="dxa"/>
        </w:tblCellMar>
      </w:tblPr>
      <w:tr>
        <w:trPr>
          <w:trHeight w:val="191"/>
        </w:trPr>
        <w:tc>
          <w:tcPr>
            <w:tcW w:w="2700" w:type="dxa"/>
            <w:vAlign w:val="bottom"/>
            <w:shd w:val="clear" w:color="auto" w:fill="00529B"/>
          </w:tcPr>
          <w:p>
            <w:pPr>
              <w:spacing w:after="0"/>
              <w:rPr>
                <w:sz w:val="20"/>
                <w:szCs w:val="20"/>
                <w:color w:val="auto"/>
              </w:rPr>
            </w:pPr>
            <w:r>
              <w:rPr>
                <w:rFonts w:ascii="Arial" w:cs="Arial" w:eastAsia="Arial" w:hAnsi="Arial"/>
                <w:sz w:val="16"/>
                <w:szCs w:val="16"/>
                <w:b w:val="1"/>
                <w:bCs w:val="1"/>
                <w:color w:val="FFFFFE"/>
              </w:rPr>
              <w:t>NEO</w:t>
            </w:r>
          </w:p>
        </w:tc>
        <w:tc>
          <w:tcPr>
            <w:tcW w:w="1640" w:type="dxa"/>
            <w:vAlign w:val="bottom"/>
            <w:shd w:val="clear" w:color="auto" w:fill="00529B"/>
          </w:tcPr>
          <w:p>
            <w:pPr>
              <w:spacing w:after="0"/>
              <w:rPr>
                <w:sz w:val="16"/>
                <w:szCs w:val="16"/>
                <w:color w:val="auto"/>
              </w:rPr>
            </w:pPr>
          </w:p>
        </w:tc>
        <w:tc>
          <w:tcPr>
            <w:tcW w:w="240" w:type="dxa"/>
            <w:vAlign w:val="bottom"/>
            <w:shd w:val="clear" w:color="auto" w:fill="00529B"/>
          </w:tcPr>
          <w:p>
            <w:pPr>
              <w:spacing w:after="0"/>
              <w:rPr>
                <w:sz w:val="16"/>
                <w:szCs w:val="16"/>
                <w:color w:val="auto"/>
              </w:rPr>
            </w:pPr>
          </w:p>
        </w:tc>
        <w:tc>
          <w:tcPr>
            <w:tcW w:w="960" w:type="dxa"/>
            <w:vAlign w:val="bottom"/>
            <w:shd w:val="clear" w:color="auto" w:fill="00529B"/>
          </w:tcPr>
          <w:p>
            <w:pPr>
              <w:jc w:val="right"/>
              <w:ind w:right="120"/>
              <w:spacing w:after="0"/>
              <w:rPr>
                <w:sz w:val="20"/>
                <w:szCs w:val="20"/>
                <w:color w:val="auto"/>
              </w:rPr>
            </w:pPr>
            <w:r>
              <w:rPr>
                <w:rFonts w:ascii="Arial" w:cs="Arial" w:eastAsia="Arial" w:hAnsi="Arial"/>
                <w:sz w:val="16"/>
                <w:szCs w:val="16"/>
                <w:b w:val="1"/>
                <w:bCs w:val="1"/>
                <w:color w:val="FFFFFE"/>
                <w:w w:val="95"/>
              </w:rPr>
              <w:t>Threshold</w:t>
            </w:r>
          </w:p>
        </w:tc>
        <w:tc>
          <w:tcPr>
            <w:tcW w:w="300" w:type="dxa"/>
            <w:vAlign w:val="bottom"/>
            <w:shd w:val="clear" w:color="auto" w:fill="00529B"/>
          </w:tcPr>
          <w:p>
            <w:pPr>
              <w:spacing w:after="0"/>
              <w:rPr>
                <w:sz w:val="16"/>
                <w:szCs w:val="16"/>
                <w:color w:val="auto"/>
              </w:rPr>
            </w:pPr>
          </w:p>
        </w:tc>
        <w:tc>
          <w:tcPr>
            <w:tcW w:w="900" w:type="dxa"/>
            <w:vAlign w:val="bottom"/>
            <w:shd w:val="clear" w:color="auto" w:fill="00529B"/>
          </w:tcPr>
          <w:p>
            <w:pPr>
              <w:jc w:val="right"/>
              <w:ind w:right="260"/>
              <w:spacing w:after="0"/>
              <w:rPr>
                <w:sz w:val="20"/>
                <w:szCs w:val="20"/>
                <w:color w:val="auto"/>
              </w:rPr>
            </w:pPr>
            <w:r>
              <w:rPr>
                <w:rFonts w:ascii="Arial" w:cs="Arial" w:eastAsia="Arial" w:hAnsi="Arial"/>
                <w:sz w:val="16"/>
                <w:szCs w:val="16"/>
                <w:b w:val="1"/>
                <w:bCs w:val="1"/>
                <w:color w:val="FFFFFE"/>
              </w:rPr>
              <w:t>Target</w:t>
            </w:r>
          </w:p>
        </w:tc>
        <w:tc>
          <w:tcPr>
            <w:tcW w:w="200" w:type="dxa"/>
            <w:vAlign w:val="bottom"/>
            <w:shd w:val="clear" w:color="auto" w:fill="00529B"/>
          </w:tcPr>
          <w:p>
            <w:pPr>
              <w:spacing w:after="0"/>
              <w:rPr>
                <w:sz w:val="16"/>
                <w:szCs w:val="16"/>
                <w:color w:val="auto"/>
              </w:rPr>
            </w:pPr>
          </w:p>
        </w:tc>
        <w:tc>
          <w:tcPr>
            <w:tcW w:w="1040" w:type="dxa"/>
            <w:vAlign w:val="bottom"/>
            <w:shd w:val="clear" w:color="auto" w:fill="00529B"/>
          </w:tcPr>
          <w:p>
            <w:pPr>
              <w:jc w:val="right"/>
              <w:ind w:right="180"/>
              <w:spacing w:after="0"/>
              <w:rPr>
                <w:sz w:val="20"/>
                <w:szCs w:val="20"/>
                <w:color w:val="auto"/>
              </w:rPr>
            </w:pPr>
            <w:r>
              <w:rPr>
                <w:rFonts w:ascii="Arial" w:cs="Arial" w:eastAsia="Arial" w:hAnsi="Arial"/>
                <w:sz w:val="16"/>
                <w:szCs w:val="16"/>
                <w:b w:val="1"/>
                <w:bCs w:val="1"/>
                <w:color w:val="FFFFFE"/>
              </w:rPr>
              <w:t>Maximum</w:t>
            </w:r>
          </w:p>
        </w:tc>
      </w:tr>
      <w:tr>
        <w:trPr>
          <w:trHeight w:val="197"/>
        </w:trPr>
        <w:tc>
          <w:tcPr>
            <w:tcW w:w="2700" w:type="dxa"/>
            <w:vAlign w:val="bottom"/>
            <w:shd w:val="clear" w:color="auto" w:fill="DFE3F1"/>
          </w:tcPr>
          <w:p>
            <w:pPr>
              <w:spacing w:after="0"/>
              <w:rPr>
                <w:sz w:val="20"/>
                <w:szCs w:val="20"/>
                <w:color w:val="auto"/>
              </w:rPr>
            </w:pPr>
            <w:r>
              <w:rPr>
                <w:rFonts w:ascii="Arial" w:cs="Arial" w:eastAsia="Arial" w:hAnsi="Arial"/>
                <w:sz w:val="16"/>
                <w:szCs w:val="16"/>
                <w:b w:val="1"/>
                <w:bCs w:val="1"/>
                <w:color w:val="auto"/>
              </w:rPr>
              <w:t>Crosby</w:t>
            </w:r>
          </w:p>
        </w:tc>
        <w:tc>
          <w:tcPr>
            <w:tcW w:w="1640" w:type="dxa"/>
            <w:vAlign w:val="bottom"/>
            <w:shd w:val="clear" w:color="auto" w:fill="DFE3F1"/>
          </w:tcPr>
          <w:p>
            <w:pPr>
              <w:ind w:left="160"/>
              <w:spacing w:after="0"/>
              <w:rPr>
                <w:sz w:val="20"/>
                <w:szCs w:val="20"/>
                <w:color w:val="auto"/>
              </w:rPr>
            </w:pPr>
            <w:r>
              <w:rPr>
                <w:rFonts w:ascii="Arial" w:cs="Arial" w:eastAsia="Arial" w:hAnsi="Arial"/>
                <w:sz w:val="16"/>
                <w:szCs w:val="16"/>
                <w:b w:val="1"/>
                <w:bCs w:val="1"/>
                <w:color w:val="auto"/>
              </w:rPr>
              <w:t>Land</w:t>
            </w:r>
          </w:p>
        </w:tc>
        <w:tc>
          <w:tcPr>
            <w:tcW w:w="240" w:type="dxa"/>
            <w:vAlign w:val="bottom"/>
            <w:shd w:val="clear" w:color="auto" w:fill="DFE3F1"/>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DFE3F1"/>
          </w:tcPr>
          <w:p>
            <w:pPr>
              <w:jc w:val="right"/>
              <w:spacing w:after="0"/>
              <w:rPr>
                <w:sz w:val="20"/>
                <w:szCs w:val="20"/>
                <w:color w:val="auto"/>
              </w:rPr>
            </w:pPr>
            <w:r>
              <w:rPr>
                <w:rFonts w:ascii="Arial" w:cs="Arial" w:eastAsia="Arial" w:hAnsi="Arial"/>
                <w:sz w:val="16"/>
                <w:szCs w:val="16"/>
                <w:color w:val="auto"/>
              </w:rPr>
              <w:t>93,750</w:t>
            </w:r>
          </w:p>
        </w:tc>
        <w:tc>
          <w:tcPr>
            <w:tcW w:w="300" w:type="dxa"/>
            <w:vAlign w:val="bottom"/>
            <w:shd w:val="clear" w:color="auto" w:fill="DFE3F1"/>
          </w:tcPr>
          <w:p>
            <w:pPr>
              <w:jc w:val="right"/>
              <w:ind w:right="60"/>
              <w:spacing w:after="0"/>
              <w:rPr>
                <w:sz w:val="20"/>
                <w:szCs w:val="20"/>
                <w:color w:val="auto"/>
              </w:rPr>
            </w:pPr>
            <w:r>
              <w:rPr>
                <w:rFonts w:ascii="Arial" w:cs="Arial" w:eastAsia="Arial" w:hAnsi="Arial"/>
                <w:sz w:val="16"/>
                <w:szCs w:val="16"/>
                <w:color w:val="auto"/>
              </w:rPr>
              <w:t>$</w:t>
            </w:r>
          </w:p>
        </w:tc>
        <w:tc>
          <w:tcPr>
            <w:tcW w:w="900" w:type="dxa"/>
            <w:vAlign w:val="bottom"/>
            <w:shd w:val="clear" w:color="auto" w:fill="DFE3F1"/>
          </w:tcPr>
          <w:p>
            <w:pPr>
              <w:jc w:val="right"/>
              <w:spacing w:after="0"/>
              <w:rPr>
                <w:sz w:val="20"/>
                <w:szCs w:val="20"/>
                <w:color w:val="auto"/>
              </w:rPr>
            </w:pPr>
            <w:r>
              <w:rPr>
                <w:rFonts w:ascii="Arial" w:cs="Arial" w:eastAsia="Arial" w:hAnsi="Arial"/>
                <w:sz w:val="16"/>
                <w:szCs w:val="16"/>
                <w:color w:val="auto"/>
              </w:rPr>
              <w:t>375,000</w:t>
            </w:r>
          </w:p>
        </w:tc>
        <w:tc>
          <w:tcPr>
            <w:tcW w:w="200" w:type="dxa"/>
            <w:vAlign w:val="bottom"/>
            <w:shd w:val="clear" w:color="auto" w:fill="DFE3F1"/>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DFE3F1"/>
          </w:tcPr>
          <w:p>
            <w:pPr>
              <w:jc w:val="right"/>
              <w:ind w:right="60"/>
              <w:spacing w:after="0"/>
              <w:rPr>
                <w:sz w:val="20"/>
                <w:szCs w:val="20"/>
                <w:color w:val="auto"/>
              </w:rPr>
            </w:pPr>
            <w:r>
              <w:rPr>
                <w:rFonts w:ascii="Arial" w:cs="Arial" w:eastAsia="Arial" w:hAnsi="Arial"/>
                <w:sz w:val="16"/>
                <w:szCs w:val="16"/>
                <w:color w:val="auto"/>
              </w:rPr>
              <w:t>750,000</w:t>
            </w:r>
          </w:p>
        </w:tc>
      </w:tr>
      <w:tr>
        <w:trPr>
          <w:trHeight w:val="197"/>
        </w:trPr>
        <w:tc>
          <w:tcPr>
            <w:tcW w:w="2700" w:type="dxa"/>
            <w:vAlign w:val="bottom"/>
            <w:tcBorders>
              <w:bottom w:val="single" w:sz="8" w:color="DFE3F1"/>
            </w:tcBorders>
            <w:shd w:val="clear" w:color="auto" w:fill="DFE3F1"/>
          </w:tcPr>
          <w:p>
            <w:pPr>
              <w:spacing w:after="0"/>
              <w:rPr>
                <w:sz w:val="17"/>
                <w:szCs w:val="17"/>
                <w:color w:val="auto"/>
              </w:rPr>
            </w:pPr>
          </w:p>
        </w:tc>
        <w:tc>
          <w:tcPr>
            <w:tcW w:w="1640" w:type="dxa"/>
            <w:vAlign w:val="bottom"/>
            <w:tcBorders>
              <w:bottom w:val="single" w:sz="8" w:color="auto"/>
            </w:tcBorders>
            <w:shd w:val="clear" w:color="auto" w:fill="DFE3F1"/>
          </w:tcPr>
          <w:p>
            <w:pPr>
              <w:ind w:left="160"/>
              <w:spacing w:after="0"/>
              <w:rPr>
                <w:sz w:val="20"/>
                <w:szCs w:val="20"/>
                <w:color w:val="auto"/>
              </w:rPr>
            </w:pPr>
            <w:r>
              <w:rPr>
                <w:rFonts w:ascii="Arial" w:cs="Arial" w:eastAsia="Arial" w:hAnsi="Arial"/>
                <w:sz w:val="16"/>
                <w:szCs w:val="16"/>
                <w:b w:val="1"/>
                <w:bCs w:val="1"/>
                <w:color w:val="auto"/>
                <w:w w:val="94"/>
              </w:rPr>
              <w:t>Physical Operations</w:t>
            </w:r>
          </w:p>
        </w:tc>
        <w:tc>
          <w:tcPr>
            <w:tcW w:w="240" w:type="dxa"/>
            <w:vAlign w:val="bottom"/>
            <w:tcBorders>
              <w:bottom w:val="single" w:sz="8" w:color="auto"/>
            </w:tcBorders>
            <w:shd w:val="clear" w:color="auto" w:fill="DFE3F1"/>
          </w:tcPr>
          <w:p>
            <w:pPr>
              <w:spacing w:after="0"/>
              <w:rPr>
                <w:sz w:val="17"/>
                <w:szCs w:val="17"/>
                <w:color w:val="auto"/>
              </w:rPr>
            </w:pPr>
          </w:p>
        </w:tc>
        <w:tc>
          <w:tcPr>
            <w:tcW w:w="960" w:type="dxa"/>
            <w:vAlign w:val="bottom"/>
            <w:tcBorders>
              <w:bottom w:val="single" w:sz="8" w:color="auto"/>
            </w:tcBorders>
            <w:shd w:val="clear" w:color="auto" w:fill="DFE3F1"/>
          </w:tcPr>
          <w:p>
            <w:pPr>
              <w:jc w:val="right"/>
              <w:spacing w:after="0"/>
              <w:rPr>
                <w:sz w:val="20"/>
                <w:szCs w:val="20"/>
                <w:color w:val="auto"/>
              </w:rPr>
            </w:pPr>
            <w:r>
              <w:rPr>
                <w:rFonts w:ascii="Arial" w:cs="Arial" w:eastAsia="Arial" w:hAnsi="Arial"/>
                <w:sz w:val="16"/>
                <w:szCs w:val="16"/>
                <w:color w:val="auto"/>
              </w:rPr>
              <w:t>18,750</w:t>
            </w:r>
          </w:p>
        </w:tc>
        <w:tc>
          <w:tcPr>
            <w:tcW w:w="300" w:type="dxa"/>
            <w:vAlign w:val="bottom"/>
            <w:tcBorders>
              <w:bottom w:val="single" w:sz="8" w:color="auto"/>
            </w:tcBorders>
            <w:shd w:val="clear" w:color="auto" w:fill="DFE3F1"/>
          </w:tcPr>
          <w:p>
            <w:pPr>
              <w:spacing w:after="0"/>
              <w:rPr>
                <w:sz w:val="17"/>
                <w:szCs w:val="17"/>
                <w:color w:val="auto"/>
              </w:rPr>
            </w:pPr>
          </w:p>
        </w:tc>
        <w:tc>
          <w:tcPr>
            <w:tcW w:w="900" w:type="dxa"/>
            <w:vAlign w:val="bottom"/>
            <w:tcBorders>
              <w:bottom w:val="single" w:sz="8" w:color="auto"/>
            </w:tcBorders>
            <w:shd w:val="clear" w:color="auto" w:fill="DFE3F1"/>
          </w:tcPr>
          <w:p>
            <w:pPr>
              <w:jc w:val="right"/>
              <w:spacing w:after="0"/>
              <w:rPr>
                <w:sz w:val="20"/>
                <w:szCs w:val="20"/>
                <w:color w:val="auto"/>
              </w:rPr>
            </w:pPr>
            <w:r>
              <w:rPr>
                <w:rFonts w:ascii="Arial" w:cs="Arial" w:eastAsia="Arial" w:hAnsi="Arial"/>
                <w:sz w:val="16"/>
                <w:szCs w:val="16"/>
                <w:color w:val="auto"/>
              </w:rPr>
              <w:t>75,000</w:t>
            </w:r>
          </w:p>
        </w:tc>
        <w:tc>
          <w:tcPr>
            <w:tcW w:w="200" w:type="dxa"/>
            <w:vAlign w:val="bottom"/>
            <w:tcBorders>
              <w:bottom w:val="single" w:sz="8" w:color="auto"/>
            </w:tcBorders>
            <w:shd w:val="clear" w:color="auto" w:fill="DFE3F1"/>
          </w:tcPr>
          <w:p>
            <w:pPr>
              <w:spacing w:after="0"/>
              <w:rPr>
                <w:sz w:val="17"/>
                <w:szCs w:val="17"/>
                <w:color w:val="auto"/>
              </w:rPr>
            </w:pPr>
          </w:p>
        </w:tc>
        <w:tc>
          <w:tcPr>
            <w:tcW w:w="1040" w:type="dxa"/>
            <w:vAlign w:val="bottom"/>
            <w:tcBorders>
              <w:bottom w:val="single" w:sz="8" w:color="auto"/>
            </w:tcBorders>
            <w:shd w:val="clear" w:color="auto" w:fill="DFE3F1"/>
          </w:tcPr>
          <w:p>
            <w:pPr>
              <w:jc w:val="right"/>
              <w:ind w:right="60"/>
              <w:spacing w:after="0"/>
              <w:rPr>
                <w:sz w:val="20"/>
                <w:szCs w:val="20"/>
                <w:color w:val="auto"/>
              </w:rPr>
            </w:pPr>
            <w:r>
              <w:rPr>
                <w:rFonts w:ascii="Arial" w:cs="Arial" w:eastAsia="Arial" w:hAnsi="Arial"/>
                <w:sz w:val="16"/>
                <w:szCs w:val="16"/>
                <w:color w:val="auto"/>
              </w:rPr>
              <w:t>150,000</w:t>
            </w:r>
          </w:p>
        </w:tc>
      </w:tr>
      <w:tr>
        <w:trPr>
          <w:trHeight w:val="190"/>
        </w:trPr>
        <w:tc>
          <w:tcPr>
            <w:tcW w:w="2700" w:type="dxa"/>
            <w:vAlign w:val="bottom"/>
            <w:tcBorders>
              <w:bottom w:val="single" w:sz="8" w:color="auto"/>
            </w:tcBorders>
            <w:shd w:val="clear" w:color="auto" w:fill="DFE3F1"/>
          </w:tcPr>
          <w:p>
            <w:pPr>
              <w:spacing w:after="0"/>
              <w:rPr>
                <w:sz w:val="16"/>
                <w:szCs w:val="16"/>
                <w:color w:val="auto"/>
              </w:rPr>
            </w:pPr>
          </w:p>
        </w:tc>
        <w:tc>
          <w:tcPr>
            <w:tcW w:w="1640" w:type="dxa"/>
            <w:vAlign w:val="bottom"/>
            <w:tcBorders>
              <w:bottom w:val="single" w:sz="8" w:color="auto"/>
            </w:tcBorders>
            <w:shd w:val="clear" w:color="auto" w:fill="DFE3F1"/>
          </w:tcPr>
          <w:p>
            <w:pPr>
              <w:ind w:left="160"/>
              <w:spacing w:after="0"/>
              <w:rPr>
                <w:sz w:val="20"/>
                <w:szCs w:val="20"/>
                <w:color w:val="auto"/>
              </w:rPr>
            </w:pPr>
            <w:r>
              <w:rPr>
                <w:rFonts w:ascii="Arial" w:cs="Arial" w:eastAsia="Arial" w:hAnsi="Arial"/>
                <w:sz w:val="16"/>
                <w:szCs w:val="16"/>
                <w:b w:val="1"/>
                <w:bCs w:val="1"/>
                <w:color w:val="auto"/>
              </w:rPr>
              <w:t>Total</w:t>
            </w:r>
          </w:p>
        </w:tc>
        <w:tc>
          <w:tcPr>
            <w:tcW w:w="240" w:type="dxa"/>
            <w:vAlign w:val="bottom"/>
            <w:tcBorders>
              <w:bottom w:val="single" w:sz="8" w:color="auto"/>
            </w:tcBorders>
            <w:shd w:val="clear" w:color="auto" w:fill="DFE3F1"/>
          </w:tcPr>
          <w:p>
            <w:pPr>
              <w:spacing w:after="0"/>
              <w:rPr>
                <w:sz w:val="16"/>
                <w:szCs w:val="16"/>
                <w:color w:val="auto"/>
              </w:rPr>
            </w:pPr>
          </w:p>
        </w:tc>
        <w:tc>
          <w:tcPr>
            <w:tcW w:w="960" w:type="dxa"/>
            <w:vAlign w:val="bottom"/>
            <w:tcBorders>
              <w:bottom w:val="single" w:sz="8" w:color="auto"/>
            </w:tcBorders>
            <w:shd w:val="clear" w:color="auto" w:fill="DFE3F1"/>
          </w:tcPr>
          <w:p>
            <w:pPr>
              <w:jc w:val="right"/>
              <w:spacing w:after="0"/>
              <w:rPr>
                <w:sz w:val="20"/>
                <w:szCs w:val="20"/>
                <w:color w:val="auto"/>
              </w:rPr>
            </w:pPr>
            <w:r>
              <w:rPr>
                <w:rFonts w:ascii="Arial" w:cs="Arial" w:eastAsia="Arial" w:hAnsi="Arial"/>
                <w:sz w:val="16"/>
                <w:szCs w:val="16"/>
                <w:color w:val="auto"/>
              </w:rPr>
              <w:t>112,500</w:t>
            </w:r>
          </w:p>
        </w:tc>
        <w:tc>
          <w:tcPr>
            <w:tcW w:w="300" w:type="dxa"/>
            <w:vAlign w:val="bottom"/>
            <w:tcBorders>
              <w:bottom w:val="single" w:sz="8" w:color="auto"/>
            </w:tcBorders>
            <w:shd w:val="clear" w:color="auto" w:fill="DFE3F1"/>
          </w:tcPr>
          <w:p>
            <w:pPr>
              <w:spacing w:after="0"/>
              <w:rPr>
                <w:sz w:val="16"/>
                <w:szCs w:val="16"/>
                <w:color w:val="auto"/>
              </w:rPr>
            </w:pPr>
          </w:p>
        </w:tc>
        <w:tc>
          <w:tcPr>
            <w:tcW w:w="900" w:type="dxa"/>
            <w:vAlign w:val="bottom"/>
            <w:tcBorders>
              <w:bottom w:val="single" w:sz="8" w:color="auto"/>
            </w:tcBorders>
            <w:shd w:val="clear" w:color="auto" w:fill="DFE3F1"/>
          </w:tcPr>
          <w:p>
            <w:pPr>
              <w:jc w:val="right"/>
              <w:spacing w:after="0"/>
              <w:rPr>
                <w:sz w:val="20"/>
                <w:szCs w:val="20"/>
                <w:color w:val="auto"/>
              </w:rPr>
            </w:pPr>
            <w:r>
              <w:rPr>
                <w:rFonts w:ascii="Arial" w:cs="Arial" w:eastAsia="Arial" w:hAnsi="Arial"/>
                <w:sz w:val="16"/>
                <w:szCs w:val="16"/>
                <w:color w:val="auto"/>
              </w:rPr>
              <w:t>450,000</w:t>
            </w:r>
          </w:p>
        </w:tc>
        <w:tc>
          <w:tcPr>
            <w:tcW w:w="200" w:type="dxa"/>
            <w:vAlign w:val="bottom"/>
            <w:tcBorders>
              <w:bottom w:val="single" w:sz="8" w:color="auto"/>
            </w:tcBorders>
            <w:shd w:val="clear" w:color="auto" w:fill="DFE3F1"/>
          </w:tcPr>
          <w:p>
            <w:pPr>
              <w:spacing w:after="0"/>
              <w:rPr>
                <w:sz w:val="16"/>
                <w:szCs w:val="16"/>
                <w:color w:val="auto"/>
              </w:rPr>
            </w:pPr>
          </w:p>
        </w:tc>
        <w:tc>
          <w:tcPr>
            <w:tcW w:w="1040" w:type="dxa"/>
            <w:vAlign w:val="bottom"/>
            <w:tcBorders>
              <w:bottom w:val="single" w:sz="8" w:color="auto"/>
            </w:tcBorders>
            <w:shd w:val="clear" w:color="auto" w:fill="DFE3F1"/>
          </w:tcPr>
          <w:p>
            <w:pPr>
              <w:jc w:val="right"/>
              <w:ind w:right="60"/>
              <w:spacing w:after="0"/>
              <w:rPr>
                <w:sz w:val="20"/>
                <w:szCs w:val="20"/>
                <w:color w:val="auto"/>
              </w:rPr>
            </w:pPr>
            <w:r>
              <w:rPr>
                <w:rFonts w:ascii="Arial" w:cs="Arial" w:eastAsia="Arial" w:hAnsi="Arial"/>
                <w:sz w:val="16"/>
                <w:szCs w:val="16"/>
                <w:color w:val="auto"/>
              </w:rPr>
              <w:t>900,000</w:t>
            </w:r>
          </w:p>
        </w:tc>
      </w:tr>
      <w:tr>
        <w:trPr>
          <w:trHeight w:val="177"/>
        </w:trPr>
        <w:tc>
          <w:tcPr>
            <w:tcW w:w="2700" w:type="dxa"/>
            <w:vAlign w:val="bottom"/>
          </w:tcPr>
          <w:p>
            <w:pPr>
              <w:spacing w:after="0" w:line="177" w:lineRule="exact"/>
              <w:rPr>
                <w:sz w:val="20"/>
                <w:szCs w:val="20"/>
                <w:color w:val="auto"/>
              </w:rPr>
            </w:pPr>
            <w:r>
              <w:rPr>
                <w:rFonts w:ascii="Arial" w:cs="Arial" w:eastAsia="Arial" w:hAnsi="Arial"/>
                <w:sz w:val="16"/>
                <w:szCs w:val="16"/>
                <w:b w:val="1"/>
                <w:bCs w:val="1"/>
                <w:color w:val="auto"/>
              </w:rPr>
              <w:t>Rau</w:t>
            </w:r>
          </w:p>
        </w:tc>
        <w:tc>
          <w:tcPr>
            <w:tcW w:w="1640" w:type="dxa"/>
            <w:vAlign w:val="bottom"/>
          </w:tcPr>
          <w:p>
            <w:pPr>
              <w:ind w:left="160"/>
              <w:spacing w:after="0" w:line="177" w:lineRule="exact"/>
              <w:rPr>
                <w:sz w:val="20"/>
                <w:szCs w:val="20"/>
                <w:color w:val="auto"/>
              </w:rPr>
            </w:pPr>
            <w:r>
              <w:rPr>
                <w:rFonts w:ascii="Arial" w:cs="Arial" w:eastAsia="Arial" w:hAnsi="Arial"/>
                <w:sz w:val="16"/>
                <w:szCs w:val="16"/>
                <w:b w:val="1"/>
                <w:bCs w:val="1"/>
                <w:color w:val="auto"/>
              </w:rPr>
              <w:t>Aviation</w:t>
            </w:r>
          </w:p>
        </w:tc>
        <w:tc>
          <w:tcPr>
            <w:tcW w:w="240" w:type="dxa"/>
            <w:vAlign w:val="bottom"/>
          </w:tcPr>
          <w:p>
            <w:pPr>
              <w:spacing w:after="0"/>
              <w:rPr>
                <w:sz w:val="15"/>
                <w:szCs w:val="15"/>
                <w:color w:val="auto"/>
              </w:rPr>
            </w:pPr>
          </w:p>
        </w:tc>
        <w:tc>
          <w:tcPr>
            <w:tcW w:w="960" w:type="dxa"/>
            <w:vAlign w:val="bottom"/>
          </w:tcPr>
          <w:p>
            <w:pPr>
              <w:jc w:val="right"/>
              <w:spacing w:after="0" w:line="177" w:lineRule="exact"/>
              <w:rPr>
                <w:sz w:val="20"/>
                <w:szCs w:val="20"/>
                <w:color w:val="auto"/>
              </w:rPr>
            </w:pPr>
            <w:r>
              <w:rPr>
                <w:rFonts w:ascii="Arial" w:cs="Arial" w:eastAsia="Arial" w:hAnsi="Arial"/>
                <w:sz w:val="16"/>
                <w:szCs w:val="16"/>
                <w:color w:val="auto"/>
              </w:rPr>
              <w:t>56,250</w:t>
            </w:r>
          </w:p>
        </w:tc>
        <w:tc>
          <w:tcPr>
            <w:tcW w:w="300" w:type="dxa"/>
            <w:vAlign w:val="bottom"/>
          </w:tcPr>
          <w:p>
            <w:pPr>
              <w:spacing w:after="0"/>
              <w:rPr>
                <w:sz w:val="15"/>
                <w:szCs w:val="15"/>
                <w:color w:val="auto"/>
              </w:rPr>
            </w:pPr>
          </w:p>
        </w:tc>
        <w:tc>
          <w:tcPr>
            <w:tcW w:w="900" w:type="dxa"/>
            <w:vAlign w:val="bottom"/>
          </w:tcPr>
          <w:p>
            <w:pPr>
              <w:jc w:val="right"/>
              <w:spacing w:after="0" w:line="177" w:lineRule="exact"/>
              <w:rPr>
                <w:sz w:val="20"/>
                <w:szCs w:val="20"/>
                <w:color w:val="auto"/>
              </w:rPr>
            </w:pPr>
            <w:r>
              <w:rPr>
                <w:rFonts w:ascii="Arial" w:cs="Arial" w:eastAsia="Arial" w:hAnsi="Arial"/>
                <w:sz w:val="16"/>
                <w:szCs w:val="16"/>
                <w:color w:val="auto"/>
              </w:rPr>
              <w:t>225,000</w:t>
            </w:r>
          </w:p>
        </w:tc>
        <w:tc>
          <w:tcPr>
            <w:tcW w:w="200" w:type="dxa"/>
            <w:vAlign w:val="bottom"/>
          </w:tcPr>
          <w:p>
            <w:pPr>
              <w:spacing w:after="0"/>
              <w:rPr>
                <w:sz w:val="15"/>
                <w:szCs w:val="15"/>
                <w:color w:val="auto"/>
              </w:rPr>
            </w:pPr>
          </w:p>
        </w:tc>
        <w:tc>
          <w:tcPr>
            <w:tcW w:w="1040" w:type="dxa"/>
            <w:vAlign w:val="bottom"/>
          </w:tcPr>
          <w:p>
            <w:pPr>
              <w:jc w:val="right"/>
              <w:ind w:right="60"/>
              <w:spacing w:after="0" w:line="177" w:lineRule="exact"/>
              <w:rPr>
                <w:sz w:val="20"/>
                <w:szCs w:val="20"/>
                <w:color w:val="auto"/>
              </w:rPr>
            </w:pPr>
            <w:r>
              <w:rPr>
                <w:rFonts w:ascii="Arial" w:cs="Arial" w:eastAsia="Arial" w:hAnsi="Arial"/>
                <w:sz w:val="16"/>
                <w:szCs w:val="16"/>
                <w:color w:val="auto"/>
              </w:rPr>
              <w:t>450,000</w:t>
            </w:r>
          </w:p>
        </w:tc>
      </w:tr>
      <w:tr>
        <w:trPr>
          <w:trHeight w:val="209"/>
        </w:trPr>
        <w:tc>
          <w:tcPr>
            <w:tcW w:w="2700" w:type="dxa"/>
            <w:vAlign w:val="bottom"/>
          </w:tcPr>
          <w:p>
            <w:pPr>
              <w:spacing w:after="0"/>
              <w:rPr>
                <w:sz w:val="18"/>
                <w:szCs w:val="18"/>
                <w:color w:val="auto"/>
              </w:rPr>
            </w:pPr>
          </w:p>
        </w:tc>
        <w:tc>
          <w:tcPr>
            <w:tcW w:w="164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Marine</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56,250</w:t>
            </w: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225,000</w:t>
            </w: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450,000</w:t>
            </w:r>
          </w:p>
        </w:tc>
      </w:tr>
      <w:tr>
        <w:trPr>
          <w:trHeight w:val="190"/>
        </w:trPr>
        <w:tc>
          <w:tcPr>
            <w:tcW w:w="27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Total</w:t>
            </w: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112,500</w:t>
            </w: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450,000</w:t>
            </w: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900,000</w:t>
            </w:r>
          </w:p>
        </w:tc>
      </w:tr>
    </w:tbl>
    <w:p>
      <w:pPr>
        <w:spacing w:after="0" w:line="188" w:lineRule="exact"/>
        <w:rPr>
          <w:sz w:val="20"/>
          <w:szCs w:val="20"/>
          <w:color w:val="auto"/>
        </w:rPr>
      </w:pPr>
    </w:p>
    <w:p>
      <w:pPr>
        <w:ind w:right="120"/>
        <w:spacing w:after="0" w:line="270" w:lineRule="auto"/>
        <w:rPr>
          <w:sz w:val="20"/>
          <w:szCs w:val="20"/>
          <w:color w:val="auto"/>
        </w:rPr>
      </w:pPr>
      <w:r>
        <w:rPr>
          <w:rFonts w:ascii="Arial" w:cs="Arial" w:eastAsia="Arial" w:hAnsi="Arial"/>
          <w:sz w:val="16"/>
          <w:szCs w:val="16"/>
          <w:color w:val="auto"/>
        </w:rPr>
        <w:t>The Committee established the threshold, target and maximum performance levels for each LOS based on our confidential operating plan. The threshold was set above the prior year's performance, while the target level represented significant growth and the maximum performance level was intended to be extremely challenging, representing extraordinary annual growth.</w:t>
      </w:r>
    </w:p>
    <w:p>
      <w:pPr>
        <w:spacing w:after="0" w:line="168" w:lineRule="exact"/>
        <w:rPr>
          <w:sz w:val="20"/>
          <w:szCs w:val="20"/>
          <w:color w:val="auto"/>
        </w:rPr>
      </w:pPr>
    </w:p>
    <w:p>
      <w:pPr>
        <w:ind w:left="980"/>
        <w:spacing w:after="0"/>
        <w:rPr>
          <w:sz w:val="20"/>
          <w:szCs w:val="20"/>
          <w:color w:val="auto"/>
        </w:rPr>
      </w:pPr>
      <w:r>
        <w:rPr>
          <w:rFonts w:ascii="Arial" w:cs="Arial" w:eastAsia="Arial" w:hAnsi="Arial"/>
          <w:sz w:val="16"/>
          <w:szCs w:val="16"/>
          <w:i w:val="1"/>
          <w:iCs w:val="1"/>
          <w:color w:val="auto"/>
        </w:rPr>
        <w:t>Strategic Objective Cash Incentive Award</w:t>
      </w:r>
    </w:p>
    <w:p>
      <w:pPr>
        <w:spacing w:after="0" w:line="211" w:lineRule="exact"/>
        <w:rPr>
          <w:sz w:val="20"/>
          <w:szCs w:val="20"/>
          <w:color w:val="auto"/>
        </w:rPr>
      </w:pPr>
    </w:p>
    <w:p>
      <w:pPr>
        <w:ind w:right="360" w:firstLine="552"/>
        <w:spacing w:after="0" w:line="264" w:lineRule="auto"/>
        <w:rPr>
          <w:sz w:val="20"/>
          <w:szCs w:val="20"/>
          <w:color w:val="auto"/>
        </w:rPr>
      </w:pPr>
      <w:r>
        <w:rPr>
          <w:rFonts w:ascii="Arial" w:cs="Arial" w:eastAsia="Arial" w:hAnsi="Arial"/>
          <w:sz w:val="16"/>
          <w:szCs w:val="16"/>
          <w:color w:val="auto"/>
        </w:rPr>
        <w:t>As part of its annual incentive program, the Compensation Committee also rewards NEOs based on the achievement of certain strategic objectives that support key strategic and operational areas of focus for the year. In 2017, these objectives related to portfolio management, organizational effectiveness and operational efficiencies. The Committee annually determines the cash compensation that will be awarded based on a percentage of the achievement of such objectives. For 2017, the Committee set the following maximum cash incentive for each NEO based on the Committee's review of the objectives as whole and each individual NEO's contribution to achieving those objectives.</w:t>
      </w:r>
    </w:p>
    <w:p>
      <w:pPr>
        <w:spacing w:after="0" w:line="181" w:lineRule="exact"/>
        <w:rPr>
          <w:sz w:val="20"/>
          <w:szCs w:val="20"/>
          <w:color w:val="auto"/>
        </w:rPr>
      </w:pPr>
    </w:p>
    <w:tbl>
      <w:tblPr>
        <w:tblLayout w:type="fixed"/>
        <w:tblInd w:w="2280" w:type="dxa"/>
        <w:tblCellMar>
          <w:top w:w="0" w:type="dxa"/>
          <w:left w:w="0" w:type="dxa"/>
          <w:bottom w:w="0" w:type="dxa"/>
          <w:right w:w="0" w:type="dxa"/>
        </w:tblCellMar>
      </w:tblPr>
      <w:tr>
        <w:trPr>
          <w:trHeight w:val="229"/>
        </w:trPr>
        <w:tc>
          <w:tcPr>
            <w:tcW w:w="2640" w:type="dxa"/>
            <w:vAlign w:val="bottom"/>
            <w:shd w:val="clear" w:color="auto" w:fill="00529B"/>
          </w:tcPr>
          <w:p>
            <w:pPr>
              <w:spacing w:after="0"/>
              <w:rPr>
                <w:sz w:val="20"/>
                <w:szCs w:val="20"/>
                <w:color w:val="auto"/>
              </w:rPr>
            </w:pPr>
            <w:r>
              <w:rPr>
                <w:rFonts w:ascii="Arial" w:cs="Arial" w:eastAsia="Arial" w:hAnsi="Arial"/>
                <w:sz w:val="16"/>
                <w:szCs w:val="16"/>
                <w:b w:val="1"/>
                <w:bCs w:val="1"/>
                <w:color w:val="FFFFFE"/>
              </w:rPr>
              <w:t>NEO</w:t>
            </w:r>
          </w:p>
        </w:tc>
        <w:tc>
          <w:tcPr>
            <w:tcW w:w="2260" w:type="dxa"/>
            <w:vAlign w:val="bottom"/>
            <w:shd w:val="clear" w:color="auto" w:fill="00529B"/>
          </w:tcPr>
          <w:p>
            <w:pPr>
              <w:spacing w:after="0"/>
              <w:rPr>
                <w:sz w:val="19"/>
                <w:szCs w:val="19"/>
                <w:color w:val="auto"/>
              </w:rPr>
            </w:pPr>
          </w:p>
        </w:tc>
        <w:tc>
          <w:tcPr>
            <w:tcW w:w="1960" w:type="dxa"/>
            <w:vAlign w:val="bottom"/>
            <w:shd w:val="clear" w:color="auto" w:fill="00529B"/>
          </w:tcPr>
          <w:p>
            <w:pPr>
              <w:jc w:val="right"/>
              <w:ind w:right="80"/>
              <w:spacing w:after="0"/>
              <w:rPr>
                <w:sz w:val="20"/>
                <w:szCs w:val="20"/>
                <w:color w:val="auto"/>
              </w:rPr>
            </w:pPr>
            <w:r>
              <w:rPr>
                <w:rFonts w:ascii="Arial" w:cs="Arial" w:eastAsia="Arial" w:hAnsi="Arial"/>
                <w:sz w:val="16"/>
                <w:szCs w:val="16"/>
                <w:b w:val="1"/>
                <w:bCs w:val="1"/>
                <w:color w:val="FFFFFE"/>
                <w:w w:val="93"/>
              </w:rPr>
              <w:t>Maximum Cash Incentive</w:t>
            </w:r>
          </w:p>
        </w:tc>
      </w:tr>
      <w:tr>
        <w:trPr>
          <w:trHeight w:val="166"/>
        </w:trPr>
        <w:tc>
          <w:tcPr>
            <w:tcW w:w="2640" w:type="dxa"/>
            <w:vAlign w:val="bottom"/>
            <w:shd w:val="clear" w:color="auto" w:fill="00529B"/>
          </w:tcPr>
          <w:p>
            <w:pPr>
              <w:spacing w:after="0"/>
              <w:rPr>
                <w:sz w:val="14"/>
                <w:szCs w:val="14"/>
                <w:color w:val="auto"/>
              </w:rPr>
            </w:pPr>
          </w:p>
        </w:tc>
        <w:tc>
          <w:tcPr>
            <w:tcW w:w="2260" w:type="dxa"/>
            <w:vAlign w:val="bottom"/>
            <w:shd w:val="clear" w:color="auto" w:fill="00529B"/>
          </w:tcPr>
          <w:p>
            <w:pPr>
              <w:spacing w:after="0"/>
              <w:rPr>
                <w:sz w:val="14"/>
                <w:szCs w:val="14"/>
                <w:color w:val="auto"/>
              </w:rPr>
            </w:pPr>
          </w:p>
        </w:tc>
        <w:tc>
          <w:tcPr>
            <w:tcW w:w="1960" w:type="dxa"/>
            <w:vAlign w:val="bottom"/>
            <w:shd w:val="clear" w:color="auto" w:fill="00529B"/>
          </w:tcPr>
          <w:p>
            <w:pPr>
              <w:spacing w:after="0"/>
              <w:rPr>
                <w:sz w:val="14"/>
                <w:szCs w:val="14"/>
                <w:color w:val="auto"/>
              </w:rPr>
            </w:pPr>
          </w:p>
        </w:tc>
      </w:tr>
      <w:tr>
        <w:trPr>
          <w:trHeight w:val="197"/>
        </w:trPr>
        <w:tc>
          <w:tcPr>
            <w:tcW w:w="26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Kasbar</w:t>
            </w: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750,000</w:t>
            </w:r>
          </w:p>
        </w:tc>
      </w:tr>
      <w:tr>
        <w:trPr>
          <w:trHeight w:val="190"/>
        </w:trPr>
        <w:tc>
          <w:tcPr>
            <w:tcW w:w="2640" w:type="dxa"/>
            <w:vAlign w:val="bottom"/>
            <w:tcBorders>
              <w:bottom w:val="single" w:sz="8" w:color="auto"/>
            </w:tcBorders>
            <w:shd w:val="clear" w:color="auto" w:fill="DFE3F1"/>
          </w:tcPr>
          <w:p>
            <w:pPr>
              <w:spacing w:after="0"/>
              <w:rPr>
                <w:sz w:val="20"/>
                <w:szCs w:val="20"/>
                <w:color w:val="auto"/>
              </w:rPr>
            </w:pPr>
            <w:r>
              <w:rPr>
                <w:rFonts w:ascii="Arial" w:cs="Arial" w:eastAsia="Arial" w:hAnsi="Arial"/>
                <w:sz w:val="16"/>
                <w:szCs w:val="16"/>
                <w:color w:val="auto"/>
              </w:rPr>
              <w:t>Birns</w:t>
            </w:r>
          </w:p>
        </w:tc>
        <w:tc>
          <w:tcPr>
            <w:tcW w:w="2260" w:type="dxa"/>
            <w:vAlign w:val="bottom"/>
            <w:tcBorders>
              <w:bottom w:val="single" w:sz="8" w:color="auto"/>
            </w:tcBorders>
            <w:shd w:val="clear" w:color="auto" w:fill="DFE3F1"/>
          </w:tcPr>
          <w:p>
            <w:pPr>
              <w:jc w:val="right"/>
              <w:spacing w:after="0"/>
              <w:rPr>
                <w:sz w:val="20"/>
                <w:szCs w:val="20"/>
                <w:color w:val="auto"/>
              </w:rPr>
            </w:pPr>
            <w:r>
              <w:rPr>
                <w:rFonts w:ascii="Arial" w:cs="Arial" w:eastAsia="Arial" w:hAnsi="Arial"/>
                <w:sz w:val="16"/>
                <w:szCs w:val="16"/>
                <w:color w:val="auto"/>
              </w:rPr>
              <w:t>$</w:t>
            </w:r>
          </w:p>
        </w:tc>
        <w:tc>
          <w:tcPr>
            <w:tcW w:w="1960" w:type="dxa"/>
            <w:vAlign w:val="bottom"/>
            <w:tcBorders>
              <w:bottom w:val="single" w:sz="8" w:color="auto"/>
            </w:tcBorders>
            <w:shd w:val="clear" w:color="auto" w:fill="DFE3F1"/>
          </w:tcPr>
          <w:p>
            <w:pPr>
              <w:jc w:val="right"/>
              <w:ind w:right="60"/>
              <w:spacing w:after="0"/>
              <w:rPr>
                <w:sz w:val="20"/>
                <w:szCs w:val="20"/>
                <w:color w:val="auto"/>
              </w:rPr>
            </w:pPr>
            <w:r>
              <w:rPr>
                <w:rFonts w:ascii="Arial" w:cs="Arial" w:eastAsia="Arial" w:hAnsi="Arial"/>
                <w:sz w:val="16"/>
                <w:szCs w:val="16"/>
                <w:color w:val="auto"/>
              </w:rPr>
              <w:t>300,000</w:t>
            </w:r>
          </w:p>
        </w:tc>
      </w:tr>
      <w:tr>
        <w:trPr>
          <w:trHeight w:val="190"/>
        </w:trPr>
        <w:tc>
          <w:tcPr>
            <w:tcW w:w="26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Crosby</w:t>
            </w: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150,000</w:t>
            </w:r>
          </w:p>
        </w:tc>
      </w:tr>
      <w:tr>
        <w:trPr>
          <w:trHeight w:val="190"/>
        </w:trPr>
        <w:tc>
          <w:tcPr>
            <w:tcW w:w="2640" w:type="dxa"/>
            <w:vAlign w:val="bottom"/>
            <w:tcBorders>
              <w:bottom w:val="single" w:sz="8" w:color="auto"/>
            </w:tcBorders>
            <w:shd w:val="clear" w:color="auto" w:fill="DFE3F1"/>
          </w:tcPr>
          <w:p>
            <w:pPr>
              <w:spacing w:after="0"/>
              <w:rPr>
                <w:sz w:val="20"/>
                <w:szCs w:val="20"/>
                <w:color w:val="auto"/>
              </w:rPr>
            </w:pPr>
            <w:r>
              <w:rPr>
                <w:rFonts w:ascii="Arial" w:cs="Arial" w:eastAsia="Arial" w:hAnsi="Arial"/>
                <w:sz w:val="16"/>
                <w:szCs w:val="16"/>
                <w:color w:val="auto"/>
              </w:rPr>
              <w:t>Rau</w:t>
            </w:r>
          </w:p>
        </w:tc>
        <w:tc>
          <w:tcPr>
            <w:tcW w:w="2260" w:type="dxa"/>
            <w:vAlign w:val="bottom"/>
            <w:tcBorders>
              <w:bottom w:val="single" w:sz="8" w:color="auto"/>
            </w:tcBorders>
            <w:shd w:val="clear" w:color="auto" w:fill="DFE3F1"/>
          </w:tcPr>
          <w:p>
            <w:pPr>
              <w:jc w:val="right"/>
              <w:spacing w:after="0"/>
              <w:rPr>
                <w:sz w:val="20"/>
                <w:szCs w:val="20"/>
                <w:color w:val="auto"/>
              </w:rPr>
            </w:pPr>
            <w:r>
              <w:rPr>
                <w:rFonts w:ascii="Arial" w:cs="Arial" w:eastAsia="Arial" w:hAnsi="Arial"/>
                <w:sz w:val="16"/>
                <w:szCs w:val="16"/>
                <w:color w:val="auto"/>
              </w:rPr>
              <w:t>$</w:t>
            </w:r>
          </w:p>
        </w:tc>
        <w:tc>
          <w:tcPr>
            <w:tcW w:w="1960" w:type="dxa"/>
            <w:vAlign w:val="bottom"/>
            <w:tcBorders>
              <w:bottom w:val="single" w:sz="8" w:color="auto"/>
            </w:tcBorders>
            <w:shd w:val="clear" w:color="auto" w:fill="DFE3F1"/>
          </w:tcPr>
          <w:p>
            <w:pPr>
              <w:jc w:val="right"/>
              <w:ind w:right="60"/>
              <w:spacing w:after="0"/>
              <w:rPr>
                <w:sz w:val="20"/>
                <w:szCs w:val="20"/>
                <w:color w:val="auto"/>
              </w:rPr>
            </w:pPr>
            <w:r>
              <w:rPr>
                <w:rFonts w:ascii="Arial" w:cs="Arial" w:eastAsia="Arial" w:hAnsi="Arial"/>
                <w:sz w:val="16"/>
                <w:szCs w:val="16"/>
                <w:color w:val="auto"/>
              </w:rPr>
              <w:t>150,000</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Long-Term Performance Equity</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2017, our Long-Term Performance Equity was comprised of (1) Performance SSARs and (2) Performance-Based RSUs.</w:t>
      </w:r>
    </w:p>
    <w:p>
      <w:pPr>
        <w:spacing w:after="0" w:line="21" w:lineRule="exact"/>
        <w:rPr>
          <w:sz w:val="20"/>
          <w:szCs w:val="20"/>
          <w:color w:val="auto"/>
        </w:rPr>
      </w:pPr>
    </w:p>
    <w:p>
      <w:pPr>
        <w:jc w:val="right"/>
        <w:spacing w:after="0"/>
        <w:tabs>
          <w:tab w:leader="none" w:pos="1960" w:val="left"/>
          <w:tab w:leader="none" w:pos="1720" w:val="left"/>
          <w:tab w:leader="none" w:pos="14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3"/>
          <w:szCs w:val="33"/>
          <w:b w:val="1"/>
          <w:bCs w:val="1"/>
          <w:color w:val="auto"/>
          <w:vertAlign w:val="subscript"/>
        </w:rPr>
        <w:t>|</w:t>
      </w:r>
      <w:r>
        <w:rPr>
          <w:sz w:val="20"/>
          <w:szCs w:val="20"/>
          <w:color w:val="auto"/>
        </w:rPr>
        <w:tab/>
      </w:r>
      <w:r>
        <w:rPr>
          <w:rFonts w:ascii="Arial" w:cs="Arial" w:eastAsia="Arial" w:hAnsi="Arial"/>
          <w:sz w:val="16"/>
          <w:szCs w:val="16"/>
          <w:color w:val="auto"/>
        </w:rPr>
        <w:t>2018 Proxy Statement</w:t>
      </w:r>
      <w:r>
        <w:rPr>
          <w:sz w:val="20"/>
          <w:szCs w:val="20"/>
          <w:color w:val="auto"/>
        </w:rPr>
        <w:tab/>
      </w: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133350</wp:posOffset>
            </wp:positionV>
            <wp:extent cx="7263130" cy="203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6" w:name="page47"/>
    <w:bookmarkEnd w:id="46"/>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ind w:left="980"/>
        <w:spacing w:after="0"/>
        <w:rPr>
          <w:sz w:val="20"/>
          <w:szCs w:val="20"/>
          <w:color w:val="auto"/>
        </w:rPr>
      </w:pPr>
      <w:r>
        <w:rPr>
          <w:rFonts w:ascii="Arial" w:cs="Arial" w:eastAsia="Arial" w:hAnsi="Arial"/>
          <w:sz w:val="16"/>
          <w:szCs w:val="16"/>
          <w:i w:val="1"/>
          <w:iCs w:val="1"/>
          <w:color w:val="auto"/>
        </w:rPr>
        <w:t>Performance SSARs</w:t>
      </w:r>
    </w:p>
    <w:p>
      <w:pPr>
        <w:spacing w:after="0" w:line="211" w:lineRule="exact"/>
        <w:rPr>
          <w:sz w:val="20"/>
          <w:szCs w:val="20"/>
          <w:color w:val="auto"/>
        </w:rPr>
      </w:pPr>
    </w:p>
    <w:p>
      <w:pPr>
        <w:ind w:right="140" w:firstLine="561"/>
        <w:spacing w:after="0" w:line="261" w:lineRule="auto"/>
        <w:rPr>
          <w:sz w:val="20"/>
          <w:szCs w:val="20"/>
          <w:color w:val="auto"/>
        </w:rPr>
      </w:pPr>
      <w:r>
        <w:rPr>
          <w:rFonts w:ascii="Arial" w:cs="Arial" w:eastAsia="Arial" w:hAnsi="Arial"/>
          <w:sz w:val="16"/>
          <w:szCs w:val="16"/>
          <w:color w:val="auto"/>
        </w:rPr>
        <w:t>In 2017, the Committee added Performance SSARs to our Long-Term Performance Equity program to complement our existing PSP awards and to further incentivize the NEOs to drive growth and share price appreciation over the long term. The Committee initially determined the compensation that would be awarded in Performance SSARs in conjunction with determining the NEOs' overall target compensation opportunity, taking into consideration the relative mix between the cash and equity components of the NEO's target compensation. This amount is then divided by the fair market value of an SSAR on the date of award (based on Black-Scholes) to calculate the number of SSARs that are to be issued. Performance SSAR awards are earned upon achieving minimum EPS for the year in which they are awarded and, once earned, cliff vest on the third anniversary of the grant. As the SSARs are granted with an exercise price equal to the closing price on the date of grant, they only have value to the extent that our stock price appreciates over time. As a result, these awards reward NEOs for annual financial performance and long-term stock appreciation, thereby directly aligning their interests with those of our shareholders.</w:t>
      </w:r>
    </w:p>
    <w:p>
      <w:pPr>
        <w:spacing w:after="0" w:line="175" w:lineRule="exact"/>
        <w:rPr>
          <w:sz w:val="20"/>
          <w:szCs w:val="20"/>
          <w:color w:val="auto"/>
        </w:rPr>
      </w:pPr>
    </w:p>
    <w:p>
      <w:pPr>
        <w:ind w:right="640" w:firstLine="561"/>
        <w:spacing w:after="0" w:line="284" w:lineRule="auto"/>
        <w:rPr>
          <w:sz w:val="20"/>
          <w:szCs w:val="20"/>
          <w:color w:val="auto"/>
        </w:rPr>
      </w:pPr>
      <w:r>
        <w:rPr>
          <w:rFonts w:ascii="Arial" w:cs="Arial" w:eastAsia="Arial" w:hAnsi="Arial"/>
          <w:sz w:val="16"/>
          <w:szCs w:val="16"/>
          <w:color w:val="auto"/>
        </w:rPr>
        <w:t>For 2017, the Committee issued the following Performance SSARs with an exercise price of $36.25 and set a minimum EPS of $2.46 (the "Performance SSAR Threshold") for the NEOs to earn the SSAR award. If the minimum level of EPS was not met, the SSAR award would be forfeited.</w:t>
      </w:r>
    </w:p>
    <w:p>
      <w:pPr>
        <w:spacing w:after="0" w:line="165" w:lineRule="exact"/>
        <w:rPr>
          <w:sz w:val="20"/>
          <w:szCs w:val="20"/>
          <w:color w:val="auto"/>
        </w:rPr>
      </w:pPr>
    </w:p>
    <w:tbl>
      <w:tblPr>
        <w:tblLayout w:type="fixed"/>
        <w:tblInd w:w="1940" w:type="dxa"/>
        <w:tblCellMar>
          <w:top w:w="0" w:type="dxa"/>
          <w:left w:w="0" w:type="dxa"/>
          <w:bottom w:w="0" w:type="dxa"/>
          <w:right w:w="0" w:type="dxa"/>
        </w:tblCellMar>
      </w:tblPr>
      <w:tr>
        <w:trPr>
          <w:trHeight w:val="197"/>
        </w:trPr>
        <w:tc>
          <w:tcPr>
            <w:tcW w:w="3600" w:type="dxa"/>
            <w:vAlign w:val="bottom"/>
            <w:shd w:val="clear" w:color="auto" w:fill="00529B"/>
          </w:tcPr>
          <w:p>
            <w:pPr>
              <w:spacing w:after="0"/>
              <w:rPr>
                <w:sz w:val="17"/>
                <w:szCs w:val="17"/>
                <w:color w:val="auto"/>
              </w:rPr>
            </w:pPr>
          </w:p>
        </w:tc>
        <w:tc>
          <w:tcPr>
            <w:tcW w:w="280" w:type="dxa"/>
            <w:vAlign w:val="bottom"/>
            <w:shd w:val="clear" w:color="auto" w:fill="00529B"/>
          </w:tcPr>
          <w:p>
            <w:pPr>
              <w:spacing w:after="0"/>
              <w:rPr>
                <w:sz w:val="17"/>
                <w:szCs w:val="17"/>
                <w:color w:val="auto"/>
              </w:rPr>
            </w:pPr>
          </w:p>
        </w:tc>
        <w:tc>
          <w:tcPr>
            <w:tcW w:w="3560" w:type="dxa"/>
            <w:vAlign w:val="bottom"/>
            <w:gridSpan w:val="2"/>
            <w:shd w:val="clear" w:color="auto" w:fill="00529B"/>
          </w:tcPr>
          <w:p>
            <w:pPr>
              <w:ind w:left="920"/>
              <w:spacing w:after="0"/>
              <w:rPr>
                <w:sz w:val="20"/>
                <w:szCs w:val="20"/>
                <w:color w:val="auto"/>
              </w:rPr>
            </w:pPr>
            <w:r>
              <w:rPr>
                <w:rFonts w:ascii="Arial" w:cs="Arial" w:eastAsia="Arial" w:hAnsi="Arial"/>
                <w:sz w:val="16"/>
                <w:szCs w:val="16"/>
                <w:b w:val="1"/>
                <w:bCs w:val="1"/>
                <w:color w:val="FFFFFE"/>
              </w:rPr>
              <w:t>Performance SSARs</w:t>
            </w:r>
          </w:p>
        </w:tc>
      </w:tr>
      <w:tr>
        <w:trPr>
          <w:trHeight w:val="197"/>
        </w:trPr>
        <w:tc>
          <w:tcPr>
            <w:tcW w:w="3600" w:type="dxa"/>
            <w:vAlign w:val="bottom"/>
            <w:shd w:val="clear" w:color="auto" w:fill="00529B"/>
          </w:tcPr>
          <w:p>
            <w:pPr>
              <w:spacing w:after="0"/>
              <w:rPr>
                <w:sz w:val="20"/>
                <w:szCs w:val="20"/>
                <w:color w:val="auto"/>
              </w:rPr>
            </w:pPr>
            <w:r>
              <w:rPr>
                <w:rFonts w:ascii="Arial" w:cs="Arial" w:eastAsia="Arial" w:hAnsi="Arial"/>
                <w:sz w:val="16"/>
                <w:szCs w:val="16"/>
                <w:b w:val="1"/>
                <w:bCs w:val="1"/>
                <w:color w:val="FFFFFE"/>
              </w:rPr>
              <w:t>NEO</w:t>
            </w:r>
          </w:p>
        </w:tc>
        <w:tc>
          <w:tcPr>
            <w:tcW w:w="2120" w:type="dxa"/>
            <w:vAlign w:val="bottom"/>
            <w:gridSpan w:val="2"/>
            <w:shd w:val="clear" w:color="auto" w:fill="00529B"/>
          </w:tcPr>
          <w:p>
            <w:pPr>
              <w:ind w:left="180"/>
              <w:spacing w:after="0"/>
              <w:rPr>
                <w:sz w:val="20"/>
                <w:szCs w:val="20"/>
                <w:color w:val="auto"/>
              </w:rPr>
            </w:pPr>
            <w:r>
              <w:rPr>
                <w:rFonts w:ascii="Arial" w:cs="Arial" w:eastAsia="Arial" w:hAnsi="Arial"/>
                <w:sz w:val="16"/>
                <w:szCs w:val="16"/>
                <w:b w:val="1"/>
                <w:bCs w:val="1"/>
                <w:color w:val="FFFFFE"/>
              </w:rPr>
              <w:t>Grant Date Dollar Value</w:t>
            </w:r>
          </w:p>
        </w:tc>
        <w:tc>
          <w:tcPr>
            <w:tcW w:w="1720" w:type="dxa"/>
            <w:vAlign w:val="bottom"/>
            <w:shd w:val="clear" w:color="auto" w:fill="00529B"/>
          </w:tcPr>
          <w:p>
            <w:pPr>
              <w:ind w:left="280"/>
              <w:spacing w:after="0"/>
              <w:rPr>
                <w:sz w:val="20"/>
                <w:szCs w:val="20"/>
                <w:color w:val="auto"/>
              </w:rPr>
            </w:pPr>
            <w:r>
              <w:rPr>
                <w:rFonts w:ascii="Arial" w:cs="Arial" w:eastAsia="Arial" w:hAnsi="Arial"/>
                <w:sz w:val="16"/>
                <w:szCs w:val="16"/>
                <w:b w:val="1"/>
                <w:bCs w:val="1"/>
                <w:color w:val="FFFFFE"/>
              </w:rPr>
              <w:t>Number of SSARs</w:t>
            </w:r>
          </w:p>
        </w:tc>
      </w:tr>
      <w:tr>
        <w:trPr>
          <w:trHeight w:val="197"/>
        </w:trPr>
        <w:tc>
          <w:tcPr>
            <w:tcW w:w="3600" w:type="dxa"/>
            <w:vAlign w:val="bottom"/>
          </w:tcPr>
          <w:p>
            <w:pPr>
              <w:spacing w:after="0"/>
              <w:rPr>
                <w:sz w:val="20"/>
                <w:szCs w:val="20"/>
                <w:color w:val="auto"/>
              </w:rPr>
            </w:pPr>
            <w:r>
              <w:rPr>
                <w:rFonts w:ascii="Arial" w:cs="Arial" w:eastAsia="Arial" w:hAnsi="Arial"/>
                <w:sz w:val="16"/>
                <w:szCs w:val="16"/>
                <w:color w:val="auto"/>
              </w:rPr>
              <w:t>Kasbar</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840" w:type="dxa"/>
            <w:vAlign w:val="bottom"/>
          </w:tcPr>
          <w:p>
            <w:pPr>
              <w:ind w:left="60"/>
              <w:spacing w:after="0"/>
              <w:rPr>
                <w:sz w:val="20"/>
                <w:szCs w:val="20"/>
                <w:color w:val="auto"/>
              </w:rPr>
            </w:pPr>
            <w:r>
              <w:rPr>
                <w:rFonts w:ascii="Arial" w:cs="Arial" w:eastAsia="Arial" w:hAnsi="Arial"/>
                <w:sz w:val="16"/>
                <w:szCs w:val="16"/>
                <w:color w:val="auto"/>
              </w:rPr>
              <w:t>1,000,000</w:t>
            </w:r>
          </w:p>
        </w:tc>
        <w:tc>
          <w:tcPr>
            <w:tcW w:w="1720" w:type="dxa"/>
            <w:vAlign w:val="bottom"/>
          </w:tcPr>
          <w:p>
            <w:pPr>
              <w:jc w:val="center"/>
              <w:spacing w:after="0"/>
              <w:rPr>
                <w:sz w:val="20"/>
                <w:szCs w:val="20"/>
                <w:color w:val="auto"/>
              </w:rPr>
            </w:pPr>
            <w:r>
              <w:rPr>
                <w:rFonts w:ascii="Arial" w:cs="Arial" w:eastAsia="Arial" w:hAnsi="Arial"/>
                <w:sz w:val="16"/>
                <w:szCs w:val="16"/>
                <w:color w:val="auto"/>
                <w:w w:val="89"/>
              </w:rPr>
              <w:t>113,507</w:t>
            </w:r>
          </w:p>
        </w:tc>
      </w:tr>
      <w:tr>
        <w:trPr>
          <w:trHeight w:val="197"/>
        </w:trPr>
        <w:tc>
          <w:tcPr>
            <w:tcW w:w="3600" w:type="dxa"/>
            <w:vAlign w:val="bottom"/>
            <w:shd w:val="clear" w:color="auto" w:fill="DFE3F1"/>
          </w:tcPr>
          <w:p>
            <w:pPr>
              <w:spacing w:after="0"/>
              <w:rPr>
                <w:sz w:val="20"/>
                <w:szCs w:val="20"/>
                <w:color w:val="auto"/>
              </w:rPr>
            </w:pPr>
            <w:r>
              <w:rPr>
                <w:rFonts w:ascii="Arial" w:cs="Arial" w:eastAsia="Arial" w:hAnsi="Arial"/>
                <w:sz w:val="16"/>
                <w:szCs w:val="16"/>
                <w:color w:val="auto"/>
              </w:rPr>
              <w:t>Birns</w:t>
            </w:r>
          </w:p>
        </w:tc>
        <w:tc>
          <w:tcPr>
            <w:tcW w:w="280" w:type="dxa"/>
            <w:vAlign w:val="bottom"/>
            <w:shd w:val="clear" w:color="auto" w:fill="DFE3F1"/>
          </w:tcPr>
          <w:p>
            <w:pPr>
              <w:jc w:val="right"/>
              <w:spacing w:after="0"/>
              <w:rPr>
                <w:sz w:val="20"/>
                <w:szCs w:val="20"/>
                <w:color w:val="auto"/>
              </w:rPr>
            </w:pPr>
            <w:r>
              <w:rPr>
                <w:rFonts w:ascii="Arial" w:cs="Arial" w:eastAsia="Arial" w:hAnsi="Arial"/>
                <w:sz w:val="16"/>
                <w:szCs w:val="16"/>
                <w:color w:val="auto"/>
              </w:rPr>
              <w:t>$</w:t>
            </w:r>
          </w:p>
        </w:tc>
        <w:tc>
          <w:tcPr>
            <w:tcW w:w="1840" w:type="dxa"/>
            <w:vAlign w:val="bottom"/>
            <w:shd w:val="clear" w:color="auto" w:fill="DFE3F1"/>
          </w:tcPr>
          <w:p>
            <w:pPr>
              <w:ind w:left="60"/>
              <w:spacing w:after="0"/>
              <w:rPr>
                <w:sz w:val="20"/>
                <w:szCs w:val="20"/>
                <w:color w:val="auto"/>
              </w:rPr>
            </w:pPr>
            <w:r>
              <w:rPr>
                <w:rFonts w:ascii="Arial" w:cs="Arial" w:eastAsia="Arial" w:hAnsi="Arial"/>
                <w:sz w:val="16"/>
                <w:szCs w:val="16"/>
                <w:color w:val="auto"/>
              </w:rPr>
              <w:t>400,000</w:t>
            </w:r>
          </w:p>
        </w:tc>
        <w:tc>
          <w:tcPr>
            <w:tcW w:w="1720" w:type="dxa"/>
            <w:vAlign w:val="bottom"/>
            <w:shd w:val="clear" w:color="auto" w:fill="DFE3F1"/>
          </w:tcPr>
          <w:p>
            <w:pPr>
              <w:jc w:val="center"/>
              <w:spacing w:after="0"/>
              <w:rPr>
                <w:sz w:val="20"/>
                <w:szCs w:val="20"/>
                <w:color w:val="auto"/>
              </w:rPr>
            </w:pPr>
            <w:r>
              <w:rPr>
                <w:rFonts w:ascii="Arial" w:cs="Arial" w:eastAsia="Arial" w:hAnsi="Arial"/>
                <w:sz w:val="16"/>
                <w:szCs w:val="16"/>
                <w:color w:val="auto"/>
                <w:w w:val="89"/>
              </w:rPr>
              <w:t>45,403</w:t>
            </w:r>
          </w:p>
        </w:tc>
      </w:tr>
      <w:tr>
        <w:trPr>
          <w:trHeight w:val="197"/>
        </w:trPr>
        <w:tc>
          <w:tcPr>
            <w:tcW w:w="3600" w:type="dxa"/>
            <w:vAlign w:val="bottom"/>
          </w:tcPr>
          <w:p>
            <w:pPr>
              <w:spacing w:after="0"/>
              <w:rPr>
                <w:sz w:val="20"/>
                <w:szCs w:val="20"/>
                <w:color w:val="auto"/>
              </w:rPr>
            </w:pPr>
            <w:r>
              <w:rPr>
                <w:rFonts w:ascii="Arial" w:cs="Arial" w:eastAsia="Arial" w:hAnsi="Arial"/>
                <w:sz w:val="16"/>
                <w:szCs w:val="16"/>
                <w:color w:val="auto"/>
              </w:rPr>
              <w:t>Crosby</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840" w:type="dxa"/>
            <w:vAlign w:val="bottom"/>
          </w:tcPr>
          <w:p>
            <w:pPr>
              <w:ind w:left="60"/>
              <w:spacing w:after="0"/>
              <w:rPr>
                <w:sz w:val="20"/>
                <w:szCs w:val="20"/>
                <w:color w:val="auto"/>
              </w:rPr>
            </w:pPr>
            <w:r>
              <w:rPr>
                <w:rFonts w:ascii="Arial" w:cs="Arial" w:eastAsia="Arial" w:hAnsi="Arial"/>
                <w:sz w:val="16"/>
                <w:szCs w:val="16"/>
                <w:color w:val="auto"/>
              </w:rPr>
              <w:t>250,000</w:t>
            </w:r>
          </w:p>
        </w:tc>
        <w:tc>
          <w:tcPr>
            <w:tcW w:w="1720" w:type="dxa"/>
            <w:vAlign w:val="bottom"/>
          </w:tcPr>
          <w:p>
            <w:pPr>
              <w:jc w:val="center"/>
              <w:spacing w:after="0"/>
              <w:rPr>
                <w:sz w:val="20"/>
                <w:szCs w:val="20"/>
                <w:color w:val="auto"/>
              </w:rPr>
            </w:pPr>
            <w:r>
              <w:rPr>
                <w:rFonts w:ascii="Arial" w:cs="Arial" w:eastAsia="Arial" w:hAnsi="Arial"/>
                <w:sz w:val="16"/>
                <w:szCs w:val="16"/>
                <w:color w:val="auto"/>
                <w:w w:val="89"/>
              </w:rPr>
              <w:t>28,377</w:t>
            </w:r>
          </w:p>
        </w:tc>
      </w:tr>
      <w:tr>
        <w:trPr>
          <w:trHeight w:val="197"/>
        </w:trPr>
        <w:tc>
          <w:tcPr>
            <w:tcW w:w="3600" w:type="dxa"/>
            <w:vAlign w:val="bottom"/>
            <w:shd w:val="clear" w:color="auto" w:fill="DFE3F1"/>
          </w:tcPr>
          <w:p>
            <w:pPr>
              <w:spacing w:after="0"/>
              <w:rPr>
                <w:sz w:val="20"/>
                <w:szCs w:val="20"/>
                <w:color w:val="auto"/>
              </w:rPr>
            </w:pPr>
            <w:r>
              <w:rPr>
                <w:rFonts w:ascii="Arial" w:cs="Arial" w:eastAsia="Arial" w:hAnsi="Arial"/>
                <w:sz w:val="16"/>
                <w:szCs w:val="16"/>
                <w:color w:val="auto"/>
              </w:rPr>
              <w:t>Rau</w:t>
            </w:r>
          </w:p>
        </w:tc>
        <w:tc>
          <w:tcPr>
            <w:tcW w:w="280" w:type="dxa"/>
            <w:vAlign w:val="bottom"/>
            <w:shd w:val="clear" w:color="auto" w:fill="DFE3F1"/>
          </w:tcPr>
          <w:p>
            <w:pPr>
              <w:jc w:val="right"/>
              <w:spacing w:after="0"/>
              <w:rPr>
                <w:sz w:val="20"/>
                <w:szCs w:val="20"/>
                <w:color w:val="auto"/>
              </w:rPr>
            </w:pPr>
            <w:r>
              <w:rPr>
                <w:rFonts w:ascii="Arial" w:cs="Arial" w:eastAsia="Arial" w:hAnsi="Arial"/>
                <w:sz w:val="16"/>
                <w:szCs w:val="16"/>
                <w:color w:val="auto"/>
              </w:rPr>
              <w:t>$</w:t>
            </w:r>
          </w:p>
        </w:tc>
        <w:tc>
          <w:tcPr>
            <w:tcW w:w="1840" w:type="dxa"/>
            <w:vAlign w:val="bottom"/>
            <w:shd w:val="clear" w:color="auto" w:fill="DFE3F1"/>
          </w:tcPr>
          <w:p>
            <w:pPr>
              <w:ind w:left="60"/>
              <w:spacing w:after="0"/>
              <w:rPr>
                <w:sz w:val="20"/>
                <w:szCs w:val="20"/>
                <w:color w:val="auto"/>
              </w:rPr>
            </w:pPr>
            <w:r>
              <w:rPr>
                <w:rFonts w:ascii="Arial" w:cs="Arial" w:eastAsia="Arial" w:hAnsi="Arial"/>
                <w:sz w:val="16"/>
                <w:szCs w:val="16"/>
                <w:color w:val="auto"/>
              </w:rPr>
              <w:t>250,000</w:t>
            </w:r>
          </w:p>
        </w:tc>
        <w:tc>
          <w:tcPr>
            <w:tcW w:w="1720" w:type="dxa"/>
            <w:vAlign w:val="bottom"/>
            <w:shd w:val="clear" w:color="auto" w:fill="DFE3F1"/>
          </w:tcPr>
          <w:p>
            <w:pPr>
              <w:jc w:val="center"/>
              <w:spacing w:after="0"/>
              <w:rPr>
                <w:sz w:val="20"/>
                <w:szCs w:val="20"/>
                <w:color w:val="auto"/>
              </w:rPr>
            </w:pPr>
            <w:r>
              <w:rPr>
                <w:rFonts w:ascii="Arial" w:cs="Arial" w:eastAsia="Arial" w:hAnsi="Arial"/>
                <w:sz w:val="16"/>
                <w:szCs w:val="16"/>
                <w:color w:val="auto"/>
                <w:w w:val="89"/>
              </w:rPr>
              <w:t>28,377</w:t>
            </w:r>
          </w:p>
        </w:tc>
      </w:tr>
    </w:tbl>
    <w:p>
      <w:pPr>
        <w:spacing w:after="0" w:line="188" w:lineRule="exact"/>
        <w:rPr>
          <w:sz w:val="20"/>
          <w:szCs w:val="20"/>
          <w:color w:val="auto"/>
        </w:rPr>
      </w:pPr>
    </w:p>
    <w:p>
      <w:pPr>
        <w:ind w:left="980"/>
        <w:spacing w:after="0"/>
        <w:rPr>
          <w:sz w:val="20"/>
          <w:szCs w:val="20"/>
          <w:color w:val="auto"/>
        </w:rPr>
      </w:pPr>
      <w:r>
        <w:rPr>
          <w:rFonts w:ascii="Arial" w:cs="Arial" w:eastAsia="Arial" w:hAnsi="Arial"/>
          <w:sz w:val="16"/>
          <w:szCs w:val="16"/>
          <w:i w:val="1"/>
          <w:iCs w:val="1"/>
          <w:color w:val="auto"/>
        </w:rPr>
        <w:t>Performance-Based Share Plan</w:t>
      </w:r>
    </w:p>
    <w:p>
      <w:pPr>
        <w:spacing w:after="0" w:line="211" w:lineRule="exact"/>
        <w:rPr>
          <w:sz w:val="20"/>
          <w:szCs w:val="20"/>
          <w:color w:val="auto"/>
        </w:rPr>
      </w:pPr>
    </w:p>
    <w:p>
      <w:pPr>
        <w:jc w:val="both"/>
        <w:ind w:firstLine="552"/>
        <w:spacing w:after="0" w:line="297" w:lineRule="auto"/>
        <w:rPr>
          <w:sz w:val="20"/>
          <w:szCs w:val="20"/>
          <w:color w:val="auto"/>
        </w:rPr>
      </w:pPr>
      <w:r>
        <w:rPr>
          <w:rFonts w:ascii="Arial" w:cs="Arial" w:eastAsia="Arial" w:hAnsi="Arial"/>
          <w:sz w:val="15"/>
          <w:szCs w:val="15"/>
          <w:color w:val="auto"/>
        </w:rPr>
        <w:t>As in 2016, the Committee again utilized the PSP RSU award to incentivize long-term EPS growth. Under the PSP, executives are granted a PSP Opportunity annually at the beginning of the three-year vesting period. The PSP Opportunity will be earned based on the achievement of CAGR in EPS targets over the vesting period in order to provide the executives with appropriate incentives to balance the objectives of maximizing earnings with a minimum amount of dilution.</w:t>
      </w:r>
    </w:p>
    <w:p>
      <w:pPr>
        <w:spacing w:after="0" w:line="149" w:lineRule="exact"/>
        <w:rPr>
          <w:sz w:val="20"/>
          <w:szCs w:val="20"/>
          <w:color w:val="auto"/>
        </w:rPr>
      </w:pPr>
    </w:p>
    <w:p>
      <w:pPr>
        <w:ind w:right="20" w:firstLine="552"/>
        <w:spacing w:after="0" w:line="264" w:lineRule="auto"/>
        <w:rPr>
          <w:sz w:val="20"/>
          <w:szCs w:val="20"/>
          <w:color w:val="auto"/>
        </w:rPr>
      </w:pPr>
      <w:r>
        <w:rPr>
          <w:rFonts w:ascii="Arial" w:cs="Arial" w:eastAsia="Arial" w:hAnsi="Arial"/>
          <w:sz w:val="16"/>
          <w:szCs w:val="16"/>
          <w:color w:val="auto"/>
        </w:rPr>
        <w:t>At the start of each three-year performance period, the Committee sets the CAGR in EPS performance objectives. The CAGR in EPS performance levels established a Threshold CAGR, at which 50% of the PSP Opportunity will be earned, a Target CAGR at which 100% of the PSP Opportunity will be earned and a Maximum CAGR, at which 200% of the PSP Opportunity will be earned. Once a three-year performance metric is set, it cannot be changed. At the end of each three-year period, calculations are made using the CAGR in EPS to measure percentage of growth over the three-year period. In the event that growth falls anywhere between threshold and maximum, linear interpolation will be applied to determine the appropriate payout.</w:t>
      </w:r>
    </w:p>
    <w:p>
      <w:pPr>
        <w:spacing w:after="0" w:line="172" w:lineRule="exact"/>
        <w:rPr>
          <w:sz w:val="20"/>
          <w:szCs w:val="20"/>
          <w:color w:val="auto"/>
        </w:rPr>
      </w:pPr>
    </w:p>
    <w:tbl>
      <w:tblPr>
        <w:tblLayout w:type="fixed"/>
        <w:tblInd w:w="560" w:type="dxa"/>
        <w:tblCellMar>
          <w:top w:w="0" w:type="dxa"/>
          <w:left w:w="0" w:type="dxa"/>
          <w:bottom w:w="0" w:type="dxa"/>
          <w:right w:w="0" w:type="dxa"/>
        </w:tblCellMar>
      </w:tblPr>
      <w:tr>
        <w:trPr>
          <w:trHeight w:val="205"/>
        </w:trPr>
        <w:tc>
          <w:tcPr>
            <w:tcW w:w="5200" w:type="dxa"/>
            <w:vAlign w:val="bottom"/>
            <w:gridSpan w:val="2"/>
          </w:tcPr>
          <w:p>
            <w:pPr>
              <w:spacing w:after="0"/>
              <w:rPr>
                <w:sz w:val="20"/>
                <w:szCs w:val="20"/>
                <w:color w:val="auto"/>
              </w:rPr>
            </w:pPr>
            <w:r>
              <w:rPr>
                <w:rFonts w:ascii="Arial" w:cs="Arial" w:eastAsia="Arial" w:hAnsi="Arial"/>
                <w:sz w:val="16"/>
                <w:szCs w:val="16"/>
                <w:color w:val="auto"/>
                <w:w w:val="93"/>
              </w:rPr>
              <w:t>For 2017, the PSP opportunity granted to each of our NEOs is set forth below.</w:t>
            </w:r>
          </w:p>
        </w:tc>
        <w:tc>
          <w:tcPr>
            <w:tcW w:w="3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199"/>
        </w:trPr>
        <w:tc>
          <w:tcPr>
            <w:tcW w:w="172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80" w:type="dxa"/>
            <w:vAlign w:val="bottom"/>
            <w:gridSpan w:val="2"/>
          </w:tcPr>
          <w:p>
            <w:pPr>
              <w:spacing w:after="0"/>
              <w:rPr>
                <w:sz w:val="17"/>
                <w:szCs w:val="17"/>
                <w:color w:val="auto"/>
              </w:rPr>
            </w:pPr>
          </w:p>
        </w:tc>
      </w:tr>
      <w:tr>
        <w:trPr>
          <w:trHeight w:val="197"/>
        </w:trPr>
        <w:tc>
          <w:tcPr>
            <w:tcW w:w="1720" w:type="dxa"/>
            <w:vAlign w:val="bottom"/>
          </w:tcPr>
          <w:p>
            <w:pPr>
              <w:spacing w:after="0"/>
              <w:rPr>
                <w:sz w:val="17"/>
                <w:szCs w:val="17"/>
                <w:color w:val="auto"/>
              </w:rPr>
            </w:pPr>
          </w:p>
        </w:tc>
        <w:tc>
          <w:tcPr>
            <w:tcW w:w="3480" w:type="dxa"/>
            <w:vAlign w:val="bottom"/>
            <w:shd w:val="clear" w:color="auto" w:fill="00529B"/>
          </w:tcPr>
          <w:p>
            <w:pPr>
              <w:spacing w:after="0"/>
              <w:rPr>
                <w:sz w:val="17"/>
                <w:szCs w:val="17"/>
                <w:color w:val="auto"/>
              </w:rPr>
            </w:pPr>
          </w:p>
        </w:tc>
        <w:tc>
          <w:tcPr>
            <w:tcW w:w="300" w:type="dxa"/>
            <w:vAlign w:val="bottom"/>
            <w:shd w:val="clear" w:color="auto" w:fill="00529B"/>
          </w:tcPr>
          <w:p>
            <w:pPr>
              <w:spacing w:after="0"/>
              <w:rPr>
                <w:sz w:val="17"/>
                <w:szCs w:val="17"/>
                <w:color w:val="auto"/>
              </w:rPr>
            </w:pPr>
          </w:p>
        </w:tc>
        <w:tc>
          <w:tcPr>
            <w:tcW w:w="3080" w:type="dxa"/>
            <w:vAlign w:val="bottom"/>
            <w:gridSpan w:val="2"/>
            <w:shd w:val="clear" w:color="auto" w:fill="00529B"/>
          </w:tcPr>
          <w:p>
            <w:pPr>
              <w:ind w:left="520"/>
              <w:spacing w:after="0"/>
              <w:rPr>
                <w:sz w:val="20"/>
                <w:szCs w:val="20"/>
                <w:color w:val="auto"/>
              </w:rPr>
            </w:pPr>
            <w:r>
              <w:rPr>
                <w:rFonts w:ascii="Arial" w:cs="Arial" w:eastAsia="Arial" w:hAnsi="Arial"/>
                <w:sz w:val="16"/>
                <w:szCs w:val="16"/>
                <w:b w:val="1"/>
                <w:bCs w:val="1"/>
                <w:color w:val="FFFFFE"/>
              </w:rPr>
              <w:t>Performance-Based RSUs</w:t>
            </w:r>
          </w:p>
        </w:tc>
      </w:tr>
      <w:tr>
        <w:trPr>
          <w:trHeight w:val="197"/>
        </w:trPr>
        <w:tc>
          <w:tcPr>
            <w:tcW w:w="1720" w:type="dxa"/>
            <w:vAlign w:val="bottom"/>
          </w:tcPr>
          <w:p>
            <w:pPr>
              <w:spacing w:after="0"/>
              <w:rPr>
                <w:sz w:val="17"/>
                <w:szCs w:val="17"/>
                <w:color w:val="auto"/>
              </w:rPr>
            </w:pPr>
          </w:p>
        </w:tc>
        <w:tc>
          <w:tcPr>
            <w:tcW w:w="3480" w:type="dxa"/>
            <w:vAlign w:val="bottom"/>
            <w:shd w:val="clear" w:color="auto" w:fill="00529B"/>
          </w:tcPr>
          <w:p>
            <w:pPr>
              <w:spacing w:after="0"/>
              <w:rPr>
                <w:sz w:val="20"/>
                <w:szCs w:val="20"/>
                <w:color w:val="auto"/>
              </w:rPr>
            </w:pPr>
            <w:r>
              <w:rPr>
                <w:rFonts w:ascii="Arial" w:cs="Arial" w:eastAsia="Arial" w:hAnsi="Arial"/>
                <w:sz w:val="16"/>
                <w:szCs w:val="16"/>
                <w:b w:val="1"/>
                <w:bCs w:val="1"/>
                <w:color w:val="FFFFFE"/>
              </w:rPr>
              <w:t>NEO</w:t>
            </w:r>
          </w:p>
        </w:tc>
        <w:tc>
          <w:tcPr>
            <w:tcW w:w="300" w:type="dxa"/>
            <w:vAlign w:val="bottom"/>
            <w:shd w:val="clear" w:color="auto" w:fill="00529B"/>
          </w:tcPr>
          <w:p>
            <w:pPr>
              <w:spacing w:after="0"/>
              <w:rPr>
                <w:sz w:val="17"/>
                <w:szCs w:val="17"/>
                <w:color w:val="auto"/>
              </w:rPr>
            </w:pPr>
          </w:p>
        </w:tc>
        <w:tc>
          <w:tcPr>
            <w:tcW w:w="1560" w:type="dxa"/>
            <w:vAlign w:val="bottom"/>
            <w:shd w:val="clear" w:color="auto" w:fill="00529B"/>
          </w:tcPr>
          <w:p>
            <w:pPr>
              <w:ind w:left="40"/>
              <w:spacing w:after="0"/>
              <w:rPr>
                <w:sz w:val="20"/>
                <w:szCs w:val="20"/>
                <w:color w:val="auto"/>
              </w:rPr>
            </w:pPr>
            <w:r>
              <w:rPr>
                <w:rFonts w:ascii="Arial" w:cs="Arial" w:eastAsia="Arial" w:hAnsi="Arial"/>
                <w:sz w:val="16"/>
                <w:szCs w:val="16"/>
                <w:b w:val="1"/>
                <w:bCs w:val="1"/>
                <w:color w:val="FFFFFE"/>
              </w:rPr>
              <w:t>Target Grant Date</w:t>
            </w:r>
          </w:p>
        </w:tc>
        <w:tc>
          <w:tcPr>
            <w:tcW w:w="1520" w:type="dxa"/>
            <w:vAlign w:val="bottom"/>
            <w:shd w:val="clear" w:color="auto" w:fill="00529B"/>
          </w:tcPr>
          <w:p>
            <w:pPr>
              <w:jc w:val="center"/>
              <w:spacing w:after="0"/>
              <w:rPr>
                <w:sz w:val="20"/>
                <w:szCs w:val="20"/>
                <w:color w:val="auto"/>
              </w:rPr>
            </w:pPr>
            <w:r>
              <w:rPr>
                <w:rFonts w:ascii="Arial" w:cs="Arial" w:eastAsia="Arial" w:hAnsi="Arial"/>
                <w:sz w:val="16"/>
                <w:szCs w:val="16"/>
                <w:b w:val="1"/>
                <w:bCs w:val="1"/>
                <w:color w:val="FFFFFE"/>
                <w:w w:val="91"/>
              </w:rPr>
              <w:t>Target Number</w:t>
            </w:r>
          </w:p>
        </w:tc>
      </w:tr>
      <w:tr>
        <w:trPr>
          <w:trHeight w:val="197"/>
        </w:trPr>
        <w:tc>
          <w:tcPr>
            <w:tcW w:w="1720" w:type="dxa"/>
            <w:vAlign w:val="bottom"/>
          </w:tcPr>
          <w:p>
            <w:pPr>
              <w:spacing w:after="0"/>
              <w:rPr>
                <w:sz w:val="17"/>
                <w:szCs w:val="17"/>
                <w:color w:val="auto"/>
              </w:rPr>
            </w:pPr>
          </w:p>
        </w:tc>
        <w:tc>
          <w:tcPr>
            <w:tcW w:w="3480" w:type="dxa"/>
            <w:vAlign w:val="bottom"/>
            <w:shd w:val="clear" w:color="auto" w:fill="00529B"/>
          </w:tcPr>
          <w:p>
            <w:pPr>
              <w:spacing w:after="0"/>
              <w:rPr>
                <w:sz w:val="17"/>
                <w:szCs w:val="17"/>
                <w:color w:val="auto"/>
              </w:rPr>
            </w:pPr>
          </w:p>
        </w:tc>
        <w:tc>
          <w:tcPr>
            <w:tcW w:w="300" w:type="dxa"/>
            <w:vAlign w:val="bottom"/>
            <w:shd w:val="clear" w:color="auto" w:fill="00529B"/>
          </w:tcPr>
          <w:p>
            <w:pPr>
              <w:spacing w:after="0"/>
              <w:rPr>
                <w:sz w:val="17"/>
                <w:szCs w:val="17"/>
                <w:color w:val="auto"/>
              </w:rPr>
            </w:pPr>
          </w:p>
        </w:tc>
        <w:tc>
          <w:tcPr>
            <w:tcW w:w="1560" w:type="dxa"/>
            <w:vAlign w:val="bottom"/>
            <w:shd w:val="clear" w:color="auto" w:fill="00529B"/>
          </w:tcPr>
          <w:p>
            <w:pPr>
              <w:ind w:left="240"/>
              <w:spacing w:after="0"/>
              <w:rPr>
                <w:sz w:val="20"/>
                <w:szCs w:val="20"/>
                <w:color w:val="auto"/>
              </w:rPr>
            </w:pPr>
            <w:r>
              <w:rPr>
                <w:rFonts w:ascii="Arial" w:cs="Arial" w:eastAsia="Arial" w:hAnsi="Arial"/>
                <w:sz w:val="16"/>
                <w:szCs w:val="16"/>
                <w:b w:val="1"/>
                <w:bCs w:val="1"/>
                <w:color w:val="FFFFFE"/>
              </w:rPr>
              <w:t>Dollar Value</w:t>
            </w:r>
          </w:p>
        </w:tc>
        <w:tc>
          <w:tcPr>
            <w:tcW w:w="1520" w:type="dxa"/>
            <w:vAlign w:val="bottom"/>
            <w:shd w:val="clear" w:color="auto" w:fill="00529B"/>
          </w:tcPr>
          <w:p>
            <w:pPr>
              <w:jc w:val="center"/>
              <w:spacing w:after="0"/>
              <w:rPr>
                <w:sz w:val="20"/>
                <w:szCs w:val="20"/>
                <w:color w:val="auto"/>
              </w:rPr>
            </w:pPr>
            <w:r>
              <w:rPr>
                <w:rFonts w:ascii="Arial" w:cs="Arial" w:eastAsia="Arial" w:hAnsi="Arial"/>
                <w:sz w:val="16"/>
                <w:szCs w:val="16"/>
                <w:b w:val="1"/>
                <w:bCs w:val="1"/>
                <w:color w:val="FFFFFE"/>
                <w:w w:val="89"/>
              </w:rPr>
              <w:t>of RSUs</w:t>
            </w:r>
          </w:p>
        </w:tc>
      </w:tr>
      <w:tr>
        <w:trPr>
          <w:trHeight w:val="197"/>
        </w:trPr>
        <w:tc>
          <w:tcPr>
            <w:tcW w:w="1720" w:type="dxa"/>
            <w:vAlign w:val="bottom"/>
          </w:tcPr>
          <w:p>
            <w:pPr>
              <w:spacing w:after="0"/>
              <w:rPr>
                <w:sz w:val="17"/>
                <w:szCs w:val="17"/>
                <w:color w:val="auto"/>
              </w:rPr>
            </w:pPr>
          </w:p>
        </w:tc>
        <w:tc>
          <w:tcPr>
            <w:tcW w:w="3480" w:type="dxa"/>
            <w:vAlign w:val="bottom"/>
          </w:tcPr>
          <w:p>
            <w:pPr>
              <w:spacing w:after="0"/>
              <w:rPr>
                <w:sz w:val="20"/>
                <w:szCs w:val="20"/>
                <w:color w:val="auto"/>
              </w:rPr>
            </w:pPr>
            <w:r>
              <w:rPr>
                <w:rFonts w:ascii="Arial" w:cs="Arial" w:eastAsia="Arial" w:hAnsi="Arial"/>
                <w:sz w:val="16"/>
                <w:szCs w:val="16"/>
                <w:color w:val="auto"/>
              </w:rPr>
              <w:t>Kasbar</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ind w:left="60"/>
              <w:spacing w:after="0"/>
              <w:rPr>
                <w:sz w:val="20"/>
                <w:szCs w:val="20"/>
                <w:color w:val="auto"/>
              </w:rPr>
            </w:pPr>
            <w:r>
              <w:rPr>
                <w:rFonts w:ascii="Arial" w:cs="Arial" w:eastAsia="Arial" w:hAnsi="Arial"/>
                <w:sz w:val="16"/>
                <w:szCs w:val="16"/>
                <w:color w:val="auto"/>
              </w:rPr>
              <w:t>2,000,000</w:t>
            </w:r>
          </w:p>
        </w:tc>
        <w:tc>
          <w:tcPr>
            <w:tcW w:w="1520" w:type="dxa"/>
            <w:vAlign w:val="bottom"/>
          </w:tcPr>
          <w:p>
            <w:pPr>
              <w:jc w:val="center"/>
              <w:spacing w:after="0"/>
              <w:rPr>
                <w:sz w:val="20"/>
                <w:szCs w:val="20"/>
                <w:color w:val="auto"/>
              </w:rPr>
            </w:pPr>
            <w:r>
              <w:rPr>
                <w:rFonts w:ascii="Arial" w:cs="Arial" w:eastAsia="Arial" w:hAnsi="Arial"/>
                <w:sz w:val="16"/>
                <w:szCs w:val="16"/>
                <w:color w:val="auto"/>
                <w:w w:val="89"/>
              </w:rPr>
              <w:t>55,172</w:t>
            </w:r>
          </w:p>
        </w:tc>
      </w:tr>
      <w:tr>
        <w:trPr>
          <w:trHeight w:val="197"/>
        </w:trPr>
        <w:tc>
          <w:tcPr>
            <w:tcW w:w="1720" w:type="dxa"/>
            <w:vAlign w:val="bottom"/>
          </w:tcPr>
          <w:p>
            <w:pPr>
              <w:spacing w:after="0"/>
              <w:rPr>
                <w:sz w:val="17"/>
                <w:szCs w:val="17"/>
                <w:color w:val="auto"/>
              </w:rPr>
            </w:pPr>
          </w:p>
        </w:tc>
        <w:tc>
          <w:tcPr>
            <w:tcW w:w="3480" w:type="dxa"/>
            <w:vAlign w:val="bottom"/>
            <w:shd w:val="clear" w:color="auto" w:fill="DFE3F1"/>
          </w:tcPr>
          <w:p>
            <w:pPr>
              <w:spacing w:after="0"/>
              <w:rPr>
                <w:sz w:val="20"/>
                <w:szCs w:val="20"/>
                <w:color w:val="auto"/>
              </w:rPr>
            </w:pPr>
            <w:r>
              <w:rPr>
                <w:rFonts w:ascii="Arial" w:cs="Arial" w:eastAsia="Arial" w:hAnsi="Arial"/>
                <w:sz w:val="16"/>
                <w:szCs w:val="16"/>
                <w:color w:val="auto"/>
              </w:rPr>
              <w:t>Birns</w:t>
            </w:r>
          </w:p>
        </w:tc>
        <w:tc>
          <w:tcPr>
            <w:tcW w:w="300" w:type="dxa"/>
            <w:vAlign w:val="bottom"/>
            <w:shd w:val="clear" w:color="auto" w:fill="DFE3F1"/>
          </w:tcPr>
          <w:p>
            <w:pPr>
              <w:jc w:val="right"/>
              <w:spacing w:after="0"/>
              <w:rPr>
                <w:sz w:val="20"/>
                <w:szCs w:val="20"/>
                <w:color w:val="auto"/>
              </w:rPr>
            </w:pPr>
            <w:r>
              <w:rPr>
                <w:rFonts w:ascii="Arial" w:cs="Arial" w:eastAsia="Arial" w:hAnsi="Arial"/>
                <w:sz w:val="16"/>
                <w:szCs w:val="16"/>
                <w:color w:val="auto"/>
              </w:rPr>
              <w:t>$</w:t>
            </w:r>
          </w:p>
        </w:tc>
        <w:tc>
          <w:tcPr>
            <w:tcW w:w="1560" w:type="dxa"/>
            <w:vAlign w:val="bottom"/>
            <w:shd w:val="clear" w:color="auto" w:fill="DFE3F1"/>
          </w:tcPr>
          <w:p>
            <w:pPr>
              <w:ind w:left="60"/>
              <w:spacing w:after="0"/>
              <w:rPr>
                <w:sz w:val="20"/>
                <w:szCs w:val="20"/>
                <w:color w:val="auto"/>
              </w:rPr>
            </w:pPr>
            <w:r>
              <w:rPr>
                <w:rFonts w:ascii="Arial" w:cs="Arial" w:eastAsia="Arial" w:hAnsi="Arial"/>
                <w:sz w:val="16"/>
                <w:szCs w:val="16"/>
                <w:color w:val="auto"/>
              </w:rPr>
              <w:t>750,000</w:t>
            </w:r>
          </w:p>
        </w:tc>
        <w:tc>
          <w:tcPr>
            <w:tcW w:w="1520" w:type="dxa"/>
            <w:vAlign w:val="bottom"/>
            <w:shd w:val="clear" w:color="auto" w:fill="DFE3F1"/>
          </w:tcPr>
          <w:p>
            <w:pPr>
              <w:jc w:val="center"/>
              <w:spacing w:after="0"/>
              <w:rPr>
                <w:sz w:val="20"/>
                <w:szCs w:val="20"/>
                <w:color w:val="auto"/>
              </w:rPr>
            </w:pPr>
            <w:r>
              <w:rPr>
                <w:rFonts w:ascii="Arial" w:cs="Arial" w:eastAsia="Arial" w:hAnsi="Arial"/>
                <w:sz w:val="16"/>
                <w:szCs w:val="16"/>
                <w:color w:val="auto"/>
                <w:w w:val="89"/>
              </w:rPr>
              <w:t>20,690</w:t>
            </w:r>
          </w:p>
        </w:tc>
      </w:tr>
      <w:tr>
        <w:trPr>
          <w:trHeight w:val="197"/>
        </w:trPr>
        <w:tc>
          <w:tcPr>
            <w:tcW w:w="1720" w:type="dxa"/>
            <w:vAlign w:val="bottom"/>
          </w:tcPr>
          <w:p>
            <w:pPr>
              <w:spacing w:after="0"/>
              <w:rPr>
                <w:sz w:val="17"/>
                <w:szCs w:val="17"/>
                <w:color w:val="auto"/>
              </w:rPr>
            </w:pPr>
          </w:p>
        </w:tc>
        <w:tc>
          <w:tcPr>
            <w:tcW w:w="3480" w:type="dxa"/>
            <w:vAlign w:val="bottom"/>
          </w:tcPr>
          <w:p>
            <w:pPr>
              <w:spacing w:after="0"/>
              <w:rPr>
                <w:sz w:val="20"/>
                <w:szCs w:val="20"/>
                <w:color w:val="auto"/>
              </w:rPr>
            </w:pPr>
            <w:r>
              <w:rPr>
                <w:rFonts w:ascii="Arial" w:cs="Arial" w:eastAsia="Arial" w:hAnsi="Arial"/>
                <w:sz w:val="16"/>
                <w:szCs w:val="16"/>
                <w:color w:val="auto"/>
              </w:rPr>
              <w:t>Crosby</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ind w:left="60"/>
              <w:spacing w:after="0"/>
              <w:rPr>
                <w:sz w:val="20"/>
                <w:szCs w:val="20"/>
                <w:color w:val="auto"/>
              </w:rPr>
            </w:pPr>
            <w:r>
              <w:rPr>
                <w:rFonts w:ascii="Arial" w:cs="Arial" w:eastAsia="Arial" w:hAnsi="Arial"/>
                <w:sz w:val="16"/>
                <w:szCs w:val="16"/>
                <w:color w:val="auto"/>
              </w:rPr>
              <w:t>500,000</w:t>
            </w:r>
          </w:p>
        </w:tc>
        <w:tc>
          <w:tcPr>
            <w:tcW w:w="1520" w:type="dxa"/>
            <w:vAlign w:val="bottom"/>
          </w:tcPr>
          <w:p>
            <w:pPr>
              <w:jc w:val="center"/>
              <w:spacing w:after="0"/>
              <w:rPr>
                <w:sz w:val="20"/>
                <w:szCs w:val="20"/>
                <w:color w:val="auto"/>
              </w:rPr>
            </w:pPr>
            <w:r>
              <w:rPr>
                <w:rFonts w:ascii="Arial" w:cs="Arial" w:eastAsia="Arial" w:hAnsi="Arial"/>
                <w:sz w:val="16"/>
                <w:szCs w:val="16"/>
                <w:color w:val="auto"/>
                <w:w w:val="89"/>
              </w:rPr>
              <w:t>13,793</w:t>
            </w:r>
          </w:p>
        </w:tc>
      </w:tr>
      <w:tr>
        <w:trPr>
          <w:trHeight w:val="197"/>
        </w:trPr>
        <w:tc>
          <w:tcPr>
            <w:tcW w:w="1720" w:type="dxa"/>
            <w:vAlign w:val="bottom"/>
          </w:tcPr>
          <w:p>
            <w:pPr>
              <w:spacing w:after="0"/>
              <w:rPr>
                <w:sz w:val="17"/>
                <w:szCs w:val="17"/>
                <w:color w:val="auto"/>
              </w:rPr>
            </w:pPr>
          </w:p>
        </w:tc>
        <w:tc>
          <w:tcPr>
            <w:tcW w:w="3480" w:type="dxa"/>
            <w:vAlign w:val="bottom"/>
            <w:shd w:val="clear" w:color="auto" w:fill="DFE3F1"/>
          </w:tcPr>
          <w:p>
            <w:pPr>
              <w:spacing w:after="0"/>
              <w:rPr>
                <w:sz w:val="20"/>
                <w:szCs w:val="20"/>
                <w:color w:val="auto"/>
              </w:rPr>
            </w:pPr>
            <w:r>
              <w:rPr>
                <w:rFonts w:ascii="Arial" w:cs="Arial" w:eastAsia="Arial" w:hAnsi="Arial"/>
                <w:sz w:val="16"/>
                <w:szCs w:val="16"/>
                <w:color w:val="auto"/>
              </w:rPr>
              <w:t>Rau</w:t>
            </w:r>
          </w:p>
        </w:tc>
        <w:tc>
          <w:tcPr>
            <w:tcW w:w="300" w:type="dxa"/>
            <w:vAlign w:val="bottom"/>
            <w:shd w:val="clear" w:color="auto" w:fill="DFE3F1"/>
          </w:tcPr>
          <w:p>
            <w:pPr>
              <w:jc w:val="right"/>
              <w:spacing w:after="0"/>
              <w:rPr>
                <w:sz w:val="20"/>
                <w:szCs w:val="20"/>
                <w:color w:val="auto"/>
              </w:rPr>
            </w:pPr>
            <w:r>
              <w:rPr>
                <w:rFonts w:ascii="Arial" w:cs="Arial" w:eastAsia="Arial" w:hAnsi="Arial"/>
                <w:sz w:val="16"/>
                <w:szCs w:val="16"/>
                <w:color w:val="auto"/>
              </w:rPr>
              <w:t>$</w:t>
            </w:r>
          </w:p>
        </w:tc>
        <w:tc>
          <w:tcPr>
            <w:tcW w:w="1560" w:type="dxa"/>
            <w:vAlign w:val="bottom"/>
            <w:shd w:val="clear" w:color="auto" w:fill="DFE3F1"/>
          </w:tcPr>
          <w:p>
            <w:pPr>
              <w:ind w:left="60"/>
              <w:spacing w:after="0"/>
              <w:rPr>
                <w:sz w:val="20"/>
                <w:szCs w:val="20"/>
                <w:color w:val="auto"/>
              </w:rPr>
            </w:pPr>
            <w:r>
              <w:rPr>
                <w:rFonts w:ascii="Arial" w:cs="Arial" w:eastAsia="Arial" w:hAnsi="Arial"/>
                <w:sz w:val="16"/>
                <w:szCs w:val="16"/>
                <w:color w:val="auto"/>
              </w:rPr>
              <w:t>500,000</w:t>
            </w:r>
          </w:p>
        </w:tc>
        <w:tc>
          <w:tcPr>
            <w:tcW w:w="1520" w:type="dxa"/>
            <w:vAlign w:val="bottom"/>
            <w:shd w:val="clear" w:color="auto" w:fill="DFE3F1"/>
          </w:tcPr>
          <w:p>
            <w:pPr>
              <w:jc w:val="center"/>
              <w:spacing w:after="0"/>
              <w:rPr>
                <w:sz w:val="20"/>
                <w:szCs w:val="20"/>
                <w:color w:val="auto"/>
              </w:rPr>
            </w:pPr>
            <w:r>
              <w:rPr>
                <w:rFonts w:ascii="Arial" w:cs="Arial" w:eastAsia="Arial" w:hAnsi="Arial"/>
                <w:sz w:val="16"/>
                <w:szCs w:val="16"/>
                <w:color w:val="auto"/>
                <w:w w:val="89"/>
              </w:rPr>
              <w:t>13,793</w:t>
            </w:r>
          </w:p>
        </w:tc>
      </w:tr>
    </w:tbl>
    <w:p>
      <w:pPr>
        <w:jc w:val="right"/>
        <w:spacing w:after="0"/>
        <w:tabs>
          <w:tab w:leader="none" w:pos="1960" w:val="left"/>
          <w:tab w:leader="none" w:pos="1720" w:val="left"/>
          <w:tab w:leader="none" w:pos="14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3"/>
          <w:szCs w:val="33"/>
          <w:b w:val="1"/>
          <w:bCs w:val="1"/>
          <w:color w:val="auto"/>
          <w:vertAlign w:val="subscript"/>
        </w:rPr>
        <w:t>|</w:t>
      </w:r>
      <w:r>
        <w:rPr>
          <w:sz w:val="20"/>
          <w:szCs w:val="20"/>
          <w:color w:val="auto"/>
        </w:rPr>
        <w:tab/>
      </w:r>
      <w:r>
        <w:rPr>
          <w:rFonts w:ascii="Arial" w:cs="Arial" w:eastAsia="Arial" w:hAnsi="Arial"/>
          <w:sz w:val="16"/>
          <w:szCs w:val="16"/>
          <w:color w:val="auto"/>
        </w:rPr>
        <w:t>2018 Proxy Statement</w:t>
      </w:r>
      <w:r>
        <w:rPr>
          <w:sz w:val="20"/>
          <w:szCs w:val="20"/>
          <w:color w:val="auto"/>
        </w:rPr>
        <w:tab/>
      </w: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132715</wp:posOffset>
            </wp:positionV>
            <wp:extent cx="7263130" cy="203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7" w:name="page48"/>
    <w:bookmarkEnd w:id="47"/>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ind w:right="200"/>
        <w:spacing w:after="0" w:line="284" w:lineRule="auto"/>
        <w:rPr>
          <w:sz w:val="20"/>
          <w:szCs w:val="20"/>
          <w:color w:val="auto"/>
        </w:rPr>
      </w:pPr>
      <w:r>
        <w:rPr>
          <w:rFonts w:ascii="Arial" w:cs="Arial" w:eastAsia="Arial" w:hAnsi="Arial"/>
          <w:sz w:val="16"/>
          <w:szCs w:val="16"/>
          <w:color w:val="auto"/>
        </w:rPr>
        <w:t>The Threshold, Target and Maximum CAGR in EPS performance levels were set based on the Company's internal growth targets with the maximum performance set at a level that could only be attained when applicable results are exceptional and justify the higher bonus payout.</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Additional Equity Awards</w:t>
      </w:r>
    </w:p>
    <w:p>
      <w:pPr>
        <w:spacing w:after="0" w:line="215" w:lineRule="exact"/>
        <w:rPr>
          <w:sz w:val="20"/>
          <w:szCs w:val="20"/>
          <w:color w:val="auto"/>
        </w:rPr>
      </w:pPr>
    </w:p>
    <w:p>
      <w:pPr>
        <w:ind w:right="40" w:firstLine="561"/>
        <w:spacing w:after="0" w:line="264" w:lineRule="auto"/>
        <w:rPr>
          <w:sz w:val="20"/>
          <w:szCs w:val="20"/>
          <w:color w:val="auto"/>
        </w:rPr>
      </w:pPr>
      <w:r>
        <w:rPr>
          <w:rFonts w:ascii="Arial" w:cs="Arial" w:eastAsia="Arial" w:hAnsi="Arial"/>
          <w:sz w:val="16"/>
          <w:szCs w:val="16"/>
          <w:color w:val="auto"/>
        </w:rPr>
        <w:t>During the evaluation of our NEO's 2016 compensation, the Committee determined to provide additional incentive for Mr. Kasbar to drive shareholder value and long-term sustained growth and awarded Mr. Kasbar a service-based SSAR award. The Committee concluded that such incentive would be appropriate to effectively motivate, reward and retain Mr. Kasbar in light of the current competitive environment while further aligning his interests with our shareholders. Consequently, in March 2017, the Committee granted Mr. Kasbar an award of 113,507 SSARs, with a grant date fair value of $1,000,000. The SSAR award vests on the third anniversary of the grant date and will expire five years from the grant date.</w:t>
      </w:r>
    </w:p>
    <w:p>
      <w:pPr>
        <w:spacing w:after="0" w:line="172" w:lineRule="exact"/>
        <w:rPr>
          <w:sz w:val="20"/>
          <w:szCs w:val="20"/>
          <w:color w:val="auto"/>
        </w:rPr>
      </w:pPr>
    </w:p>
    <w:p>
      <w:pPr>
        <w:ind w:right="140" w:firstLine="561"/>
        <w:spacing w:after="0" w:line="270" w:lineRule="auto"/>
        <w:rPr>
          <w:sz w:val="20"/>
          <w:szCs w:val="20"/>
          <w:color w:val="auto"/>
        </w:rPr>
      </w:pPr>
      <w:r>
        <w:rPr>
          <w:rFonts w:ascii="Arial" w:cs="Arial" w:eastAsia="Arial" w:hAnsi="Arial"/>
          <w:sz w:val="16"/>
          <w:szCs w:val="16"/>
          <w:color w:val="auto"/>
        </w:rPr>
        <w:t>In addition, to further incentivize the continued engagement and long-term commitment of Messrs. Crosby and Rau to the success of their respective LOS and to our business as a whole, in March 2017, the Committee determined to make a special retention equity award to each executive in the form of RSUs having a grant date fair value of $500,000. The RSUs vest ratably on the first, second and third anniversaries of the grant date.</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Mr. Smith's Compensation Arrangement</w:t>
      </w:r>
    </w:p>
    <w:p>
      <w:pPr>
        <w:spacing w:after="0" w:line="215" w:lineRule="exact"/>
        <w:rPr>
          <w:sz w:val="20"/>
          <w:szCs w:val="20"/>
          <w:color w:val="auto"/>
        </w:rPr>
      </w:pPr>
    </w:p>
    <w:p>
      <w:pPr>
        <w:ind w:left="560"/>
        <w:spacing w:after="0"/>
        <w:rPr>
          <w:sz w:val="20"/>
          <w:szCs w:val="20"/>
          <w:color w:val="auto"/>
        </w:rPr>
      </w:pPr>
      <w:r>
        <w:rPr>
          <w:rFonts w:ascii="Arial" w:cs="Arial" w:eastAsia="Arial" w:hAnsi="Arial"/>
          <w:sz w:val="14"/>
          <w:szCs w:val="14"/>
          <w:color w:val="auto"/>
        </w:rPr>
        <w:t>In connection with his appointment as Executive Vice President and Chief Operating Officer in October 2017, the Committee granted Mr. Smith a service-based RSU</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award having a grant date fair value of $1,500,000, which will vest ratably on the third, fourth and fifth anniversaries of the grant date. In addition, the Committee approved a</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performance-based RSU award to Mr. Smith having a grant date fair value of $1,500,000 which will vest in 2021 based on our performance during the period ending</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December 31, 2020. Given the highly competitive market for executive talent, the Committee determined that it was appropriate to grant these awards to Mr. Smith as part of his</w:t>
      </w:r>
    </w:p>
    <w:p>
      <w:pPr>
        <w:spacing w:after="0" w:line="36" w:lineRule="exact"/>
        <w:rPr>
          <w:sz w:val="20"/>
          <w:szCs w:val="20"/>
          <w:color w:val="auto"/>
        </w:rPr>
      </w:pPr>
    </w:p>
    <w:p>
      <w:pPr>
        <w:spacing w:after="0"/>
        <w:rPr>
          <w:sz w:val="20"/>
          <w:szCs w:val="20"/>
          <w:color w:val="auto"/>
        </w:rPr>
      </w:pPr>
      <w:r>
        <w:rPr>
          <w:rFonts w:ascii="Arial" w:cs="Arial" w:eastAsia="Arial" w:hAnsi="Arial"/>
          <w:sz w:val="14"/>
          <w:szCs w:val="14"/>
          <w:color w:val="auto"/>
        </w:rPr>
        <w:t>employment package as the Committee believes his skills will accelerate our digital transformation and his expertise in bringing agility to business teams will be instrumental in</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driving improved operational performance to create value for our shareholders.</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Determining 2017 Performance Results</w:t>
      </w:r>
    </w:p>
    <w:p>
      <w:pPr>
        <w:spacing w:after="0" w:line="215" w:lineRule="exact"/>
        <w:rPr>
          <w:sz w:val="20"/>
          <w:szCs w:val="20"/>
          <w:color w:val="auto"/>
        </w:rPr>
      </w:pPr>
    </w:p>
    <w:p>
      <w:pPr>
        <w:ind w:right="100" w:firstLine="561"/>
        <w:spacing w:after="0" w:line="262" w:lineRule="auto"/>
        <w:rPr>
          <w:sz w:val="20"/>
          <w:szCs w:val="20"/>
          <w:color w:val="auto"/>
        </w:rPr>
      </w:pPr>
      <w:r>
        <w:rPr>
          <w:rFonts w:ascii="Arial" w:cs="Arial" w:eastAsia="Arial" w:hAnsi="Arial"/>
          <w:sz w:val="16"/>
          <w:szCs w:val="16"/>
          <w:color w:val="auto"/>
        </w:rPr>
        <w:t>In March 2018, the Committee determined whether we achieved our financial metrics and the extent to which each of our NEOs achieved their strategic objectives. As part of this determination, the Committee may use its discretion to determine on a case-by-case basis the extent to which recognition or charges to Net Income/EPS or Operating Income are included or excluded from the determination of the performance level achieved. For example, the Committee may adjust for the impact of acquisitions, dispositions, other corporate transactions as well as one-time charges or benefits that the Committee does not believe reflect either the on-going business of the Company or the efforts of the NEOs. In addition, the Committee may exercise negative discretion on the prescribed incentive awards in accordance with the terms of the 2016 Omnibus Plan, as deemed appropriate by the Committee.</w:t>
      </w:r>
    </w:p>
    <w:p>
      <w:pPr>
        <w:spacing w:after="0" w:line="176" w:lineRule="exact"/>
        <w:rPr>
          <w:sz w:val="20"/>
          <w:szCs w:val="20"/>
          <w:color w:val="auto"/>
        </w:rPr>
      </w:pPr>
    </w:p>
    <w:p>
      <w:pPr>
        <w:ind w:right="60" w:firstLine="552"/>
        <w:spacing w:after="0" w:line="259" w:lineRule="auto"/>
        <w:rPr>
          <w:sz w:val="20"/>
          <w:szCs w:val="20"/>
          <w:color w:val="auto"/>
        </w:rPr>
      </w:pPr>
      <w:r>
        <w:rPr>
          <w:rFonts w:ascii="Arial" w:cs="Arial" w:eastAsia="Arial" w:hAnsi="Arial"/>
          <w:sz w:val="16"/>
          <w:szCs w:val="16"/>
          <w:color w:val="auto"/>
        </w:rPr>
        <w:t>As the first step of evaluating the extent to which the compensation awards were earned, the Committee determined whether the threshold gross profit performance was met. For 2017, our consolidated gross profit was approximately 104% of 2016 consolidated gross profit; consequently the 75% threshold for payment of the awards under the applicable components of the compensation programs was met. The Committee then evaluated our 2017 actual financial results and decided, consistent with its policies, to make adjustments for certain items, including severance and restructuring</w:t>
      </w:r>
    </w:p>
    <w:p>
      <w:pPr>
        <w:spacing w:after="0" w:line="3" w:lineRule="exact"/>
        <w:rPr>
          <w:sz w:val="20"/>
          <w:szCs w:val="20"/>
          <w:color w:val="auto"/>
        </w:rPr>
      </w:pPr>
    </w:p>
    <w:p>
      <w:pPr>
        <w:jc w:val="right"/>
        <w:spacing w:after="0"/>
        <w:tabs>
          <w:tab w:leader="none" w:pos="1960" w:val="left"/>
          <w:tab w:leader="none" w:pos="1720" w:val="left"/>
          <w:tab w:leader="none" w:pos="14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3"/>
          <w:szCs w:val="33"/>
          <w:b w:val="1"/>
          <w:bCs w:val="1"/>
          <w:color w:val="auto"/>
          <w:vertAlign w:val="subscript"/>
        </w:rPr>
        <w:t>|</w:t>
      </w:r>
      <w:r>
        <w:rPr>
          <w:sz w:val="20"/>
          <w:szCs w:val="20"/>
          <w:color w:val="auto"/>
        </w:rPr>
        <w:tab/>
      </w:r>
      <w:r>
        <w:rPr>
          <w:rFonts w:ascii="Arial" w:cs="Arial" w:eastAsia="Arial" w:hAnsi="Arial"/>
          <w:sz w:val="16"/>
          <w:szCs w:val="16"/>
          <w:color w:val="auto"/>
        </w:rPr>
        <w:t>2018 Proxy Statement</w:t>
      </w:r>
      <w:r>
        <w:rPr>
          <w:sz w:val="20"/>
          <w:szCs w:val="20"/>
          <w:color w:val="auto"/>
        </w:rPr>
        <w:tab/>
      </w: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133350</wp:posOffset>
            </wp:positionV>
            <wp:extent cx="7263130" cy="203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8" w:name="page49"/>
    <w:bookmarkEnd w:id="48"/>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ind w:right="280"/>
        <w:spacing w:after="0" w:line="319" w:lineRule="auto"/>
        <w:rPr>
          <w:sz w:val="20"/>
          <w:szCs w:val="20"/>
          <w:color w:val="auto"/>
        </w:rPr>
      </w:pPr>
      <w:r>
        <w:rPr>
          <w:rFonts w:ascii="Arial" w:cs="Arial" w:eastAsia="Arial" w:hAnsi="Arial"/>
          <w:sz w:val="15"/>
          <w:szCs w:val="15"/>
          <w:color w:val="auto"/>
        </w:rPr>
        <w:t>charges, non-cash charges resulting from impairment of goodwill and other intangibles, and charges and taxes arising from the adoption of the Tax Cuts and Jobs Act of 2017 ("Tax Act"), which the Committee believed did not adequately reflect the on-going business of the Company, economic trends or the efforts of the NEOs.</w:t>
      </w:r>
    </w:p>
    <w:p>
      <w:pPr>
        <w:spacing w:after="0" w:line="133" w:lineRule="exact"/>
        <w:rPr>
          <w:sz w:val="20"/>
          <w:szCs w:val="20"/>
          <w:color w:val="auto"/>
        </w:rPr>
      </w:pPr>
    </w:p>
    <w:p>
      <w:pPr>
        <w:ind w:right="40" w:firstLine="558"/>
        <w:spacing w:after="0" w:line="264" w:lineRule="auto"/>
        <w:rPr>
          <w:sz w:val="20"/>
          <w:szCs w:val="20"/>
          <w:color w:val="auto"/>
        </w:rPr>
      </w:pPr>
      <w:r>
        <w:rPr>
          <w:rFonts w:ascii="Arial" w:cs="Arial" w:eastAsia="Arial" w:hAnsi="Arial"/>
          <w:sz w:val="16"/>
          <w:szCs w:val="16"/>
          <w:i w:val="1"/>
          <w:iCs w:val="1"/>
          <w:color w:val="auto"/>
        </w:rPr>
        <w:t xml:space="preserve">Annual Incentive Awards. </w:t>
      </w:r>
      <w:r>
        <w:rPr>
          <w:rFonts w:ascii="Arial" w:cs="Arial" w:eastAsia="Arial" w:hAnsi="Arial"/>
          <w:sz w:val="16"/>
          <w:szCs w:val="16"/>
          <w:color w:val="auto"/>
        </w:rPr>
        <w:t>Based on the foregoing evaluation, the Committee determined that we reached the Net Income/EPS performance metric at the $1.86 EPS</w:t>
      </w:r>
      <w:r>
        <w:rPr>
          <w:rFonts w:ascii="Arial" w:cs="Arial" w:eastAsia="Arial" w:hAnsi="Arial"/>
          <w:sz w:val="16"/>
          <w:szCs w:val="16"/>
          <w:i w:val="1"/>
          <w:iCs w:val="1"/>
          <w:color w:val="auto"/>
        </w:rPr>
        <w:t xml:space="preserve"> </w:t>
      </w:r>
      <w:r>
        <w:rPr>
          <w:rFonts w:ascii="Arial" w:cs="Arial" w:eastAsia="Arial" w:hAnsi="Arial"/>
          <w:sz w:val="16"/>
          <w:szCs w:val="16"/>
          <w:color w:val="auto"/>
        </w:rPr>
        <w:t>level. As a result, none of our NEOs received a payout under the performance-based cash portion of the annual incentive awards since the performance level was below threshold. The Committee also determined that we did not meet the threshold level of Operating Income for any of our Aviation, Land or Marine LOS, however, we did exceed the maximum Operating Income level for the Physical Operations LOS. Consequently, Mr. Crosby earned the maximum $150,000 for this component of his annual performance-based cash award.</w:t>
      </w:r>
    </w:p>
    <w:p>
      <w:pPr>
        <w:spacing w:after="0" w:line="172" w:lineRule="exact"/>
        <w:rPr>
          <w:sz w:val="20"/>
          <w:szCs w:val="20"/>
          <w:color w:val="auto"/>
        </w:rPr>
      </w:pPr>
    </w:p>
    <w:p>
      <w:pPr>
        <w:ind w:right="160" w:firstLine="561"/>
        <w:spacing w:after="0" w:line="270" w:lineRule="auto"/>
        <w:rPr>
          <w:sz w:val="20"/>
          <w:szCs w:val="20"/>
          <w:color w:val="auto"/>
        </w:rPr>
      </w:pPr>
      <w:r>
        <w:rPr>
          <w:rFonts w:ascii="Arial" w:cs="Arial" w:eastAsia="Arial" w:hAnsi="Arial"/>
          <w:sz w:val="16"/>
          <w:szCs w:val="16"/>
          <w:color w:val="auto"/>
        </w:rPr>
        <w:t>Our Net Income/EPS performance metric of $1.86 EPS was slightly above the threshold for the performance-based equity portion of the annual incentive awards. As result, on March 15, 2018, each of Messrs. Kasbar, Crosby and Rau received 5,610 RSUs and Mr. Birns received 2,525 RSUs. These RSUs vest ratably on the first, second and third anniversaries of the grant date.</w:t>
      </w:r>
    </w:p>
    <w:p>
      <w:pPr>
        <w:spacing w:after="0" w:line="168" w:lineRule="exact"/>
        <w:rPr>
          <w:sz w:val="20"/>
          <w:szCs w:val="20"/>
          <w:color w:val="auto"/>
        </w:rPr>
      </w:pPr>
    </w:p>
    <w:p>
      <w:pPr>
        <w:ind w:right="20" w:firstLine="561"/>
        <w:spacing w:after="0" w:line="315" w:lineRule="auto"/>
        <w:rPr>
          <w:sz w:val="20"/>
          <w:szCs w:val="20"/>
          <w:color w:val="auto"/>
        </w:rPr>
      </w:pPr>
      <w:r>
        <w:rPr>
          <w:rFonts w:ascii="Arial" w:cs="Arial" w:eastAsia="Arial" w:hAnsi="Arial"/>
          <w:sz w:val="14"/>
          <w:szCs w:val="14"/>
          <w:i w:val="1"/>
          <w:iCs w:val="1"/>
          <w:color w:val="auto"/>
        </w:rPr>
        <w:t xml:space="preserve">Strategic Objective Cash Incentive Awards. </w:t>
      </w:r>
      <w:r>
        <w:rPr>
          <w:rFonts w:ascii="Arial" w:cs="Arial" w:eastAsia="Arial" w:hAnsi="Arial"/>
          <w:sz w:val="14"/>
          <w:szCs w:val="14"/>
          <w:color w:val="auto"/>
        </w:rPr>
        <w:t>Although the NEOs were successful in accomplishing several of their 2017 objectives, including rationalizing our portfolio</w:t>
      </w:r>
      <w:r>
        <w:rPr>
          <w:rFonts w:ascii="Arial" w:cs="Arial" w:eastAsia="Arial" w:hAnsi="Arial"/>
          <w:sz w:val="14"/>
          <w:szCs w:val="14"/>
          <w:i w:val="1"/>
          <w:iCs w:val="1"/>
          <w:color w:val="auto"/>
        </w:rPr>
        <w:t xml:space="preserve"> </w:t>
      </w:r>
      <w:r>
        <w:rPr>
          <w:rFonts w:ascii="Arial" w:cs="Arial" w:eastAsia="Arial" w:hAnsi="Arial"/>
          <w:sz w:val="14"/>
          <w:szCs w:val="14"/>
          <w:color w:val="auto"/>
        </w:rPr>
        <w:t>of businesses through, among other things, exiting certain under-performing lines of business or markets and also executing on various cost-reduction initiatives, the Committee determined that not all of the Strategic Objectives had been satisfactorily met. Accordingly, the Committee decided to exercise its negative discretion by reducing the value of the Strategic Objective Cash Incentive Awards, such that Mr. Kasbar received $562,500, Mr. Birns received $225,000, Mr. Crosby received $50,000 and Mr. Rau received $112,500.</w:t>
      </w:r>
    </w:p>
    <w:p>
      <w:pPr>
        <w:spacing w:after="0" w:line="141" w:lineRule="exact"/>
        <w:rPr>
          <w:sz w:val="20"/>
          <w:szCs w:val="20"/>
          <w:color w:val="auto"/>
        </w:rPr>
      </w:pPr>
    </w:p>
    <w:p>
      <w:pPr>
        <w:ind w:left="560"/>
        <w:spacing w:after="0"/>
        <w:tabs>
          <w:tab w:leader="none" w:pos="2040" w:val="left"/>
        </w:tabs>
        <w:rPr>
          <w:sz w:val="20"/>
          <w:szCs w:val="20"/>
          <w:color w:val="auto"/>
        </w:rPr>
      </w:pPr>
      <w:r>
        <w:rPr>
          <w:rFonts w:ascii="Arial" w:cs="Arial" w:eastAsia="Arial" w:hAnsi="Arial"/>
          <w:sz w:val="16"/>
          <w:szCs w:val="16"/>
          <w:i w:val="1"/>
          <w:iCs w:val="1"/>
          <w:color w:val="auto"/>
        </w:rPr>
        <w:t>Performance SSARs.</w:t>
      </w:r>
      <w:r>
        <w:rPr>
          <w:sz w:val="20"/>
          <w:szCs w:val="20"/>
          <w:color w:val="auto"/>
        </w:rPr>
        <w:tab/>
      </w:r>
      <w:r>
        <w:rPr>
          <w:rFonts w:ascii="Arial" w:cs="Arial" w:eastAsia="Arial" w:hAnsi="Arial"/>
          <w:sz w:val="14"/>
          <w:szCs w:val="14"/>
          <w:color w:val="auto"/>
        </w:rPr>
        <w:t>The Performance SSARs granted in March 2017 were not earned by the NEOs as the Performance SSAR Threshold was not achieved.</w:t>
      </w:r>
    </w:p>
    <w:p>
      <w:pPr>
        <w:spacing w:after="0" w:line="211" w:lineRule="exact"/>
        <w:rPr>
          <w:sz w:val="20"/>
          <w:szCs w:val="20"/>
          <w:color w:val="auto"/>
        </w:rPr>
      </w:pPr>
    </w:p>
    <w:p>
      <w:pPr>
        <w:ind w:right="200" w:firstLine="561"/>
        <w:spacing w:after="0" w:line="270" w:lineRule="auto"/>
        <w:rPr>
          <w:sz w:val="20"/>
          <w:szCs w:val="20"/>
          <w:color w:val="auto"/>
        </w:rPr>
      </w:pPr>
      <w:r>
        <w:rPr>
          <w:rFonts w:ascii="Arial" w:cs="Arial" w:eastAsia="Arial" w:hAnsi="Arial"/>
          <w:sz w:val="16"/>
          <w:szCs w:val="16"/>
          <w:i w:val="1"/>
          <w:iCs w:val="1"/>
          <w:color w:val="auto"/>
        </w:rPr>
        <w:t xml:space="preserve">Performance Share Plan. </w:t>
      </w:r>
      <w:r>
        <w:rPr>
          <w:rFonts w:ascii="Arial" w:cs="Arial" w:eastAsia="Arial" w:hAnsi="Arial"/>
          <w:sz w:val="16"/>
          <w:szCs w:val="16"/>
          <w:color w:val="auto"/>
        </w:rPr>
        <w:t>The three-year performance periods for the existing PSP awards made in 2016 and 2017 have not yet passed, therefore, the Committee did</w:t>
      </w:r>
      <w:r>
        <w:rPr>
          <w:rFonts w:ascii="Arial" w:cs="Arial" w:eastAsia="Arial" w:hAnsi="Arial"/>
          <w:sz w:val="16"/>
          <w:szCs w:val="16"/>
          <w:i w:val="1"/>
          <w:iCs w:val="1"/>
          <w:color w:val="auto"/>
        </w:rPr>
        <w:t xml:space="preserve"> </w:t>
      </w:r>
      <w:r>
        <w:rPr>
          <w:rFonts w:ascii="Arial" w:cs="Arial" w:eastAsia="Arial" w:hAnsi="Arial"/>
          <w:sz w:val="16"/>
          <w:szCs w:val="16"/>
          <w:color w:val="auto"/>
        </w:rPr>
        <w:t>not need to make a determination with respect to our three-year CAGR in EPS. The first determination of such CAGR EPS will occur in March 2019 for the 2016-2018 performance period.</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Employee Benefits and Executive Perquisites</w:t>
      </w:r>
    </w:p>
    <w:p>
      <w:pPr>
        <w:spacing w:after="0" w:line="215" w:lineRule="exact"/>
        <w:rPr>
          <w:sz w:val="20"/>
          <w:szCs w:val="20"/>
          <w:color w:val="auto"/>
        </w:rPr>
      </w:pPr>
    </w:p>
    <w:p>
      <w:pPr>
        <w:ind w:right="40" w:firstLine="561"/>
        <w:spacing w:after="0" w:line="270" w:lineRule="auto"/>
        <w:rPr>
          <w:sz w:val="20"/>
          <w:szCs w:val="20"/>
          <w:color w:val="auto"/>
        </w:rPr>
      </w:pPr>
      <w:r>
        <w:rPr>
          <w:rFonts w:ascii="Arial" w:cs="Arial" w:eastAsia="Arial" w:hAnsi="Arial"/>
          <w:sz w:val="16"/>
          <w:szCs w:val="16"/>
          <w:color w:val="auto"/>
        </w:rPr>
        <w:t>In keeping with our pay-for-performance philosophy, only limited standard employee benefits and executive perquisites are provided to our NEOs as described below. The total amount of employee benefits and executive perquisites provided to the NEOs during 2017 represents only a small percentage of each NEO's total compensation and are comprised of those benefits which we believe are necessary to attract and retain executives.</w:t>
      </w:r>
    </w:p>
    <w:p>
      <w:pPr>
        <w:spacing w:after="0" w:line="168" w:lineRule="exact"/>
        <w:rPr>
          <w:sz w:val="20"/>
          <w:szCs w:val="20"/>
          <w:color w:val="auto"/>
        </w:rPr>
      </w:pPr>
    </w:p>
    <w:p>
      <w:pPr>
        <w:ind w:left="980"/>
        <w:spacing w:after="0"/>
        <w:rPr>
          <w:sz w:val="20"/>
          <w:szCs w:val="20"/>
          <w:color w:val="auto"/>
        </w:rPr>
      </w:pPr>
      <w:r>
        <w:rPr>
          <w:rFonts w:ascii="Arial" w:cs="Arial" w:eastAsia="Arial" w:hAnsi="Arial"/>
          <w:sz w:val="16"/>
          <w:szCs w:val="16"/>
          <w:i w:val="1"/>
          <w:iCs w:val="1"/>
          <w:color w:val="auto"/>
        </w:rPr>
        <w:t>Retirement and Deferred Compensation</w:t>
      </w:r>
    </w:p>
    <w:p>
      <w:pPr>
        <w:spacing w:after="0" w:line="211" w:lineRule="exact"/>
        <w:rPr>
          <w:sz w:val="20"/>
          <w:szCs w:val="20"/>
          <w:color w:val="auto"/>
        </w:rPr>
      </w:pPr>
    </w:p>
    <w:p>
      <w:pPr>
        <w:ind w:right="400" w:firstLine="558"/>
        <w:spacing w:after="0" w:line="259" w:lineRule="auto"/>
        <w:rPr>
          <w:sz w:val="20"/>
          <w:szCs w:val="20"/>
          <w:color w:val="auto"/>
        </w:rPr>
      </w:pPr>
      <w:r>
        <w:rPr>
          <w:rFonts w:ascii="Arial" w:cs="Arial" w:eastAsia="Arial" w:hAnsi="Arial"/>
          <w:sz w:val="16"/>
          <w:szCs w:val="16"/>
          <w:color w:val="auto"/>
        </w:rPr>
        <w:t>We maintain the World Fuel Services Corporation 401(k) Profit Sharing Plan, or our 401(k) Plan, to enable eligible employees to save for retirement through a tax-advantaged combination of elective employee contributions and our matching contributions. The 401(k) Plan allows eligible employees, including our NEOs, to elect to contribute a percentage of their eligible compensation on a pre-tax basis, up to the maximum dollar amounts permitted by law. In 2017, the maximum employee elective contribution to the 401(k) Plan was $18,000, plus an additional $6,000 for employees who were</w:t>
      </w:r>
    </w:p>
    <w:p>
      <w:pPr>
        <w:spacing w:after="0" w:line="3" w:lineRule="exact"/>
        <w:rPr>
          <w:sz w:val="20"/>
          <w:szCs w:val="20"/>
          <w:color w:val="auto"/>
        </w:rPr>
      </w:pPr>
    </w:p>
    <w:p>
      <w:pPr>
        <w:jc w:val="right"/>
        <w:spacing w:after="0"/>
        <w:tabs>
          <w:tab w:leader="none" w:pos="1960" w:val="left"/>
          <w:tab w:leader="none" w:pos="1720" w:val="left"/>
          <w:tab w:leader="none" w:pos="14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3"/>
          <w:szCs w:val="33"/>
          <w:b w:val="1"/>
          <w:bCs w:val="1"/>
          <w:color w:val="auto"/>
          <w:vertAlign w:val="subscript"/>
        </w:rPr>
        <w:t>|</w:t>
      </w:r>
      <w:r>
        <w:rPr>
          <w:sz w:val="20"/>
          <w:szCs w:val="20"/>
          <w:color w:val="auto"/>
        </w:rPr>
        <w:tab/>
      </w:r>
      <w:r>
        <w:rPr>
          <w:rFonts w:ascii="Arial" w:cs="Arial" w:eastAsia="Arial" w:hAnsi="Arial"/>
          <w:sz w:val="16"/>
          <w:szCs w:val="16"/>
          <w:color w:val="auto"/>
        </w:rPr>
        <w:t>2018 Proxy Statement</w:t>
      </w:r>
      <w:r>
        <w:rPr>
          <w:sz w:val="20"/>
          <w:szCs w:val="20"/>
          <w:color w:val="auto"/>
        </w:rPr>
        <w:tab/>
      </w: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133350</wp:posOffset>
            </wp:positionV>
            <wp:extent cx="7263130" cy="203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9" w:name="page50"/>
    <w:bookmarkEnd w:id="49"/>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at least 50 years old in 2017. For 2017, we matched 50% of the first 6% of eligible compensation that each eligible participant elected to contribute to the 401(k) Plan, which was subject to graded vesting during the first three years of employment.</w:t>
      </w:r>
    </w:p>
    <w:p>
      <w:pPr>
        <w:spacing w:after="0" w:line="156" w:lineRule="exact"/>
        <w:rPr>
          <w:sz w:val="20"/>
          <w:szCs w:val="20"/>
          <w:color w:val="auto"/>
        </w:rPr>
      </w:pPr>
    </w:p>
    <w:p>
      <w:pPr>
        <w:ind w:right="20" w:firstLine="558"/>
        <w:spacing w:after="0" w:line="283" w:lineRule="auto"/>
        <w:rPr>
          <w:sz w:val="20"/>
          <w:szCs w:val="20"/>
          <w:color w:val="auto"/>
        </w:rPr>
      </w:pPr>
      <w:r>
        <w:rPr>
          <w:rFonts w:ascii="Arial" w:cs="Arial" w:eastAsia="Arial" w:hAnsi="Arial"/>
          <w:sz w:val="15"/>
          <w:szCs w:val="15"/>
          <w:color w:val="auto"/>
        </w:rPr>
        <w:t>We do not maintain any pension, non-qualified deferred compensation plan, supplemental executive retirement plan or other defined benefit retirement plans for our NEOs. However, the prior employment agreement in effect for Mr. Kasbar provided that any bonus payable to him that would not be deductible under Section 162(m) of the Code ("Section 162(m)") for the year earned would be deferred until a fiscal year in which it would be deductible. Payment of the deferred bonus would be made in all events in the year in which Mr. Kasbar's employment terminates or the employment agreement expires. Any amount deferred in this manner is being credited with interest at the prime rate as published in the Wall Street Journal. In December 2017, the U.S. tax code was amended by the Tax Act, restricting the availability of tax deductibility for executive compensation paid to Mr. Kasbar and our NEOs. The Committee is continuing to assess the impact of the Tax Act on our compensation program.</w:t>
      </w:r>
    </w:p>
    <w:p>
      <w:pPr>
        <w:spacing w:after="0" w:line="161" w:lineRule="exact"/>
        <w:rPr>
          <w:sz w:val="20"/>
          <w:szCs w:val="20"/>
          <w:color w:val="auto"/>
        </w:rPr>
      </w:pPr>
    </w:p>
    <w:p>
      <w:pPr>
        <w:ind w:left="980"/>
        <w:spacing w:after="0"/>
        <w:rPr>
          <w:sz w:val="20"/>
          <w:szCs w:val="20"/>
          <w:color w:val="auto"/>
        </w:rPr>
      </w:pPr>
      <w:r>
        <w:rPr>
          <w:rFonts w:ascii="Arial" w:cs="Arial" w:eastAsia="Arial" w:hAnsi="Arial"/>
          <w:sz w:val="16"/>
          <w:szCs w:val="16"/>
          <w:i w:val="1"/>
          <w:iCs w:val="1"/>
          <w:color w:val="auto"/>
        </w:rPr>
        <w:t>Other Benefits and Perquisites</w:t>
      </w:r>
    </w:p>
    <w:p>
      <w:pPr>
        <w:spacing w:after="0" w:line="211" w:lineRule="exact"/>
        <w:rPr>
          <w:sz w:val="20"/>
          <w:szCs w:val="20"/>
          <w:color w:val="auto"/>
        </w:rPr>
      </w:pPr>
    </w:p>
    <w:p>
      <w:pPr>
        <w:ind w:firstLine="561"/>
        <w:spacing w:after="0" w:line="310" w:lineRule="auto"/>
        <w:rPr>
          <w:sz w:val="20"/>
          <w:szCs w:val="20"/>
          <w:color w:val="auto"/>
        </w:rPr>
      </w:pPr>
      <w:r>
        <w:rPr>
          <w:rFonts w:ascii="Arial" w:cs="Arial" w:eastAsia="Arial" w:hAnsi="Arial"/>
          <w:sz w:val="14"/>
          <w:szCs w:val="14"/>
          <w:color w:val="auto"/>
        </w:rPr>
        <w:t>Our NEOs are eligible for the same health and welfare benefits as are available to all of our eligible employees during active employment. These benefits include medical, dental, vision, short-term and long-term disability and term life insurance and accidental death and dismemberment coverage. Our NEOs receive additional individual disability insurance coverage and are eligible for additional executive life insurance coverage. We pay the entire cost of coverage of the term life insurance and executive life insurance as well as short-term disability and a portion of the cost of coverage for medical and dental insurance for Messrs. Kasbar and Birns. Messrs. Kasbar, Birns, Crosby, Rau and Smith are also provided with a country club membership to be used for business entertainment purposes and to facilitate business meetings.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Agreements with Executives</w:t>
      </w:r>
    </w:p>
    <w:p>
      <w:pPr>
        <w:spacing w:after="0" w:line="215" w:lineRule="exact"/>
        <w:rPr>
          <w:sz w:val="20"/>
          <w:szCs w:val="20"/>
          <w:color w:val="auto"/>
        </w:rPr>
      </w:pPr>
    </w:p>
    <w:p>
      <w:pPr>
        <w:ind w:right="180" w:firstLine="561"/>
        <w:spacing w:after="0" w:line="285" w:lineRule="auto"/>
        <w:rPr>
          <w:sz w:val="20"/>
          <w:szCs w:val="20"/>
          <w:color w:val="auto"/>
        </w:rPr>
      </w:pPr>
      <w:r>
        <w:rPr>
          <w:rFonts w:ascii="Arial" w:cs="Arial" w:eastAsia="Arial" w:hAnsi="Arial"/>
          <w:sz w:val="15"/>
          <w:szCs w:val="15"/>
          <w:color w:val="auto"/>
        </w:rPr>
        <w:t>Our Committee believes that it is important to protect our intellectual capital. Accordingly, we have agreements and an executive severance policy with respect to our NEOs that provide consideration for, and thus ensure the effectiveness of, important non-compete and other restrictive covenants and consulting obligations applicable under such agreements or policy following termination of employment. The Committee believes that these arrangements serve to encourage the continued attention and dedication of the executives to their assigned duties and mitigate the uncertainty and questions a potential change of control may raise among executives. The Committee also believes these arrangements are appropriate and necessary to attract and retain these executives.</w:t>
      </w:r>
    </w:p>
    <w:p>
      <w:pPr>
        <w:spacing w:after="0" w:line="160" w:lineRule="exact"/>
        <w:rPr>
          <w:sz w:val="20"/>
          <w:szCs w:val="20"/>
          <w:color w:val="auto"/>
        </w:rPr>
      </w:pPr>
    </w:p>
    <w:p>
      <w:pPr>
        <w:ind w:right="420" w:firstLine="561"/>
        <w:spacing w:after="0" w:line="285" w:lineRule="auto"/>
        <w:rPr>
          <w:sz w:val="20"/>
          <w:szCs w:val="20"/>
          <w:color w:val="auto"/>
        </w:rPr>
      </w:pPr>
      <w:r>
        <w:rPr>
          <w:rFonts w:ascii="Arial" w:cs="Arial" w:eastAsia="Arial" w:hAnsi="Arial"/>
          <w:sz w:val="15"/>
          <w:szCs w:val="15"/>
          <w:color w:val="auto"/>
        </w:rPr>
        <w:t>Our Committee generally views the potential payments and benefits payable under a termination or change of control scenario as a separate compensation element because such payments and benefits are not expected to be paid in a particular year and serve a different purpose for the executive than other elements of compensation. Accordingly, those payments and benefits do not significantly affect decisions regarding other elements of compensation. See "Potential Payments upon Termination of Employment or Change of Control" beginning on page 54 of this proxy statement for a discussion of these arrangements and certain compensation and benefits that will be provided in the event of the termination of the employment of our NEOs.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Equity Grant Practices</w:t>
      </w:r>
    </w:p>
    <w:p>
      <w:pPr>
        <w:spacing w:after="0" w:line="215" w:lineRule="exact"/>
        <w:rPr>
          <w:sz w:val="20"/>
          <w:szCs w:val="20"/>
          <w:color w:val="auto"/>
        </w:rPr>
      </w:pPr>
    </w:p>
    <w:p>
      <w:pPr>
        <w:ind w:firstLine="561"/>
        <w:spacing w:after="0" w:line="262" w:lineRule="auto"/>
        <w:rPr>
          <w:sz w:val="20"/>
          <w:szCs w:val="20"/>
          <w:color w:val="auto"/>
        </w:rPr>
      </w:pPr>
      <w:r>
        <w:rPr>
          <w:rFonts w:ascii="Arial" w:cs="Arial" w:eastAsia="Arial" w:hAnsi="Arial"/>
          <w:sz w:val="16"/>
          <w:szCs w:val="16"/>
          <w:color w:val="auto"/>
        </w:rPr>
        <w:t>Our equity grant policy provides that equity grants made to NEOs related to prior year performance will be effective on March 15 of each year. Retention, promotion and performance share</w:t>
      </w:r>
    </w:p>
    <w:p>
      <w:pPr>
        <w:jc w:val="right"/>
        <w:spacing w:after="0"/>
        <w:tabs>
          <w:tab w:leader="none" w:pos="1960" w:val="left"/>
          <w:tab w:leader="none" w:pos="1720" w:val="left"/>
          <w:tab w:leader="none" w:pos="14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3"/>
          <w:szCs w:val="33"/>
          <w:b w:val="1"/>
          <w:bCs w:val="1"/>
          <w:color w:val="auto"/>
          <w:vertAlign w:val="subscript"/>
        </w:rPr>
        <w:t>|</w:t>
      </w:r>
      <w:r>
        <w:rPr>
          <w:sz w:val="20"/>
          <w:szCs w:val="20"/>
          <w:color w:val="auto"/>
        </w:rPr>
        <w:tab/>
      </w:r>
      <w:r>
        <w:rPr>
          <w:rFonts w:ascii="Arial" w:cs="Arial" w:eastAsia="Arial" w:hAnsi="Arial"/>
          <w:sz w:val="16"/>
          <w:szCs w:val="16"/>
          <w:color w:val="auto"/>
        </w:rPr>
        <w:t>2018 Proxy Statement</w:t>
      </w:r>
      <w:r>
        <w:rPr>
          <w:sz w:val="20"/>
          <w:szCs w:val="20"/>
          <w:color w:val="auto"/>
        </w:rPr>
        <w:tab/>
      </w: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133350</wp:posOffset>
            </wp:positionV>
            <wp:extent cx="7263130" cy="203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0" w:name="page51"/>
    <w:bookmarkEnd w:id="50"/>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awards are typically granted in March of each year on the 15th or 31st. Annual grants of equity awards to directors are made on the date that the director is elected or re-elected to the Board. Grants made to new hires or existing employees (excluding executive officers) are made effective on one of the following quarterly dates per year: February 10, May 10, August 10, and November 10.</w:t>
      </w:r>
    </w:p>
    <w:p>
      <w:pPr>
        <w:spacing w:after="0" w:line="168" w:lineRule="exact"/>
        <w:rPr>
          <w:sz w:val="20"/>
          <w:szCs w:val="20"/>
          <w:color w:val="auto"/>
        </w:rPr>
      </w:pPr>
    </w:p>
    <w:p>
      <w:pPr>
        <w:ind w:right="40" w:firstLine="561"/>
        <w:spacing w:after="0" w:line="266" w:lineRule="auto"/>
        <w:rPr>
          <w:sz w:val="20"/>
          <w:szCs w:val="20"/>
          <w:color w:val="auto"/>
        </w:rPr>
      </w:pPr>
      <w:r>
        <w:rPr>
          <w:rFonts w:ascii="Arial" w:cs="Arial" w:eastAsia="Arial" w:hAnsi="Arial"/>
          <w:sz w:val="16"/>
          <w:szCs w:val="16"/>
          <w:color w:val="auto"/>
        </w:rPr>
        <w:t>Under the terms of the 2016 Omnibus Plan, we are not permitted to cancel outstanding stock options or SSARs for the purpose of re-pricing or otherwise replacing or re-granting such options or SSARs with an exercise or conversion price that is less than the exercise or conversion price of the original stock option or SSAR without shareholder consent. We do not have a program, plan or practice of timing equity award grants in order to benefit our executive officers or in coordination with the release of material non-public information.</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Accounting Implications</w:t>
      </w:r>
    </w:p>
    <w:p>
      <w:pPr>
        <w:spacing w:after="0" w:line="215" w:lineRule="exact"/>
        <w:rPr>
          <w:sz w:val="20"/>
          <w:szCs w:val="20"/>
          <w:color w:val="auto"/>
        </w:rPr>
      </w:pPr>
    </w:p>
    <w:p>
      <w:pPr>
        <w:ind w:left="980"/>
        <w:spacing w:after="0"/>
        <w:rPr>
          <w:sz w:val="20"/>
          <w:szCs w:val="20"/>
          <w:color w:val="auto"/>
        </w:rPr>
      </w:pPr>
      <w:r>
        <w:rPr>
          <w:rFonts w:ascii="Arial" w:cs="Arial" w:eastAsia="Arial" w:hAnsi="Arial"/>
          <w:sz w:val="16"/>
          <w:szCs w:val="16"/>
          <w:i w:val="1"/>
          <w:iCs w:val="1"/>
          <w:color w:val="auto"/>
        </w:rPr>
        <w:t>Accounting for Share-Based Compensation</w:t>
      </w:r>
    </w:p>
    <w:p>
      <w:pPr>
        <w:spacing w:after="0" w:line="211" w:lineRule="exact"/>
        <w:rPr>
          <w:sz w:val="20"/>
          <w:szCs w:val="20"/>
          <w:color w:val="auto"/>
        </w:rPr>
      </w:pPr>
    </w:p>
    <w:p>
      <w:pPr>
        <w:ind w:right="20" w:firstLine="561"/>
        <w:spacing w:after="0" w:line="284" w:lineRule="auto"/>
        <w:rPr>
          <w:sz w:val="20"/>
          <w:szCs w:val="20"/>
          <w:color w:val="auto"/>
        </w:rPr>
      </w:pPr>
      <w:r>
        <w:rPr>
          <w:rFonts w:ascii="Arial" w:cs="Arial" w:eastAsia="Arial" w:hAnsi="Arial"/>
          <w:sz w:val="16"/>
          <w:szCs w:val="16"/>
          <w:color w:val="auto"/>
        </w:rPr>
        <w:t>Before granting equity-based compensation awards, the Committee considers the accounting impact of the award, including the compensation cost and the grant date fair value, as structured and under various other scenarios in order to analyze the expected impact of the award.</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 Ownership Policies</w:t>
      </w:r>
    </w:p>
    <w:p>
      <w:pPr>
        <w:spacing w:after="0" w:line="215" w:lineRule="exact"/>
        <w:rPr>
          <w:sz w:val="20"/>
          <w:szCs w:val="20"/>
          <w:color w:val="auto"/>
        </w:rPr>
      </w:pPr>
    </w:p>
    <w:p>
      <w:pPr>
        <w:ind w:right="180" w:firstLine="558"/>
        <w:spacing w:after="0" w:line="284" w:lineRule="auto"/>
        <w:rPr>
          <w:sz w:val="20"/>
          <w:szCs w:val="20"/>
          <w:color w:val="auto"/>
        </w:rPr>
      </w:pPr>
      <w:r>
        <w:rPr>
          <w:rFonts w:ascii="Arial" w:cs="Arial" w:eastAsia="Arial" w:hAnsi="Arial"/>
          <w:sz w:val="16"/>
          <w:szCs w:val="16"/>
          <w:color w:val="auto"/>
        </w:rPr>
        <w:t>The Committee has adopted a stock retention requirement and stock ownership guidelines to align the interests of NEOs with those of our shareholders and ensure that the executives responsible for overseeing operations have an ongoing financial stake in the Company's success.</w:t>
      </w:r>
    </w:p>
    <w:p>
      <w:pPr>
        <w:spacing w:after="0" w:line="156" w:lineRule="exact"/>
        <w:rPr>
          <w:sz w:val="20"/>
          <w:szCs w:val="20"/>
          <w:color w:val="auto"/>
        </w:rPr>
      </w:pPr>
    </w:p>
    <w:p>
      <w:pPr>
        <w:ind w:left="980"/>
        <w:spacing w:after="0"/>
        <w:rPr>
          <w:sz w:val="20"/>
          <w:szCs w:val="20"/>
          <w:color w:val="auto"/>
        </w:rPr>
      </w:pPr>
      <w:r>
        <w:rPr>
          <w:rFonts w:ascii="Arial" w:cs="Arial" w:eastAsia="Arial" w:hAnsi="Arial"/>
          <w:sz w:val="16"/>
          <w:szCs w:val="16"/>
          <w:i w:val="1"/>
          <w:iCs w:val="1"/>
          <w:color w:val="auto"/>
        </w:rPr>
        <w:t>Stock Retention Requirement</w:t>
      </w:r>
    </w:p>
    <w:p>
      <w:pPr>
        <w:spacing w:after="0" w:line="211" w:lineRule="exact"/>
        <w:rPr>
          <w:sz w:val="20"/>
          <w:szCs w:val="20"/>
          <w:color w:val="auto"/>
        </w:rPr>
      </w:pPr>
    </w:p>
    <w:p>
      <w:pPr>
        <w:ind w:right="280" w:firstLine="561"/>
        <w:spacing w:after="0" w:line="297" w:lineRule="auto"/>
        <w:rPr>
          <w:sz w:val="20"/>
          <w:szCs w:val="20"/>
          <w:color w:val="auto"/>
        </w:rPr>
      </w:pPr>
      <w:r>
        <w:rPr>
          <w:rFonts w:ascii="Arial" w:cs="Arial" w:eastAsia="Arial" w:hAnsi="Arial"/>
          <w:sz w:val="15"/>
          <w:szCs w:val="15"/>
          <w:color w:val="auto"/>
        </w:rPr>
        <w:t>Our NEOs are required to retain at least 50% of any shares acquired (net of any shares that would need to be withheld or sold to satisfy any applicable income and employment taxes relating to the award) pursuant to any equity award granted after they become an executive officer for three years after the shares are delivered (or until the individual ceases to be an executive officer of the Company, if earlier). All of our NEOs are in compliance with these retention requirements.</w:t>
      </w:r>
    </w:p>
    <w:p>
      <w:pPr>
        <w:spacing w:after="0" w:line="149" w:lineRule="exact"/>
        <w:rPr>
          <w:sz w:val="20"/>
          <w:szCs w:val="20"/>
          <w:color w:val="auto"/>
        </w:rPr>
      </w:pPr>
    </w:p>
    <w:p>
      <w:pPr>
        <w:ind w:left="980"/>
        <w:spacing w:after="0"/>
        <w:rPr>
          <w:sz w:val="20"/>
          <w:szCs w:val="20"/>
          <w:color w:val="auto"/>
        </w:rPr>
      </w:pPr>
      <w:r>
        <w:rPr>
          <w:rFonts w:ascii="Arial" w:cs="Arial" w:eastAsia="Arial" w:hAnsi="Arial"/>
          <w:sz w:val="16"/>
          <w:szCs w:val="16"/>
          <w:i w:val="1"/>
          <w:iCs w:val="1"/>
          <w:color w:val="auto"/>
        </w:rPr>
        <w:t>Stock Ownership Requirement</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NEOs are subject to the stock ownership guidelines set forth below, which are expressed as a multiple of base salary determined by leadership level.</w:t>
      </w:r>
    </w:p>
    <w:p>
      <w:pPr>
        <w:spacing w:after="0" w:line="207" w:lineRule="exact"/>
        <w:rPr>
          <w:sz w:val="20"/>
          <w:szCs w:val="20"/>
          <w:color w:val="auto"/>
        </w:rPr>
      </w:pPr>
    </w:p>
    <w:tbl>
      <w:tblPr>
        <w:tblLayout w:type="fixed"/>
        <w:tblInd w:w="1940" w:type="dxa"/>
        <w:tblCellMar>
          <w:top w:w="0" w:type="dxa"/>
          <w:left w:w="0" w:type="dxa"/>
          <w:bottom w:w="0" w:type="dxa"/>
          <w:right w:w="0" w:type="dxa"/>
        </w:tblCellMar>
      </w:tblPr>
      <w:tr>
        <w:trPr>
          <w:trHeight w:val="149"/>
        </w:trPr>
        <w:tc>
          <w:tcPr>
            <w:tcW w:w="5560" w:type="dxa"/>
            <w:vAlign w:val="bottom"/>
            <w:gridSpan w:val="2"/>
          </w:tcPr>
          <w:p>
            <w:pPr>
              <w:spacing w:after="0"/>
              <w:rPr>
                <w:sz w:val="20"/>
                <w:szCs w:val="20"/>
                <w:color w:val="auto"/>
              </w:rPr>
            </w:pPr>
            <w:r>
              <w:rPr>
                <w:rFonts w:ascii="Arial" w:cs="Arial" w:eastAsia="Arial" w:hAnsi="Arial"/>
                <w:sz w:val="12"/>
                <w:szCs w:val="12"/>
                <w:b w:val="1"/>
                <w:bCs w:val="1"/>
                <w:color w:val="auto"/>
              </w:rPr>
              <w:t>Position</w:t>
            </w:r>
          </w:p>
        </w:tc>
        <w:tc>
          <w:tcPr>
            <w:tcW w:w="160" w:type="dxa"/>
            <w:vAlign w:val="bottom"/>
          </w:tcPr>
          <w:p>
            <w:pPr>
              <w:spacing w:after="0"/>
              <w:rPr>
                <w:sz w:val="12"/>
                <w:szCs w:val="12"/>
                <w:color w:val="auto"/>
              </w:rPr>
            </w:pPr>
          </w:p>
        </w:tc>
        <w:tc>
          <w:tcPr>
            <w:tcW w:w="1720" w:type="dxa"/>
            <w:vAlign w:val="bottom"/>
            <w:gridSpan w:val="2"/>
          </w:tcPr>
          <w:p>
            <w:pPr>
              <w:ind w:left="160"/>
              <w:spacing w:after="0"/>
              <w:rPr>
                <w:sz w:val="20"/>
                <w:szCs w:val="20"/>
                <w:color w:val="auto"/>
              </w:rPr>
            </w:pPr>
            <w:r>
              <w:rPr>
                <w:rFonts w:ascii="Arial" w:cs="Arial" w:eastAsia="Arial" w:hAnsi="Arial"/>
                <w:sz w:val="12"/>
                <w:szCs w:val="12"/>
                <w:b w:val="1"/>
                <w:bCs w:val="1"/>
                <w:color w:val="auto"/>
              </w:rPr>
              <w:t>Multiple of Base Salary</w:t>
            </w:r>
          </w:p>
        </w:tc>
      </w:tr>
      <w:tr>
        <w:trPr>
          <w:trHeight w:val="190"/>
        </w:trPr>
        <w:tc>
          <w:tcPr>
            <w:tcW w:w="20" w:type="dxa"/>
            <w:vAlign w:val="bottom"/>
          </w:tcPr>
          <w:p>
            <w:pPr>
              <w:spacing w:after="0"/>
              <w:rPr>
                <w:sz w:val="16"/>
                <w:szCs w:val="16"/>
                <w:color w:val="auto"/>
              </w:rPr>
            </w:pPr>
          </w:p>
        </w:tc>
        <w:tc>
          <w:tcPr>
            <w:tcW w:w="5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Chief Executive Officer</w:t>
            </w:r>
          </w:p>
        </w:tc>
        <w:tc>
          <w:tcPr>
            <w:tcW w:w="160" w:type="dxa"/>
            <w:vAlign w:val="bottom"/>
            <w:shd w:val="clear" w:color="auto" w:fill="CCEEFF"/>
          </w:tcPr>
          <w:p>
            <w:pPr>
              <w:spacing w:after="0"/>
              <w:rPr>
                <w:sz w:val="16"/>
                <w:szCs w:val="16"/>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60" w:type="dxa"/>
            <w:vAlign w:val="bottom"/>
            <w:shd w:val="clear" w:color="auto" w:fill="CCEEFF"/>
          </w:tcPr>
          <w:p>
            <w:pPr>
              <w:spacing w:after="0"/>
              <w:rPr>
                <w:sz w:val="16"/>
                <w:szCs w:val="16"/>
                <w:color w:val="auto"/>
              </w:rPr>
            </w:pPr>
          </w:p>
        </w:tc>
      </w:tr>
      <w:tr>
        <w:trPr>
          <w:trHeight w:val="197"/>
        </w:trPr>
        <w:tc>
          <w:tcPr>
            <w:tcW w:w="20" w:type="dxa"/>
            <w:vAlign w:val="bottom"/>
          </w:tcPr>
          <w:p>
            <w:pPr>
              <w:spacing w:after="0"/>
              <w:rPr>
                <w:sz w:val="17"/>
                <w:szCs w:val="17"/>
                <w:color w:val="auto"/>
              </w:rPr>
            </w:pPr>
          </w:p>
        </w:tc>
        <w:tc>
          <w:tcPr>
            <w:tcW w:w="5540" w:type="dxa"/>
            <w:vAlign w:val="bottom"/>
          </w:tcPr>
          <w:p>
            <w:pPr>
              <w:spacing w:after="0"/>
              <w:rPr>
                <w:sz w:val="20"/>
                <w:szCs w:val="20"/>
                <w:color w:val="auto"/>
              </w:rPr>
            </w:pPr>
            <w:r>
              <w:rPr>
                <w:rFonts w:ascii="Arial" w:cs="Arial" w:eastAsia="Arial" w:hAnsi="Arial"/>
                <w:sz w:val="16"/>
                <w:szCs w:val="16"/>
                <w:color w:val="auto"/>
              </w:rPr>
              <w:t>Chairman of the Board (if an executive officer)</w:t>
            </w: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5</w:t>
            </w:r>
          </w:p>
        </w:tc>
        <w:tc>
          <w:tcPr>
            <w:tcW w:w="160" w:type="dxa"/>
            <w:vAlign w:val="bottom"/>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6"/>
                <w:szCs w:val="16"/>
                <w:color w:val="auto"/>
              </w:rPr>
              <w:t>Chief Financial Officer</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60" w:type="dxa"/>
            <w:vAlign w:val="bottom"/>
            <w:shd w:val="clear" w:color="auto" w:fill="CCEEFF"/>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5540" w:type="dxa"/>
            <w:vAlign w:val="bottom"/>
          </w:tcPr>
          <w:p>
            <w:pPr>
              <w:spacing w:after="0"/>
              <w:rPr>
                <w:sz w:val="20"/>
                <w:szCs w:val="20"/>
                <w:color w:val="auto"/>
              </w:rPr>
            </w:pPr>
            <w:r>
              <w:rPr>
                <w:rFonts w:ascii="Arial" w:cs="Arial" w:eastAsia="Arial" w:hAnsi="Arial"/>
                <w:sz w:val="16"/>
                <w:szCs w:val="16"/>
                <w:color w:val="auto"/>
              </w:rPr>
              <w:t>All Other Executive Officers</w:t>
            </w: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3</w:t>
            </w:r>
          </w:p>
        </w:tc>
        <w:tc>
          <w:tcPr>
            <w:tcW w:w="160" w:type="dxa"/>
            <w:vAlign w:val="bottom"/>
          </w:tcPr>
          <w:p>
            <w:pPr>
              <w:spacing w:after="0"/>
              <w:rPr>
                <w:sz w:val="17"/>
                <w:szCs w:val="17"/>
                <w:color w:val="auto"/>
              </w:rPr>
            </w:pPr>
          </w:p>
        </w:tc>
      </w:tr>
    </w:tbl>
    <w:p>
      <w:pPr>
        <w:spacing w:after="0" w:line="181" w:lineRule="exact"/>
        <w:rPr>
          <w:sz w:val="20"/>
          <w:szCs w:val="20"/>
          <w:color w:val="auto"/>
        </w:rPr>
      </w:pPr>
    </w:p>
    <w:p>
      <w:pPr>
        <w:ind w:right="260" w:firstLine="561"/>
        <w:spacing w:after="0" w:line="270" w:lineRule="auto"/>
        <w:rPr>
          <w:sz w:val="20"/>
          <w:szCs w:val="20"/>
          <w:color w:val="auto"/>
        </w:rPr>
      </w:pPr>
      <w:r>
        <w:rPr>
          <w:rFonts w:ascii="Arial" w:cs="Arial" w:eastAsia="Arial" w:hAnsi="Arial"/>
          <w:sz w:val="16"/>
          <w:szCs w:val="16"/>
          <w:color w:val="auto"/>
        </w:rPr>
        <w:t>Equity vehicles that count towards compliance with the ownership requirement include: common stock, unvested time-based restricted stock or RSUs, and the earned portion of performance-based awards. Unexercised stock options or stock appreciation rights, the unearned portion of performance-based awards and any shares of common stock that are pledged as collateral do not count towards the requirement.</w:t>
      </w:r>
    </w:p>
    <w:p>
      <w:pPr>
        <w:spacing w:after="0" w:line="168" w:lineRule="exact"/>
        <w:rPr>
          <w:sz w:val="20"/>
          <w:szCs w:val="20"/>
          <w:color w:val="auto"/>
        </w:rPr>
      </w:pPr>
    </w:p>
    <w:p>
      <w:pPr>
        <w:ind w:right="160" w:firstLine="558"/>
        <w:spacing w:after="0" w:line="262" w:lineRule="auto"/>
        <w:rPr>
          <w:sz w:val="20"/>
          <w:szCs w:val="20"/>
          <w:color w:val="auto"/>
        </w:rPr>
      </w:pPr>
      <w:r>
        <w:rPr>
          <w:rFonts w:ascii="Arial" w:cs="Arial" w:eastAsia="Arial" w:hAnsi="Arial"/>
          <w:sz w:val="16"/>
          <w:szCs w:val="16"/>
          <w:color w:val="auto"/>
        </w:rPr>
        <w:t>The Committee uses the three-year average closing stock price on the last trading day of each fiscal year to determine compliance and to manage against the risk of the NEOs falling out of</w:t>
      </w:r>
    </w:p>
    <w:p>
      <w:pPr>
        <w:ind w:left="6980"/>
        <w:spacing w:after="0"/>
        <w:tabs>
          <w:tab w:leader="none" w:pos="9420" w:val="left"/>
          <w:tab w:leader="none" w:pos="9660" w:val="left"/>
          <w:tab w:leader="none" w:pos="1124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3"/>
          <w:szCs w:val="33"/>
          <w:b w:val="1"/>
          <w:bCs w:val="1"/>
          <w:color w:val="auto"/>
          <w:vertAlign w:val="subscript"/>
        </w:rPr>
        <w:t>|</w:t>
      </w:r>
      <w:r>
        <w:rPr>
          <w:sz w:val="20"/>
          <w:szCs w:val="20"/>
          <w:color w:val="auto"/>
        </w:rPr>
        <w:tab/>
      </w:r>
      <w:r>
        <w:rPr>
          <w:rFonts w:ascii="Arial" w:cs="Arial" w:eastAsia="Arial" w:hAnsi="Arial"/>
          <w:sz w:val="16"/>
          <w:szCs w:val="16"/>
          <w:color w:val="auto"/>
        </w:rPr>
        <w:t>2018 Proxy Statement</w:t>
      </w:r>
      <w:r>
        <w:rPr>
          <w:sz w:val="20"/>
          <w:szCs w:val="20"/>
          <w:color w:val="auto"/>
        </w:rPr>
        <w:tab/>
      </w: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133350</wp:posOffset>
            </wp:positionV>
            <wp:extent cx="7263130" cy="203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40"/>
          </w:cols>
          <w:pgMar w:left="240" w:top="131" w:right="219" w:bottom="1440" w:gutter="0" w:footer="0" w:header="0"/>
        </w:sectPr>
      </w:pPr>
    </w:p>
    <w:bookmarkStart w:id="51" w:name="page52"/>
    <w:bookmarkEnd w:id="51"/>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compliance due to volatility in the stock price. The Committee has discretion to determine the penalties for non-compliance, including: requiring the payment of cash incentives in equity, instituting a higher equity retention requirement and reducing or eliminating incentive compensation. Furthermore, the Committee, in its discretion, may determine the appropriate hardship relief, if any, for non-compliance including: allowing NEOs additional time to regain compliance and suspending ownership requirements in the event of extreme volatility in the Company's stock price.</w:t>
      </w:r>
    </w:p>
    <w:p>
      <w:pPr>
        <w:spacing w:after="0" w:line="171" w:lineRule="exact"/>
        <w:rPr>
          <w:sz w:val="20"/>
          <w:szCs w:val="20"/>
          <w:color w:val="auto"/>
        </w:rPr>
      </w:pPr>
    </w:p>
    <w:p>
      <w:pPr>
        <w:jc w:val="both"/>
        <w:ind w:right="180" w:firstLine="558"/>
        <w:spacing w:after="0" w:line="270" w:lineRule="auto"/>
        <w:rPr>
          <w:sz w:val="20"/>
          <w:szCs w:val="20"/>
          <w:color w:val="auto"/>
        </w:rPr>
      </w:pPr>
      <w:r>
        <w:rPr>
          <w:rFonts w:ascii="Arial" w:cs="Arial" w:eastAsia="Arial" w:hAnsi="Arial"/>
          <w:sz w:val="16"/>
          <w:szCs w:val="16"/>
          <w:color w:val="auto"/>
        </w:rPr>
        <w:t>The stock ownership guidelines provide that executive officers must attain the applicable ownership requirement within five years of the date such individual becomes an executive officer. Our directors are also subject to stock ownership requirements as described on page 28 of this proxy statement under "Director Compensation". All of our NEOs are in compliance with the above requirements.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Derivatives, Hedging and Pledging Transactions</w:t>
      </w:r>
    </w:p>
    <w:p>
      <w:pPr>
        <w:spacing w:after="0" w:line="215" w:lineRule="exact"/>
        <w:rPr>
          <w:sz w:val="20"/>
          <w:szCs w:val="20"/>
          <w:color w:val="auto"/>
        </w:rPr>
      </w:pPr>
    </w:p>
    <w:p>
      <w:pPr>
        <w:ind w:right="40" w:firstLine="558"/>
        <w:spacing w:after="0" w:line="266" w:lineRule="auto"/>
        <w:rPr>
          <w:sz w:val="20"/>
          <w:szCs w:val="20"/>
          <w:color w:val="auto"/>
        </w:rPr>
      </w:pPr>
      <w:r>
        <w:rPr>
          <w:rFonts w:ascii="Arial" w:cs="Arial" w:eastAsia="Arial" w:hAnsi="Arial"/>
          <w:sz w:val="16"/>
          <w:szCs w:val="16"/>
          <w:color w:val="auto"/>
        </w:rPr>
        <w:t>We prohibit our directors, executive officers and employees from engaging in hedging or monetization transactions, such as prepaid variable forward contracts, equity swaps, collars and exchange funds, which are designed to hedge or offset any decrease in the market value of our common stock. We also do not permit the buying or selling of publicly traded options based on our common stock or engaging in short sales of our securities. The purpose of these policies is to align the interests, including the economic risk of ownership, of directors, executive officers, employees and shareholders.</w:t>
      </w:r>
    </w:p>
    <w:p>
      <w:pPr>
        <w:spacing w:after="0" w:line="171" w:lineRule="exact"/>
        <w:rPr>
          <w:sz w:val="20"/>
          <w:szCs w:val="20"/>
          <w:color w:val="auto"/>
        </w:rPr>
      </w:pPr>
    </w:p>
    <w:p>
      <w:pPr>
        <w:ind w:firstLine="558"/>
        <w:spacing w:after="0" w:line="270" w:lineRule="auto"/>
        <w:rPr>
          <w:sz w:val="20"/>
          <w:szCs w:val="20"/>
          <w:color w:val="auto"/>
        </w:rPr>
      </w:pPr>
      <w:r>
        <w:rPr>
          <w:rFonts w:ascii="Arial" w:cs="Arial" w:eastAsia="Arial" w:hAnsi="Arial"/>
          <w:sz w:val="16"/>
          <w:szCs w:val="16"/>
          <w:color w:val="auto"/>
        </w:rPr>
        <w:t>We also discourage our directors, executive officers and employees from holding our common stock in a margin account or pledging our common stock as collateral for a loan. Any directors or executive officers who wish to pledge shares must first obtain the prior approval of the General Counsel and the Governance Committee. As noted above, any shares pledged as collateral will not count towards any executive officer's respective stock ownership requirement.</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Committee Report on 2017 Executive Compensation</w:t>
      </w:r>
    </w:p>
    <w:p>
      <w:pPr>
        <w:spacing w:after="0" w:line="215" w:lineRule="exact"/>
        <w:rPr>
          <w:sz w:val="20"/>
          <w:szCs w:val="20"/>
          <w:color w:val="auto"/>
        </w:rPr>
      </w:pPr>
    </w:p>
    <w:p>
      <w:pPr>
        <w:jc w:val="both"/>
        <w:ind w:firstLine="558"/>
        <w:spacing w:after="0" w:line="270" w:lineRule="auto"/>
        <w:rPr>
          <w:sz w:val="20"/>
          <w:szCs w:val="20"/>
          <w:color w:val="auto"/>
        </w:rPr>
      </w:pPr>
      <w:r>
        <w:rPr>
          <w:rFonts w:ascii="Arial" w:cs="Arial" w:eastAsia="Arial" w:hAnsi="Arial"/>
          <w:sz w:val="16"/>
          <w:szCs w:val="16"/>
          <w:color w:val="auto"/>
        </w:rPr>
        <w:t>The Committee is responsible for establishing and administering the executive compensation programs of the Company. The Committee has reviewed and discussed the Compensation Discussion and Analysis required by Item 402(b) of Regulation S-K with management and, based on such review and discussions, the Committee recommended to the Board that the Compensation Discussion and Analysis be included in this proxy statement on Schedule 14A.</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Ken Bakshi, Chairman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Richard A. Kassar, Member</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Stephen K. Roddenberry, Member</w:t>
      </w:r>
    </w:p>
    <w:p>
      <w:pPr>
        <w:spacing w:after="0" w:line="13" w:lineRule="exact"/>
        <w:rPr>
          <w:sz w:val="20"/>
          <w:szCs w:val="20"/>
          <w:color w:val="auto"/>
        </w:rPr>
      </w:pPr>
    </w:p>
    <w:p>
      <w:pPr>
        <w:jc w:val="right"/>
        <w:spacing w:after="0"/>
        <w:tabs>
          <w:tab w:leader="none" w:pos="1960" w:val="left"/>
          <w:tab w:leader="none" w:pos="1720" w:val="left"/>
          <w:tab w:leader="none" w:pos="14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3"/>
          <w:szCs w:val="33"/>
          <w:b w:val="1"/>
          <w:bCs w:val="1"/>
          <w:color w:val="auto"/>
          <w:vertAlign w:val="subscript"/>
        </w:rPr>
        <w:t>|</w:t>
      </w:r>
      <w:r>
        <w:rPr>
          <w:sz w:val="20"/>
          <w:szCs w:val="20"/>
          <w:color w:val="auto"/>
        </w:rPr>
        <w:tab/>
      </w:r>
      <w:r>
        <w:rPr>
          <w:rFonts w:ascii="Arial" w:cs="Arial" w:eastAsia="Arial" w:hAnsi="Arial"/>
          <w:sz w:val="16"/>
          <w:szCs w:val="16"/>
          <w:color w:val="auto"/>
        </w:rPr>
        <w:t>2018 Proxy Statement</w:t>
      </w:r>
      <w:r>
        <w:rPr>
          <w:sz w:val="20"/>
          <w:szCs w:val="20"/>
          <w:color w:val="auto"/>
        </w:rPr>
        <w:tab/>
      </w: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133350</wp:posOffset>
            </wp:positionV>
            <wp:extent cx="7263130" cy="203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2" w:name="page53"/>
    <w:bookmarkEnd w:id="52"/>
    <w:p>
      <w:pPr>
        <w:ind w:left="1"/>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7" w:lineRule="exact"/>
        <w:rPr>
          <w:sz w:val="20"/>
          <w:szCs w:val="20"/>
          <w:color w:val="auto"/>
        </w:rPr>
      </w:pPr>
    </w:p>
    <w:p>
      <w:pPr>
        <w:ind w:left="1" w:right="7840" w:hanging="1"/>
        <w:spacing w:after="0" w:line="533" w:lineRule="auto"/>
        <w:tabs>
          <w:tab w:leader="none" w:pos="618" w:val="left"/>
        </w:tabs>
        <w:numPr>
          <w:ilvl w:val="0"/>
          <w:numId w:val="52"/>
        </w:numPr>
        <w:rPr>
          <w:rFonts w:ascii="Arial" w:cs="Arial" w:eastAsia="Arial" w:hAnsi="Arial"/>
          <w:sz w:val="16"/>
          <w:szCs w:val="16"/>
          <w:b w:val="1"/>
          <w:bCs w:val="1"/>
          <w:color w:val="0048E0"/>
        </w:rPr>
      </w:pPr>
      <w:r>
        <w:rPr>
          <w:rFonts w:ascii="Arial" w:cs="Arial" w:eastAsia="Arial" w:hAnsi="Arial"/>
          <w:sz w:val="16"/>
          <w:szCs w:val="16"/>
          <w:b w:val="1"/>
          <w:bCs w:val="1"/>
          <w:color w:val="0048E0"/>
        </w:rPr>
        <w:t xml:space="preserve">EXECUTIVE COMPENSATION TABLES </w:t>
      </w:r>
      <w:r>
        <w:rPr>
          <w:rFonts w:ascii="Arial" w:cs="Arial" w:eastAsia="Arial" w:hAnsi="Arial"/>
          <w:sz w:val="16"/>
          <w:szCs w:val="16"/>
          <w:b w:val="1"/>
          <w:bCs w:val="1"/>
          <w:color w:val="000000"/>
        </w:rPr>
        <w:t>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-384810</wp:posOffset>
            </wp:positionV>
            <wp:extent cx="7258685" cy="158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8685" cy="15875"/>
                    </a:xfrm>
                    <a:prstGeom prst="rect">
                      <a:avLst/>
                    </a:prstGeom>
                    <a:noFill/>
                  </pic:spPr>
                </pic:pic>
              </a:graphicData>
            </a:graphic>
          </wp:anchor>
        </w:drawing>
      </w:r>
    </w:p>
    <w:p>
      <w:pPr>
        <w:ind w:left="1" w:right="20" w:firstLine="558"/>
        <w:spacing w:after="0" w:line="284" w:lineRule="auto"/>
        <w:rPr>
          <w:sz w:val="20"/>
          <w:szCs w:val="20"/>
          <w:color w:val="auto"/>
        </w:rPr>
      </w:pPr>
      <w:r>
        <w:rPr>
          <w:rFonts w:ascii="Arial" w:cs="Arial" w:eastAsia="Arial" w:hAnsi="Arial"/>
          <w:sz w:val="16"/>
          <w:szCs w:val="16"/>
          <w:color w:val="auto"/>
        </w:rPr>
        <w:t>The following table summarizes the "total compensation" of our NEOs for the fiscal years ended December 31, 2017, 2016, and 2015 according to the rules promulgated by the SEC.</w:t>
      </w:r>
    </w:p>
    <w:p>
      <w:pPr>
        <w:spacing w:after="0" w:line="350"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SUMMARY COMPENSATION TABLE</w:t>
      </w:r>
    </w:p>
    <w:p>
      <w:pPr>
        <w:spacing w:after="0" w:line="208" w:lineRule="exact"/>
        <w:rPr>
          <w:sz w:val="20"/>
          <w:szCs w:val="20"/>
          <w:color w:val="auto"/>
        </w:rPr>
      </w:pPr>
    </w:p>
    <w:tbl>
      <w:tblPr>
        <w:tblLayout w:type="fixed"/>
        <w:tblInd w:w="1141" w:type="dxa"/>
        <w:tblCellMar>
          <w:top w:w="0" w:type="dxa"/>
          <w:left w:w="0" w:type="dxa"/>
          <w:bottom w:w="0" w:type="dxa"/>
          <w:right w:w="0" w:type="dxa"/>
        </w:tblCellMar>
      </w:tblPr>
      <w:tr>
        <w:trPr>
          <w:trHeight w:val="138"/>
        </w:trPr>
        <w:tc>
          <w:tcPr>
            <w:tcW w:w="2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restart"/>
          </w:tcPr>
          <w:p>
            <w:pPr>
              <w:jc w:val="right"/>
              <w:ind w:right="181"/>
              <w:spacing w:after="0"/>
              <w:rPr>
                <w:sz w:val="20"/>
                <w:szCs w:val="20"/>
                <w:color w:val="auto"/>
              </w:rPr>
            </w:pPr>
            <w:r>
              <w:rPr>
                <w:rFonts w:ascii="Arial" w:cs="Arial" w:eastAsia="Arial" w:hAnsi="Arial"/>
                <w:sz w:val="12"/>
                <w:szCs w:val="12"/>
                <w:b w:val="1"/>
                <w:bCs w:val="1"/>
                <w:color w:val="auto"/>
              </w:rPr>
              <w:t>Stock</w:t>
            </w:r>
          </w:p>
        </w:tc>
        <w:tc>
          <w:tcPr>
            <w:tcW w:w="140" w:type="dxa"/>
            <w:vAlign w:val="bottom"/>
          </w:tcPr>
          <w:p>
            <w:pPr>
              <w:spacing w:after="0"/>
              <w:rPr>
                <w:sz w:val="12"/>
                <w:szCs w:val="12"/>
                <w:color w:val="auto"/>
              </w:rPr>
            </w:pPr>
          </w:p>
        </w:tc>
        <w:tc>
          <w:tcPr>
            <w:tcW w:w="780" w:type="dxa"/>
            <w:vAlign w:val="bottom"/>
            <w:vMerge w:val="restart"/>
          </w:tcPr>
          <w:p>
            <w:pPr>
              <w:jc w:val="right"/>
              <w:ind w:right="159"/>
              <w:spacing w:after="0"/>
              <w:rPr>
                <w:sz w:val="20"/>
                <w:szCs w:val="20"/>
                <w:color w:val="auto"/>
              </w:rPr>
            </w:pPr>
            <w:r>
              <w:rPr>
                <w:rFonts w:ascii="Arial" w:cs="Arial" w:eastAsia="Arial" w:hAnsi="Arial"/>
                <w:sz w:val="12"/>
                <w:szCs w:val="12"/>
                <w:b w:val="1"/>
                <w:bCs w:val="1"/>
                <w:color w:val="auto"/>
              </w:rPr>
              <w:t>Option</w:t>
            </w:r>
          </w:p>
        </w:tc>
        <w:tc>
          <w:tcPr>
            <w:tcW w:w="140" w:type="dxa"/>
            <w:vAlign w:val="bottom"/>
          </w:tcPr>
          <w:p>
            <w:pPr>
              <w:spacing w:after="0"/>
              <w:rPr>
                <w:sz w:val="12"/>
                <w:szCs w:val="12"/>
                <w:color w:val="auto"/>
              </w:rPr>
            </w:pPr>
          </w:p>
        </w:tc>
        <w:tc>
          <w:tcPr>
            <w:tcW w:w="840" w:type="dxa"/>
            <w:vAlign w:val="bottom"/>
          </w:tcPr>
          <w:p>
            <w:pPr>
              <w:jc w:val="right"/>
              <w:ind w:right="58"/>
              <w:spacing w:after="0"/>
              <w:rPr>
                <w:sz w:val="20"/>
                <w:szCs w:val="20"/>
                <w:color w:val="auto"/>
              </w:rPr>
            </w:pPr>
            <w:r>
              <w:rPr>
                <w:rFonts w:ascii="Arial" w:cs="Arial" w:eastAsia="Arial" w:hAnsi="Arial"/>
                <w:sz w:val="12"/>
                <w:szCs w:val="12"/>
                <w:b w:val="1"/>
                <w:bCs w:val="1"/>
                <w:color w:val="auto"/>
              </w:rPr>
              <w:t>Non-Equity</w:t>
            </w:r>
          </w:p>
        </w:tc>
        <w:tc>
          <w:tcPr>
            <w:tcW w:w="160" w:type="dxa"/>
            <w:vAlign w:val="bottom"/>
          </w:tcPr>
          <w:p>
            <w:pPr>
              <w:spacing w:after="0"/>
              <w:rPr>
                <w:sz w:val="12"/>
                <w:szCs w:val="12"/>
                <w:color w:val="auto"/>
              </w:rPr>
            </w:pPr>
          </w:p>
        </w:tc>
        <w:tc>
          <w:tcPr>
            <w:tcW w:w="980" w:type="dxa"/>
            <w:vAlign w:val="bottom"/>
            <w:vMerge w:val="restart"/>
          </w:tcPr>
          <w:p>
            <w:pPr>
              <w:jc w:val="right"/>
              <w:ind w:right="181"/>
              <w:spacing w:after="0"/>
              <w:rPr>
                <w:sz w:val="20"/>
                <w:szCs w:val="20"/>
                <w:color w:val="auto"/>
              </w:rPr>
            </w:pPr>
            <w:r>
              <w:rPr>
                <w:rFonts w:ascii="Arial" w:cs="Arial" w:eastAsia="Arial" w:hAnsi="Arial"/>
                <w:sz w:val="12"/>
                <w:szCs w:val="12"/>
                <w:b w:val="1"/>
                <w:bCs w:val="1"/>
                <w:color w:val="auto"/>
              </w:rPr>
              <w:t>All Other</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jc w:val="right"/>
              <w:spacing w:after="0" w:line="124" w:lineRule="exact"/>
              <w:rPr>
                <w:sz w:val="20"/>
                <w:szCs w:val="20"/>
                <w:color w:val="auto"/>
              </w:rPr>
            </w:pPr>
            <w:r>
              <w:rPr>
                <w:rFonts w:ascii="Arial" w:cs="Arial" w:eastAsia="Arial" w:hAnsi="Arial"/>
                <w:sz w:val="12"/>
                <w:szCs w:val="12"/>
                <w:b w:val="1"/>
                <w:bCs w:val="1"/>
                <w:color w:val="auto"/>
                <w:w w:val="96"/>
              </w:rPr>
              <w:t>Incentive Plan</w:t>
            </w:r>
          </w:p>
        </w:tc>
        <w:tc>
          <w:tcPr>
            <w:tcW w:w="16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332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rPr>
              <w:t>Name and Principal Position</w:t>
            </w:r>
          </w:p>
        </w:tc>
        <w:tc>
          <w:tcPr>
            <w:tcW w:w="140" w:type="dxa"/>
            <w:vAlign w:val="bottom"/>
          </w:tcPr>
          <w:p>
            <w:pPr>
              <w:spacing w:after="0"/>
              <w:rPr>
                <w:sz w:val="13"/>
                <w:szCs w:val="13"/>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99"/>
              </w:rPr>
              <w:t>Year</w:t>
            </w:r>
          </w:p>
        </w:tc>
        <w:tc>
          <w:tcPr>
            <w:tcW w:w="160" w:type="dxa"/>
            <w:vAlign w:val="bottom"/>
          </w:tcPr>
          <w:p>
            <w:pPr>
              <w:spacing w:after="0"/>
              <w:rPr>
                <w:sz w:val="13"/>
                <w:szCs w:val="13"/>
                <w:color w:val="auto"/>
              </w:rPr>
            </w:pPr>
          </w:p>
        </w:tc>
        <w:tc>
          <w:tcPr>
            <w:tcW w:w="620" w:type="dxa"/>
            <w:vAlign w:val="bottom"/>
            <w:tcBorders>
              <w:bottom w:val="single" w:sz="8" w:color="auto"/>
            </w:tcBorders>
          </w:tcPr>
          <w:p>
            <w:pPr>
              <w:jc w:val="right"/>
              <w:ind w:right="78"/>
              <w:spacing w:after="0"/>
              <w:rPr>
                <w:sz w:val="20"/>
                <w:szCs w:val="20"/>
                <w:color w:val="auto"/>
              </w:rPr>
            </w:pPr>
            <w:r>
              <w:rPr>
                <w:rFonts w:ascii="Arial" w:cs="Arial" w:eastAsia="Arial" w:hAnsi="Arial"/>
                <w:sz w:val="12"/>
                <w:szCs w:val="12"/>
                <w:b w:val="1"/>
                <w:bCs w:val="1"/>
                <w:color w:val="auto"/>
              </w:rPr>
              <w:t>Salary</w:t>
            </w:r>
          </w:p>
        </w:tc>
        <w:tc>
          <w:tcPr>
            <w:tcW w:w="140" w:type="dxa"/>
            <w:vAlign w:val="bottom"/>
          </w:tcPr>
          <w:p>
            <w:pPr>
              <w:spacing w:after="0"/>
              <w:rPr>
                <w:sz w:val="13"/>
                <w:szCs w:val="13"/>
                <w:color w:val="auto"/>
              </w:rPr>
            </w:pPr>
          </w:p>
        </w:tc>
        <w:tc>
          <w:tcPr>
            <w:tcW w:w="760" w:type="dxa"/>
            <w:vAlign w:val="bottom"/>
            <w:tcBorders>
              <w:bottom w:val="single" w:sz="8" w:color="auto"/>
            </w:tcBorders>
          </w:tcPr>
          <w:p>
            <w:pPr>
              <w:jc w:val="right"/>
              <w:ind w:right="1"/>
              <w:spacing w:after="0" w:line="160" w:lineRule="exact"/>
              <w:rPr>
                <w:sz w:val="20"/>
                <w:szCs w:val="20"/>
                <w:color w:val="auto"/>
              </w:rPr>
            </w:pPr>
            <w:r>
              <w:rPr>
                <w:rFonts w:ascii="Arial" w:cs="Arial" w:eastAsia="Arial" w:hAnsi="Arial"/>
                <w:sz w:val="11"/>
                <w:szCs w:val="11"/>
                <w:b w:val="1"/>
                <w:bCs w:val="1"/>
                <w:color w:val="auto"/>
                <w:w w:val="98"/>
              </w:rPr>
              <w:t>Awards</w:t>
            </w:r>
            <w:r>
              <w:rPr>
                <w:rFonts w:ascii="Arial" w:cs="Arial" w:eastAsia="Arial" w:hAnsi="Arial"/>
                <w:sz w:val="18"/>
                <w:szCs w:val="18"/>
                <w:b w:val="1"/>
                <w:bCs w:val="1"/>
                <w:color w:val="auto"/>
                <w:w w:val="98"/>
                <w:vertAlign w:val="superscript"/>
              </w:rPr>
              <w:t>(1)(2)</w:t>
            </w:r>
          </w:p>
        </w:tc>
        <w:tc>
          <w:tcPr>
            <w:tcW w:w="140" w:type="dxa"/>
            <w:vAlign w:val="bottom"/>
          </w:tcPr>
          <w:p>
            <w:pPr>
              <w:spacing w:after="0"/>
              <w:rPr>
                <w:sz w:val="13"/>
                <w:szCs w:val="13"/>
                <w:color w:val="auto"/>
              </w:rPr>
            </w:pPr>
          </w:p>
        </w:tc>
        <w:tc>
          <w:tcPr>
            <w:tcW w:w="780" w:type="dxa"/>
            <w:vAlign w:val="bottom"/>
            <w:tcBorders>
              <w:bottom w:val="single" w:sz="8" w:color="auto"/>
            </w:tcBorders>
          </w:tcPr>
          <w:p>
            <w:pPr>
              <w:jc w:val="right"/>
              <w:ind w:right="19"/>
              <w:spacing w:after="0" w:line="160" w:lineRule="exact"/>
              <w:rPr>
                <w:sz w:val="20"/>
                <w:szCs w:val="20"/>
                <w:color w:val="auto"/>
              </w:rPr>
            </w:pPr>
            <w:r>
              <w:rPr>
                <w:rFonts w:ascii="Arial" w:cs="Arial" w:eastAsia="Arial" w:hAnsi="Arial"/>
                <w:sz w:val="11"/>
                <w:szCs w:val="11"/>
                <w:b w:val="1"/>
                <w:bCs w:val="1"/>
                <w:color w:val="auto"/>
                <w:w w:val="98"/>
              </w:rPr>
              <w:t>Awards</w:t>
            </w:r>
            <w:r>
              <w:rPr>
                <w:rFonts w:ascii="Arial" w:cs="Arial" w:eastAsia="Arial" w:hAnsi="Arial"/>
                <w:sz w:val="18"/>
                <w:szCs w:val="18"/>
                <w:b w:val="1"/>
                <w:bCs w:val="1"/>
                <w:color w:val="auto"/>
                <w:w w:val="98"/>
                <w:vertAlign w:val="superscript"/>
              </w:rPr>
              <w:t>(1)(2)</w:t>
            </w:r>
          </w:p>
        </w:tc>
        <w:tc>
          <w:tcPr>
            <w:tcW w:w="140" w:type="dxa"/>
            <w:vAlign w:val="bottom"/>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93"/>
              </w:rPr>
              <w:t>Compensation</w:t>
            </w:r>
          </w:p>
        </w:tc>
        <w:tc>
          <w:tcPr>
            <w:tcW w:w="160" w:type="dxa"/>
            <w:vAlign w:val="bottom"/>
          </w:tcPr>
          <w:p>
            <w:pPr>
              <w:spacing w:after="0"/>
              <w:rPr>
                <w:sz w:val="13"/>
                <w:szCs w:val="13"/>
                <w:color w:val="auto"/>
              </w:rPr>
            </w:pPr>
          </w:p>
        </w:tc>
        <w:tc>
          <w:tcPr>
            <w:tcW w:w="980" w:type="dxa"/>
            <w:vAlign w:val="bottom"/>
            <w:tcBorders>
              <w:bottom w:val="single" w:sz="8" w:color="auto"/>
            </w:tcBorders>
          </w:tcPr>
          <w:p>
            <w:pPr>
              <w:jc w:val="right"/>
              <w:ind w:right="1"/>
              <w:spacing w:after="0" w:line="160" w:lineRule="exact"/>
              <w:rPr>
                <w:sz w:val="20"/>
                <w:szCs w:val="20"/>
                <w:color w:val="auto"/>
              </w:rPr>
            </w:pPr>
            <w:r>
              <w:rPr>
                <w:rFonts w:ascii="Arial" w:cs="Arial" w:eastAsia="Arial" w:hAnsi="Arial"/>
                <w:sz w:val="11"/>
                <w:szCs w:val="11"/>
                <w:b w:val="1"/>
                <w:bCs w:val="1"/>
                <w:color w:val="auto"/>
                <w:w w:val="98"/>
              </w:rPr>
              <w:t>Compensation</w:t>
            </w:r>
            <w:r>
              <w:rPr>
                <w:rFonts w:ascii="Arial" w:cs="Arial" w:eastAsia="Arial" w:hAnsi="Arial"/>
                <w:sz w:val="18"/>
                <w:szCs w:val="18"/>
                <w:b w:val="1"/>
                <w:bCs w:val="1"/>
                <w:color w:val="auto"/>
                <w:w w:val="98"/>
                <w:vertAlign w:val="superscript"/>
              </w:rPr>
              <w:t>(3)</w:t>
            </w:r>
          </w:p>
        </w:tc>
        <w:tc>
          <w:tcPr>
            <w:tcW w:w="160" w:type="dxa"/>
            <w:vAlign w:val="bottom"/>
          </w:tcPr>
          <w:p>
            <w:pPr>
              <w:spacing w:after="0"/>
              <w:rPr>
                <w:sz w:val="13"/>
                <w:szCs w:val="13"/>
                <w:color w:val="auto"/>
              </w:rPr>
            </w:pPr>
          </w:p>
        </w:tc>
        <w:tc>
          <w:tcPr>
            <w:tcW w:w="62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53"/>
        </w:trPr>
        <w:tc>
          <w:tcPr>
            <w:tcW w:w="33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Michael J. Kasbar</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2017</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$900,000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$1,999,985</w:t>
            </w:r>
          </w:p>
        </w:tc>
        <w:tc>
          <w:tcPr>
            <w:tcW w:w="920" w:type="dxa"/>
            <w:vAlign w:val="bottom"/>
            <w:gridSpan w:val="2"/>
            <w:shd w:val="clear" w:color="auto" w:fill="CCEEFF"/>
          </w:tcPr>
          <w:p>
            <w:pPr>
              <w:jc w:val="right"/>
              <w:spacing w:after="0" w:line="153" w:lineRule="exact"/>
              <w:rPr>
                <w:sz w:val="20"/>
                <w:szCs w:val="20"/>
                <w:color w:val="auto"/>
              </w:rPr>
            </w:pPr>
            <w:r>
              <w:rPr>
                <w:rFonts w:ascii="Arial" w:cs="Arial" w:eastAsia="Arial" w:hAnsi="Arial"/>
                <w:sz w:val="11"/>
                <w:szCs w:val="11"/>
                <w:color w:val="auto"/>
              </w:rPr>
              <w:t>$1,999,993</w:t>
            </w:r>
            <w:r>
              <w:rPr>
                <w:rFonts w:ascii="Arial" w:cs="Arial" w:eastAsia="Arial" w:hAnsi="Arial"/>
                <w:sz w:val="17"/>
                <w:szCs w:val="17"/>
                <w:color w:val="auto"/>
                <w:vertAlign w:val="superscript"/>
              </w:rPr>
              <w:t>(4)</w:t>
            </w:r>
          </w:p>
        </w:tc>
        <w:tc>
          <w:tcPr>
            <w:tcW w:w="980" w:type="dxa"/>
            <w:vAlign w:val="bottom"/>
            <w:gridSpan w:val="2"/>
            <w:shd w:val="clear" w:color="auto" w:fill="CCEEFF"/>
          </w:tcPr>
          <w:p>
            <w:pPr>
              <w:jc w:val="right"/>
              <w:spacing w:after="0" w:line="153" w:lineRule="exact"/>
              <w:rPr>
                <w:sz w:val="20"/>
                <w:szCs w:val="20"/>
                <w:color w:val="auto"/>
              </w:rPr>
            </w:pPr>
            <w:r>
              <w:rPr>
                <w:rFonts w:ascii="Arial" w:cs="Arial" w:eastAsia="Arial" w:hAnsi="Arial"/>
                <w:sz w:val="11"/>
                <w:szCs w:val="11"/>
                <w:color w:val="auto"/>
              </w:rPr>
              <w:t>$562,500</w:t>
            </w:r>
            <w:r>
              <w:rPr>
                <w:rFonts w:ascii="Arial" w:cs="Arial" w:eastAsia="Arial" w:hAnsi="Arial"/>
                <w:sz w:val="17"/>
                <w:szCs w:val="17"/>
                <w:color w:val="auto"/>
                <w:vertAlign w:val="superscript"/>
              </w:rPr>
              <w:t>(5)</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$45,902</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$5,508,381</w:t>
            </w:r>
          </w:p>
        </w:tc>
        <w:tc>
          <w:tcPr>
            <w:tcW w:w="0" w:type="dxa"/>
            <w:vAlign w:val="bottom"/>
          </w:tcPr>
          <w:p>
            <w:pPr>
              <w:spacing w:after="0"/>
              <w:rPr>
                <w:sz w:val="1"/>
                <w:szCs w:val="1"/>
                <w:color w:val="auto"/>
              </w:rPr>
            </w:pPr>
          </w:p>
        </w:tc>
      </w:tr>
      <w:tr>
        <w:trPr>
          <w:trHeight w:val="136"/>
        </w:trPr>
        <w:tc>
          <w:tcPr>
            <w:tcW w:w="3320" w:type="dxa"/>
            <w:vAlign w:val="bottom"/>
            <w:gridSpan w:val="2"/>
            <w:shd w:val="clear" w:color="auto" w:fill="CCEEFF"/>
          </w:tcPr>
          <w:p>
            <w:pPr>
              <w:ind w:left="140"/>
              <w:spacing w:after="0" w:line="136" w:lineRule="exact"/>
              <w:rPr>
                <w:sz w:val="20"/>
                <w:szCs w:val="20"/>
                <w:color w:val="auto"/>
              </w:rPr>
            </w:pPr>
            <w:r>
              <w:rPr>
                <w:rFonts w:ascii="Arial" w:cs="Arial" w:eastAsia="Arial" w:hAnsi="Arial"/>
                <w:sz w:val="12"/>
                <w:szCs w:val="12"/>
                <w:i w:val="1"/>
                <w:iCs w:val="1"/>
                <w:color w:val="auto"/>
              </w:rPr>
              <w:t>Chairman, President and</w:t>
            </w: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2016</w:t>
            </w:r>
          </w:p>
        </w:tc>
        <w:tc>
          <w:tcPr>
            <w:tcW w:w="78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875,100</w:t>
            </w:r>
          </w:p>
        </w:tc>
        <w:tc>
          <w:tcPr>
            <w:tcW w:w="90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1,999,990</w:t>
            </w:r>
          </w:p>
        </w:tc>
        <w:tc>
          <w:tcPr>
            <w:tcW w:w="92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1,232,000</w:t>
            </w:r>
          </w:p>
        </w:tc>
        <w:tc>
          <w:tcPr>
            <w:tcW w:w="98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450,000</w:t>
            </w:r>
          </w:p>
        </w:tc>
        <w:tc>
          <w:tcPr>
            <w:tcW w:w="114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61,599</w:t>
            </w:r>
          </w:p>
        </w:tc>
        <w:tc>
          <w:tcPr>
            <w:tcW w:w="78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4,618,689</w:t>
            </w:r>
          </w:p>
        </w:tc>
        <w:tc>
          <w:tcPr>
            <w:tcW w:w="0" w:type="dxa"/>
            <w:vAlign w:val="bottom"/>
          </w:tcPr>
          <w:p>
            <w:pPr>
              <w:spacing w:after="0"/>
              <w:rPr>
                <w:sz w:val="1"/>
                <w:szCs w:val="1"/>
                <w:color w:val="auto"/>
              </w:rPr>
            </w:pPr>
          </w:p>
        </w:tc>
      </w:tr>
      <w:tr>
        <w:trPr>
          <w:trHeight w:val="136"/>
        </w:trPr>
        <w:tc>
          <w:tcPr>
            <w:tcW w:w="3320" w:type="dxa"/>
            <w:vAlign w:val="bottom"/>
            <w:gridSpan w:val="2"/>
            <w:shd w:val="clear" w:color="auto" w:fill="CCEEFF"/>
          </w:tcPr>
          <w:p>
            <w:pPr>
              <w:ind w:left="140"/>
              <w:spacing w:after="0" w:line="136" w:lineRule="exact"/>
              <w:rPr>
                <w:sz w:val="20"/>
                <w:szCs w:val="20"/>
                <w:color w:val="auto"/>
              </w:rPr>
            </w:pPr>
            <w:r>
              <w:rPr>
                <w:rFonts w:ascii="Arial" w:cs="Arial" w:eastAsia="Arial" w:hAnsi="Arial"/>
                <w:sz w:val="12"/>
                <w:szCs w:val="12"/>
                <w:i w:val="1"/>
                <w:iCs w:val="1"/>
                <w:color w:val="auto"/>
              </w:rPr>
              <w:t>Chief Executive Officer</w:t>
            </w: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2015</w:t>
            </w:r>
          </w:p>
        </w:tc>
        <w:tc>
          <w:tcPr>
            <w:tcW w:w="78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750,000</w:t>
            </w:r>
          </w:p>
        </w:tc>
        <w:tc>
          <w:tcPr>
            <w:tcW w:w="90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436,208</w:t>
            </w:r>
          </w:p>
        </w:tc>
        <w:tc>
          <w:tcPr>
            <w:tcW w:w="92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221,700</w:t>
            </w:r>
          </w:p>
        </w:tc>
        <w:tc>
          <w:tcPr>
            <w:tcW w:w="98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650,000</w:t>
            </w:r>
          </w:p>
        </w:tc>
        <w:tc>
          <w:tcPr>
            <w:tcW w:w="114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54,883</w:t>
            </w:r>
          </w:p>
        </w:tc>
        <w:tc>
          <w:tcPr>
            <w:tcW w:w="78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2,112,792</w:t>
            </w:r>
          </w:p>
        </w:tc>
        <w:tc>
          <w:tcPr>
            <w:tcW w:w="0" w:type="dxa"/>
            <w:vAlign w:val="bottom"/>
          </w:tcPr>
          <w:p>
            <w:pPr>
              <w:spacing w:after="0"/>
              <w:rPr>
                <w:sz w:val="1"/>
                <w:szCs w:val="1"/>
                <w:color w:val="auto"/>
              </w:rPr>
            </w:pPr>
          </w:p>
        </w:tc>
      </w:tr>
      <w:tr>
        <w:trPr>
          <w:trHeight w:val="287"/>
        </w:trPr>
        <w:tc>
          <w:tcPr>
            <w:tcW w:w="3320" w:type="dxa"/>
            <w:vAlign w:val="bottom"/>
            <w:gridSpan w:val="2"/>
          </w:tcPr>
          <w:p>
            <w:pPr>
              <w:spacing w:after="0"/>
              <w:rPr>
                <w:sz w:val="20"/>
                <w:szCs w:val="20"/>
                <w:color w:val="auto"/>
              </w:rPr>
            </w:pPr>
            <w:r>
              <w:rPr>
                <w:rFonts w:ascii="Arial" w:cs="Arial" w:eastAsia="Arial" w:hAnsi="Arial"/>
                <w:sz w:val="12"/>
                <w:szCs w:val="12"/>
                <w:color w:val="auto"/>
              </w:rPr>
              <w:t>Ira M. Birns</w:t>
            </w:r>
          </w:p>
        </w:tc>
        <w:tc>
          <w:tcPr>
            <w:tcW w:w="440" w:type="dxa"/>
            <w:vAlign w:val="bottom"/>
            <w:gridSpan w:val="2"/>
          </w:tcPr>
          <w:p>
            <w:pPr>
              <w:jc w:val="right"/>
              <w:spacing w:after="0"/>
              <w:rPr>
                <w:sz w:val="20"/>
                <w:szCs w:val="20"/>
                <w:color w:val="auto"/>
              </w:rPr>
            </w:pPr>
            <w:r>
              <w:rPr>
                <w:rFonts w:ascii="Arial" w:cs="Arial" w:eastAsia="Arial" w:hAnsi="Arial"/>
                <w:sz w:val="12"/>
                <w:szCs w:val="12"/>
                <w:color w:val="auto"/>
              </w:rPr>
              <w:t>2017</w:t>
            </w:r>
          </w:p>
        </w:tc>
        <w:tc>
          <w:tcPr>
            <w:tcW w:w="780" w:type="dxa"/>
            <w:vAlign w:val="bottom"/>
            <w:gridSpan w:val="2"/>
          </w:tcPr>
          <w:p>
            <w:pPr>
              <w:jc w:val="right"/>
              <w:spacing w:after="0"/>
              <w:rPr>
                <w:sz w:val="20"/>
                <w:szCs w:val="20"/>
                <w:color w:val="auto"/>
              </w:rPr>
            </w:pPr>
            <w:r>
              <w:rPr>
                <w:rFonts w:ascii="Arial" w:cs="Arial" w:eastAsia="Arial" w:hAnsi="Arial"/>
                <w:sz w:val="12"/>
                <w:szCs w:val="12"/>
                <w:color w:val="auto"/>
              </w:rPr>
              <w:t>600,000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750,013</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400,000</w:t>
            </w:r>
          </w:p>
        </w:tc>
        <w:tc>
          <w:tcPr>
            <w:tcW w:w="980" w:type="dxa"/>
            <w:vAlign w:val="bottom"/>
            <w:gridSpan w:val="2"/>
          </w:tcPr>
          <w:p>
            <w:pPr>
              <w:jc w:val="right"/>
              <w:spacing w:after="0"/>
              <w:rPr>
                <w:sz w:val="20"/>
                <w:szCs w:val="20"/>
                <w:color w:val="auto"/>
              </w:rPr>
            </w:pPr>
            <w:r>
              <w:rPr>
                <w:rFonts w:ascii="Arial" w:cs="Arial" w:eastAsia="Arial" w:hAnsi="Arial"/>
                <w:sz w:val="12"/>
                <w:szCs w:val="12"/>
                <w:color w:val="auto"/>
              </w:rPr>
              <w:t>225,000</w:t>
            </w:r>
            <w:r>
              <w:rPr>
                <w:rFonts w:ascii="Arial" w:cs="Arial" w:eastAsia="Arial" w:hAnsi="Arial"/>
                <w:sz w:val="20"/>
                <w:szCs w:val="20"/>
                <w:color w:val="auto"/>
                <w:vertAlign w:val="superscript"/>
              </w:rPr>
              <w:t>(5)</w:t>
            </w:r>
          </w:p>
        </w:tc>
        <w:tc>
          <w:tcPr>
            <w:tcW w:w="1140" w:type="dxa"/>
            <w:vAlign w:val="bottom"/>
            <w:gridSpan w:val="2"/>
          </w:tcPr>
          <w:p>
            <w:pPr>
              <w:jc w:val="right"/>
              <w:spacing w:after="0"/>
              <w:rPr>
                <w:sz w:val="20"/>
                <w:szCs w:val="20"/>
                <w:color w:val="auto"/>
              </w:rPr>
            </w:pPr>
            <w:r>
              <w:rPr>
                <w:rFonts w:ascii="Arial" w:cs="Arial" w:eastAsia="Arial" w:hAnsi="Arial"/>
                <w:sz w:val="12"/>
                <w:szCs w:val="12"/>
                <w:color w:val="auto"/>
              </w:rPr>
              <w:t>26,943</w:t>
            </w:r>
          </w:p>
        </w:tc>
        <w:tc>
          <w:tcPr>
            <w:tcW w:w="780" w:type="dxa"/>
            <w:vAlign w:val="bottom"/>
            <w:gridSpan w:val="2"/>
          </w:tcPr>
          <w:p>
            <w:pPr>
              <w:jc w:val="right"/>
              <w:spacing w:after="0"/>
              <w:rPr>
                <w:sz w:val="20"/>
                <w:szCs w:val="20"/>
                <w:color w:val="auto"/>
              </w:rPr>
            </w:pPr>
            <w:r>
              <w:rPr>
                <w:rFonts w:ascii="Arial" w:cs="Arial" w:eastAsia="Arial" w:hAnsi="Arial"/>
                <w:sz w:val="12"/>
                <w:szCs w:val="12"/>
                <w:color w:val="auto"/>
              </w:rPr>
              <w:t>2,001,956</w:t>
            </w:r>
          </w:p>
        </w:tc>
        <w:tc>
          <w:tcPr>
            <w:tcW w:w="0" w:type="dxa"/>
            <w:vAlign w:val="bottom"/>
          </w:tcPr>
          <w:p>
            <w:pPr>
              <w:spacing w:after="0"/>
              <w:rPr>
                <w:sz w:val="1"/>
                <w:szCs w:val="1"/>
                <w:color w:val="auto"/>
              </w:rPr>
            </w:pPr>
          </w:p>
        </w:tc>
      </w:tr>
      <w:tr>
        <w:trPr>
          <w:trHeight w:val="136"/>
        </w:trPr>
        <w:tc>
          <w:tcPr>
            <w:tcW w:w="3320" w:type="dxa"/>
            <w:vAlign w:val="bottom"/>
            <w:gridSpan w:val="2"/>
          </w:tcPr>
          <w:p>
            <w:pPr>
              <w:ind w:left="140"/>
              <w:spacing w:after="0" w:line="136" w:lineRule="exact"/>
              <w:rPr>
                <w:sz w:val="20"/>
                <w:szCs w:val="20"/>
                <w:color w:val="auto"/>
              </w:rPr>
            </w:pPr>
            <w:r>
              <w:rPr>
                <w:rFonts w:ascii="Arial" w:cs="Arial" w:eastAsia="Arial" w:hAnsi="Arial"/>
                <w:sz w:val="12"/>
                <w:szCs w:val="12"/>
                <w:i w:val="1"/>
                <w:iCs w:val="1"/>
                <w:color w:val="auto"/>
              </w:rPr>
              <w:t>Executive Vice President</w:t>
            </w:r>
          </w:p>
        </w:tc>
        <w:tc>
          <w:tcPr>
            <w:tcW w:w="440" w:type="dxa"/>
            <w:vAlign w:val="bottom"/>
            <w:gridSpan w:val="2"/>
          </w:tcPr>
          <w:p>
            <w:pPr>
              <w:jc w:val="right"/>
              <w:spacing w:after="0" w:line="136" w:lineRule="exact"/>
              <w:rPr>
                <w:sz w:val="20"/>
                <w:szCs w:val="20"/>
                <w:color w:val="auto"/>
              </w:rPr>
            </w:pPr>
            <w:r>
              <w:rPr>
                <w:rFonts w:ascii="Arial" w:cs="Arial" w:eastAsia="Arial" w:hAnsi="Arial"/>
                <w:sz w:val="12"/>
                <w:szCs w:val="12"/>
                <w:color w:val="auto"/>
              </w:rPr>
              <w:t>2016</w:t>
            </w:r>
          </w:p>
        </w:tc>
        <w:tc>
          <w:tcPr>
            <w:tcW w:w="780" w:type="dxa"/>
            <w:vAlign w:val="bottom"/>
            <w:gridSpan w:val="2"/>
          </w:tcPr>
          <w:p>
            <w:pPr>
              <w:jc w:val="right"/>
              <w:spacing w:after="0" w:line="136" w:lineRule="exact"/>
              <w:rPr>
                <w:sz w:val="20"/>
                <w:szCs w:val="20"/>
                <w:color w:val="auto"/>
              </w:rPr>
            </w:pPr>
            <w:r>
              <w:rPr>
                <w:rFonts w:ascii="Arial" w:cs="Arial" w:eastAsia="Arial" w:hAnsi="Arial"/>
                <w:sz w:val="12"/>
                <w:szCs w:val="12"/>
                <w:color w:val="auto"/>
              </w:rPr>
              <w:t>583,400</w:t>
            </w:r>
          </w:p>
        </w:tc>
        <w:tc>
          <w:tcPr>
            <w:tcW w:w="900" w:type="dxa"/>
            <w:vAlign w:val="bottom"/>
            <w:gridSpan w:val="2"/>
          </w:tcPr>
          <w:p>
            <w:pPr>
              <w:jc w:val="right"/>
              <w:spacing w:after="0" w:line="136" w:lineRule="exact"/>
              <w:rPr>
                <w:sz w:val="20"/>
                <w:szCs w:val="20"/>
                <w:color w:val="auto"/>
              </w:rPr>
            </w:pPr>
            <w:r>
              <w:rPr>
                <w:rFonts w:ascii="Arial" w:cs="Arial" w:eastAsia="Arial" w:hAnsi="Arial"/>
                <w:sz w:val="12"/>
                <w:szCs w:val="12"/>
                <w:color w:val="auto"/>
              </w:rPr>
              <w:t>1,000,019</w:t>
            </w:r>
          </w:p>
        </w:tc>
        <w:tc>
          <w:tcPr>
            <w:tcW w:w="140" w:type="dxa"/>
            <w:vAlign w:val="bottom"/>
          </w:tcPr>
          <w:p>
            <w:pPr>
              <w:spacing w:after="0"/>
              <w:rPr>
                <w:sz w:val="11"/>
                <w:szCs w:val="11"/>
                <w:color w:val="auto"/>
              </w:rPr>
            </w:pPr>
          </w:p>
        </w:tc>
        <w:tc>
          <w:tcPr>
            <w:tcW w:w="78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980" w:type="dxa"/>
            <w:vAlign w:val="bottom"/>
            <w:gridSpan w:val="2"/>
          </w:tcPr>
          <w:p>
            <w:pPr>
              <w:jc w:val="right"/>
              <w:spacing w:after="0" w:line="136" w:lineRule="exact"/>
              <w:rPr>
                <w:sz w:val="20"/>
                <w:szCs w:val="20"/>
                <w:color w:val="auto"/>
              </w:rPr>
            </w:pPr>
            <w:r>
              <w:rPr>
                <w:rFonts w:ascii="Arial" w:cs="Arial" w:eastAsia="Arial" w:hAnsi="Arial"/>
                <w:sz w:val="12"/>
                <w:szCs w:val="12"/>
                <w:color w:val="auto"/>
              </w:rPr>
              <w:t>180,000</w:t>
            </w:r>
          </w:p>
        </w:tc>
        <w:tc>
          <w:tcPr>
            <w:tcW w:w="1140" w:type="dxa"/>
            <w:vAlign w:val="bottom"/>
            <w:gridSpan w:val="2"/>
          </w:tcPr>
          <w:p>
            <w:pPr>
              <w:jc w:val="right"/>
              <w:spacing w:after="0" w:line="136" w:lineRule="exact"/>
              <w:rPr>
                <w:sz w:val="20"/>
                <w:szCs w:val="20"/>
                <w:color w:val="auto"/>
              </w:rPr>
            </w:pPr>
            <w:r>
              <w:rPr>
                <w:rFonts w:ascii="Arial" w:cs="Arial" w:eastAsia="Arial" w:hAnsi="Arial"/>
                <w:sz w:val="12"/>
                <w:szCs w:val="12"/>
                <w:color w:val="auto"/>
              </w:rPr>
              <w:t>37,178</w:t>
            </w:r>
          </w:p>
        </w:tc>
        <w:tc>
          <w:tcPr>
            <w:tcW w:w="780" w:type="dxa"/>
            <w:vAlign w:val="bottom"/>
            <w:gridSpan w:val="2"/>
          </w:tcPr>
          <w:p>
            <w:pPr>
              <w:jc w:val="right"/>
              <w:spacing w:after="0" w:line="136" w:lineRule="exact"/>
              <w:rPr>
                <w:sz w:val="20"/>
                <w:szCs w:val="20"/>
                <w:color w:val="auto"/>
              </w:rPr>
            </w:pPr>
            <w:r>
              <w:rPr>
                <w:rFonts w:ascii="Arial" w:cs="Arial" w:eastAsia="Arial" w:hAnsi="Arial"/>
                <w:sz w:val="12"/>
                <w:szCs w:val="12"/>
                <w:color w:val="auto"/>
              </w:rPr>
              <w:t>1,800,597</w:t>
            </w:r>
          </w:p>
        </w:tc>
        <w:tc>
          <w:tcPr>
            <w:tcW w:w="0" w:type="dxa"/>
            <w:vAlign w:val="bottom"/>
          </w:tcPr>
          <w:p>
            <w:pPr>
              <w:spacing w:after="0"/>
              <w:rPr>
                <w:sz w:val="1"/>
                <w:szCs w:val="1"/>
                <w:color w:val="auto"/>
              </w:rPr>
            </w:pPr>
          </w:p>
        </w:tc>
      </w:tr>
      <w:tr>
        <w:trPr>
          <w:trHeight w:val="145"/>
        </w:trPr>
        <w:tc>
          <w:tcPr>
            <w:tcW w:w="3320" w:type="dxa"/>
            <w:vAlign w:val="bottom"/>
            <w:gridSpan w:val="2"/>
          </w:tcPr>
          <w:p>
            <w:pPr>
              <w:ind w:left="140"/>
              <w:spacing w:after="0"/>
              <w:rPr>
                <w:sz w:val="20"/>
                <w:szCs w:val="20"/>
                <w:color w:val="auto"/>
              </w:rPr>
            </w:pPr>
            <w:r>
              <w:rPr>
                <w:rFonts w:ascii="Arial" w:cs="Arial" w:eastAsia="Arial" w:hAnsi="Arial"/>
                <w:sz w:val="12"/>
                <w:szCs w:val="12"/>
                <w:i w:val="1"/>
                <w:iCs w:val="1"/>
                <w:color w:val="auto"/>
              </w:rPr>
              <w:t>and Chief Financial Officer</w:t>
            </w:r>
          </w:p>
        </w:tc>
        <w:tc>
          <w:tcPr>
            <w:tcW w:w="440" w:type="dxa"/>
            <w:vAlign w:val="bottom"/>
            <w:gridSpan w:val="2"/>
          </w:tcPr>
          <w:p>
            <w:pPr>
              <w:jc w:val="right"/>
              <w:spacing w:after="0"/>
              <w:rPr>
                <w:sz w:val="20"/>
                <w:szCs w:val="20"/>
                <w:color w:val="auto"/>
              </w:rPr>
            </w:pPr>
            <w:r>
              <w:rPr>
                <w:rFonts w:ascii="Arial" w:cs="Arial" w:eastAsia="Arial" w:hAnsi="Arial"/>
                <w:sz w:val="12"/>
                <w:szCs w:val="12"/>
                <w:color w:val="auto"/>
              </w:rPr>
              <w:t>2015</w:t>
            </w:r>
          </w:p>
        </w:tc>
        <w:tc>
          <w:tcPr>
            <w:tcW w:w="780" w:type="dxa"/>
            <w:vAlign w:val="bottom"/>
            <w:gridSpan w:val="2"/>
          </w:tcPr>
          <w:p>
            <w:pPr>
              <w:jc w:val="right"/>
              <w:spacing w:after="0"/>
              <w:rPr>
                <w:sz w:val="20"/>
                <w:szCs w:val="20"/>
                <w:color w:val="auto"/>
              </w:rPr>
            </w:pPr>
            <w:r>
              <w:rPr>
                <w:rFonts w:ascii="Arial" w:cs="Arial" w:eastAsia="Arial" w:hAnsi="Arial"/>
                <w:sz w:val="12"/>
                <w:szCs w:val="12"/>
                <w:color w:val="auto"/>
              </w:rPr>
              <w:t>500,000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184,102</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88,680</w:t>
            </w:r>
          </w:p>
        </w:tc>
        <w:tc>
          <w:tcPr>
            <w:tcW w:w="980" w:type="dxa"/>
            <w:vAlign w:val="bottom"/>
            <w:gridSpan w:val="2"/>
          </w:tcPr>
          <w:p>
            <w:pPr>
              <w:jc w:val="right"/>
              <w:spacing w:after="0"/>
              <w:rPr>
                <w:sz w:val="20"/>
                <w:szCs w:val="20"/>
                <w:color w:val="auto"/>
              </w:rPr>
            </w:pPr>
            <w:r>
              <w:rPr>
                <w:rFonts w:ascii="Arial" w:cs="Arial" w:eastAsia="Arial" w:hAnsi="Arial"/>
                <w:sz w:val="12"/>
                <w:szCs w:val="12"/>
                <w:color w:val="auto"/>
              </w:rPr>
              <w:t>250,000</w:t>
            </w:r>
          </w:p>
        </w:tc>
        <w:tc>
          <w:tcPr>
            <w:tcW w:w="1140" w:type="dxa"/>
            <w:vAlign w:val="bottom"/>
            <w:gridSpan w:val="2"/>
          </w:tcPr>
          <w:p>
            <w:pPr>
              <w:jc w:val="right"/>
              <w:spacing w:after="0"/>
              <w:rPr>
                <w:sz w:val="20"/>
                <w:szCs w:val="20"/>
                <w:color w:val="auto"/>
              </w:rPr>
            </w:pPr>
            <w:r>
              <w:rPr>
                <w:rFonts w:ascii="Arial" w:cs="Arial" w:eastAsia="Arial" w:hAnsi="Arial"/>
                <w:sz w:val="12"/>
                <w:szCs w:val="12"/>
                <w:color w:val="auto"/>
              </w:rPr>
              <w:t>35,527</w:t>
            </w:r>
          </w:p>
        </w:tc>
        <w:tc>
          <w:tcPr>
            <w:tcW w:w="780" w:type="dxa"/>
            <w:vAlign w:val="bottom"/>
            <w:gridSpan w:val="2"/>
          </w:tcPr>
          <w:p>
            <w:pPr>
              <w:jc w:val="right"/>
              <w:spacing w:after="0"/>
              <w:rPr>
                <w:sz w:val="20"/>
                <w:szCs w:val="20"/>
                <w:color w:val="auto"/>
              </w:rPr>
            </w:pPr>
            <w:r>
              <w:rPr>
                <w:rFonts w:ascii="Arial" w:cs="Arial" w:eastAsia="Arial" w:hAnsi="Arial"/>
                <w:sz w:val="12"/>
                <w:szCs w:val="12"/>
                <w:color w:val="auto"/>
              </w:rPr>
              <w:t>1,058,309</w:t>
            </w:r>
          </w:p>
        </w:tc>
        <w:tc>
          <w:tcPr>
            <w:tcW w:w="0" w:type="dxa"/>
            <w:vAlign w:val="bottom"/>
          </w:tcPr>
          <w:p>
            <w:pPr>
              <w:spacing w:after="0"/>
              <w:rPr>
                <w:sz w:val="1"/>
                <w:szCs w:val="1"/>
                <w:color w:val="auto"/>
              </w:rPr>
            </w:pPr>
          </w:p>
        </w:tc>
      </w:tr>
      <w:tr>
        <w:trPr>
          <w:trHeight w:val="296"/>
        </w:trPr>
        <w:tc>
          <w:tcPr>
            <w:tcW w:w="33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Jeffrey P. Smith</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2017</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118,077</w:t>
            </w:r>
            <w:r>
              <w:rPr>
                <w:rFonts w:ascii="Arial" w:cs="Arial" w:eastAsia="Arial" w:hAnsi="Arial"/>
                <w:sz w:val="20"/>
                <w:szCs w:val="20"/>
                <w:color w:val="auto"/>
                <w:vertAlign w:val="superscript"/>
              </w:rPr>
              <w:t>(6)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2,999,985</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25,585</w:t>
            </w:r>
            <w:r>
              <w:rPr>
                <w:rFonts w:ascii="Arial" w:cs="Arial" w:eastAsia="Arial" w:hAnsi="Arial"/>
                <w:sz w:val="20"/>
                <w:szCs w:val="20"/>
                <w:color w:val="auto"/>
                <w:vertAlign w:val="superscript"/>
              </w:rPr>
              <w:t>(7)</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3,143,648</w:t>
            </w:r>
          </w:p>
        </w:tc>
        <w:tc>
          <w:tcPr>
            <w:tcW w:w="0" w:type="dxa"/>
            <w:vAlign w:val="bottom"/>
          </w:tcPr>
          <w:p>
            <w:pPr>
              <w:spacing w:after="0"/>
              <w:rPr>
                <w:sz w:val="1"/>
                <w:szCs w:val="1"/>
                <w:color w:val="auto"/>
              </w:rPr>
            </w:pPr>
          </w:p>
        </w:tc>
      </w:tr>
      <w:tr>
        <w:trPr>
          <w:trHeight w:val="136"/>
        </w:trPr>
        <w:tc>
          <w:tcPr>
            <w:tcW w:w="3320" w:type="dxa"/>
            <w:vAlign w:val="bottom"/>
            <w:gridSpan w:val="2"/>
            <w:shd w:val="clear" w:color="auto" w:fill="CCEEFF"/>
          </w:tcPr>
          <w:p>
            <w:pPr>
              <w:ind w:left="140"/>
              <w:spacing w:after="0" w:line="136" w:lineRule="exact"/>
              <w:rPr>
                <w:sz w:val="20"/>
                <w:szCs w:val="20"/>
                <w:color w:val="auto"/>
              </w:rPr>
            </w:pPr>
            <w:r>
              <w:rPr>
                <w:rFonts w:ascii="Arial" w:cs="Arial" w:eastAsia="Arial" w:hAnsi="Arial"/>
                <w:sz w:val="12"/>
                <w:szCs w:val="12"/>
                <w:i w:val="1"/>
                <w:iCs w:val="1"/>
                <w:color w:val="auto"/>
              </w:rPr>
              <w:t>Executive Vice President</w:t>
            </w: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320" w:type="dxa"/>
            <w:vAlign w:val="bottom"/>
            <w:gridSpan w:val="2"/>
            <w:shd w:val="clear" w:color="auto" w:fill="CCEEFF"/>
          </w:tcPr>
          <w:p>
            <w:pPr>
              <w:ind w:left="140"/>
              <w:spacing w:after="0" w:line="136" w:lineRule="exact"/>
              <w:rPr>
                <w:sz w:val="20"/>
                <w:szCs w:val="20"/>
                <w:color w:val="auto"/>
              </w:rPr>
            </w:pPr>
            <w:r>
              <w:rPr>
                <w:rFonts w:ascii="Arial" w:cs="Arial" w:eastAsia="Arial" w:hAnsi="Arial"/>
                <w:sz w:val="12"/>
                <w:szCs w:val="12"/>
                <w:i w:val="1"/>
                <w:iCs w:val="1"/>
                <w:color w:val="auto"/>
              </w:rPr>
              <w:t>and Chief Operating Officer</w:t>
            </w: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87"/>
        </w:trPr>
        <w:tc>
          <w:tcPr>
            <w:tcW w:w="3320" w:type="dxa"/>
            <w:vAlign w:val="bottom"/>
            <w:gridSpan w:val="2"/>
          </w:tcPr>
          <w:p>
            <w:pPr>
              <w:spacing w:after="0"/>
              <w:rPr>
                <w:sz w:val="20"/>
                <w:szCs w:val="20"/>
                <w:color w:val="auto"/>
              </w:rPr>
            </w:pPr>
            <w:r>
              <w:rPr>
                <w:rFonts w:ascii="Arial" w:cs="Arial" w:eastAsia="Arial" w:hAnsi="Arial"/>
                <w:sz w:val="12"/>
                <w:szCs w:val="12"/>
                <w:color w:val="auto"/>
              </w:rPr>
              <w:t>Michael J. Crosby</w:t>
            </w:r>
          </w:p>
        </w:tc>
        <w:tc>
          <w:tcPr>
            <w:tcW w:w="440" w:type="dxa"/>
            <w:vAlign w:val="bottom"/>
            <w:gridSpan w:val="2"/>
          </w:tcPr>
          <w:p>
            <w:pPr>
              <w:jc w:val="right"/>
              <w:spacing w:after="0"/>
              <w:rPr>
                <w:sz w:val="20"/>
                <w:szCs w:val="20"/>
                <w:color w:val="auto"/>
              </w:rPr>
            </w:pPr>
            <w:r>
              <w:rPr>
                <w:rFonts w:ascii="Arial" w:cs="Arial" w:eastAsia="Arial" w:hAnsi="Arial"/>
                <w:sz w:val="12"/>
                <w:szCs w:val="12"/>
                <w:color w:val="auto"/>
              </w:rPr>
              <w:t>2017</w:t>
            </w:r>
          </w:p>
        </w:tc>
        <w:tc>
          <w:tcPr>
            <w:tcW w:w="780" w:type="dxa"/>
            <w:vAlign w:val="bottom"/>
            <w:gridSpan w:val="2"/>
          </w:tcPr>
          <w:p>
            <w:pPr>
              <w:jc w:val="right"/>
              <w:spacing w:after="0"/>
              <w:rPr>
                <w:sz w:val="20"/>
                <w:szCs w:val="20"/>
                <w:color w:val="auto"/>
              </w:rPr>
            </w:pPr>
            <w:r>
              <w:rPr>
                <w:rFonts w:ascii="Arial" w:cs="Arial" w:eastAsia="Arial" w:hAnsi="Arial"/>
                <w:sz w:val="12"/>
                <w:szCs w:val="12"/>
                <w:color w:val="auto"/>
              </w:rPr>
              <w:t>500,000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999,993</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250,001</w:t>
            </w:r>
          </w:p>
        </w:tc>
        <w:tc>
          <w:tcPr>
            <w:tcW w:w="980" w:type="dxa"/>
            <w:vAlign w:val="bottom"/>
            <w:gridSpan w:val="2"/>
          </w:tcPr>
          <w:p>
            <w:pPr>
              <w:jc w:val="right"/>
              <w:spacing w:after="0"/>
              <w:rPr>
                <w:sz w:val="20"/>
                <w:szCs w:val="20"/>
                <w:color w:val="auto"/>
              </w:rPr>
            </w:pPr>
            <w:r>
              <w:rPr>
                <w:rFonts w:ascii="Arial" w:cs="Arial" w:eastAsia="Arial" w:hAnsi="Arial"/>
                <w:sz w:val="12"/>
                <w:szCs w:val="12"/>
                <w:color w:val="auto"/>
              </w:rPr>
              <w:t>200,000</w:t>
            </w:r>
            <w:r>
              <w:rPr>
                <w:rFonts w:ascii="Arial" w:cs="Arial" w:eastAsia="Arial" w:hAnsi="Arial"/>
                <w:sz w:val="20"/>
                <w:szCs w:val="20"/>
                <w:color w:val="auto"/>
                <w:vertAlign w:val="superscript"/>
              </w:rPr>
              <w:t>(5)(8)</w:t>
            </w:r>
          </w:p>
        </w:tc>
        <w:tc>
          <w:tcPr>
            <w:tcW w:w="1140" w:type="dxa"/>
            <w:vAlign w:val="bottom"/>
            <w:gridSpan w:val="2"/>
          </w:tcPr>
          <w:p>
            <w:pPr>
              <w:jc w:val="right"/>
              <w:spacing w:after="0"/>
              <w:rPr>
                <w:sz w:val="20"/>
                <w:szCs w:val="20"/>
                <w:color w:val="auto"/>
              </w:rPr>
            </w:pPr>
            <w:r>
              <w:rPr>
                <w:rFonts w:ascii="Arial" w:cs="Arial" w:eastAsia="Arial" w:hAnsi="Arial"/>
                <w:sz w:val="12"/>
                <w:szCs w:val="12"/>
                <w:color w:val="auto"/>
              </w:rPr>
              <w:t>21,209</w:t>
            </w:r>
          </w:p>
        </w:tc>
        <w:tc>
          <w:tcPr>
            <w:tcW w:w="780" w:type="dxa"/>
            <w:vAlign w:val="bottom"/>
            <w:gridSpan w:val="2"/>
          </w:tcPr>
          <w:p>
            <w:pPr>
              <w:jc w:val="right"/>
              <w:spacing w:after="0"/>
              <w:rPr>
                <w:sz w:val="20"/>
                <w:szCs w:val="20"/>
                <w:color w:val="auto"/>
              </w:rPr>
            </w:pPr>
            <w:r>
              <w:rPr>
                <w:rFonts w:ascii="Arial" w:cs="Arial" w:eastAsia="Arial" w:hAnsi="Arial"/>
                <w:sz w:val="12"/>
                <w:szCs w:val="12"/>
                <w:color w:val="auto"/>
              </w:rPr>
              <w:t>1,971,203</w:t>
            </w:r>
          </w:p>
        </w:tc>
        <w:tc>
          <w:tcPr>
            <w:tcW w:w="0" w:type="dxa"/>
            <w:vAlign w:val="bottom"/>
          </w:tcPr>
          <w:p>
            <w:pPr>
              <w:spacing w:after="0"/>
              <w:rPr>
                <w:sz w:val="1"/>
                <w:szCs w:val="1"/>
                <w:color w:val="auto"/>
              </w:rPr>
            </w:pPr>
          </w:p>
        </w:tc>
      </w:tr>
      <w:tr>
        <w:trPr>
          <w:trHeight w:val="136"/>
        </w:trPr>
        <w:tc>
          <w:tcPr>
            <w:tcW w:w="3320" w:type="dxa"/>
            <w:vAlign w:val="bottom"/>
            <w:gridSpan w:val="2"/>
          </w:tcPr>
          <w:p>
            <w:pPr>
              <w:ind w:left="140"/>
              <w:spacing w:after="0" w:line="136" w:lineRule="exact"/>
              <w:rPr>
                <w:sz w:val="20"/>
                <w:szCs w:val="20"/>
                <w:color w:val="auto"/>
              </w:rPr>
            </w:pPr>
            <w:r>
              <w:rPr>
                <w:rFonts w:ascii="Arial" w:cs="Arial" w:eastAsia="Arial" w:hAnsi="Arial"/>
                <w:sz w:val="12"/>
                <w:szCs w:val="12"/>
                <w:i w:val="1"/>
                <w:iCs w:val="1"/>
                <w:color w:val="auto"/>
              </w:rPr>
              <w:t>Executive Vice President,</w:t>
            </w:r>
          </w:p>
        </w:tc>
        <w:tc>
          <w:tcPr>
            <w:tcW w:w="440" w:type="dxa"/>
            <w:vAlign w:val="bottom"/>
            <w:gridSpan w:val="2"/>
          </w:tcPr>
          <w:p>
            <w:pPr>
              <w:jc w:val="right"/>
              <w:spacing w:after="0" w:line="136" w:lineRule="exact"/>
              <w:rPr>
                <w:sz w:val="20"/>
                <w:szCs w:val="20"/>
                <w:color w:val="auto"/>
              </w:rPr>
            </w:pPr>
            <w:r>
              <w:rPr>
                <w:rFonts w:ascii="Arial" w:cs="Arial" w:eastAsia="Arial" w:hAnsi="Arial"/>
                <w:sz w:val="12"/>
                <w:szCs w:val="12"/>
                <w:color w:val="auto"/>
              </w:rPr>
              <w:t>2016</w:t>
            </w:r>
          </w:p>
        </w:tc>
        <w:tc>
          <w:tcPr>
            <w:tcW w:w="780" w:type="dxa"/>
            <w:vAlign w:val="bottom"/>
            <w:gridSpan w:val="2"/>
          </w:tcPr>
          <w:p>
            <w:pPr>
              <w:jc w:val="right"/>
              <w:spacing w:after="0" w:line="136" w:lineRule="exact"/>
              <w:rPr>
                <w:sz w:val="20"/>
                <w:szCs w:val="20"/>
                <w:color w:val="auto"/>
              </w:rPr>
            </w:pPr>
            <w:r>
              <w:rPr>
                <w:rFonts w:ascii="Arial" w:cs="Arial" w:eastAsia="Arial" w:hAnsi="Arial"/>
                <w:sz w:val="12"/>
                <w:szCs w:val="12"/>
                <w:color w:val="auto"/>
              </w:rPr>
              <w:t>487,550</w:t>
            </w:r>
          </w:p>
        </w:tc>
        <w:tc>
          <w:tcPr>
            <w:tcW w:w="900" w:type="dxa"/>
            <w:vAlign w:val="bottom"/>
            <w:gridSpan w:val="2"/>
          </w:tcPr>
          <w:p>
            <w:pPr>
              <w:jc w:val="right"/>
              <w:spacing w:after="0" w:line="136" w:lineRule="exact"/>
              <w:rPr>
                <w:sz w:val="20"/>
                <w:szCs w:val="20"/>
                <w:color w:val="auto"/>
              </w:rPr>
            </w:pPr>
            <w:r>
              <w:rPr>
                <w:rFonts w:ascii="Arial" w:cs="Arial" w:eastAsia="Arial" w:hAnsi="Arial"/>
                <w:sz w:val="12"/>
                <w:szCs w:val="12"/>
                <w:color w:val="auto"/>
              </w:rPr>
              <w:t>1,500,004</w:t>
            </w:r>
          </w:p>
        </w:tc>
        <w:tc>
          <w:tcPr>
            <w:tcW w:w="140" w:type="dxa"/>
            <w:vAlign w:val="bottom"/>
          </w:tcPr>
          <w:p>
            <w:pPr>
              <w:spacing w:after="0"/>
              <w:rPr>
                <w:sz w:val="11"/>
                <w:szCs w:val="11"/>
                <w:color w:val="auto"/>
              </w:rPr>
            </w:pPr>
          </w:p>
        </w:tc>
        <w:tc>
          <w:tcPr>
            <w:tcW w:w="78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980" w:type="dxa"/>
            <w:vAlign w:val="bottom"/>
            <w:gridSpan w:val="2"/>
          </w:tcPr>
          <w:p>
            <w:pPr>
              <w:jc w:val="right"/>
              <w:spacing w:after="0" w:line="136" w:lineRule="exact"/>
              <w:rPr>
                <w:sz w:val="20"/>
                <w:szCs w:val="20"/>
                <w:color w:val="auto"/>
              </w:rPr>
            </w:pPr>
            <w:r>
              <w:rPr>
                <w:rFonts w:ascii="Arial" w:cs="Arial" w:eastAsia="Arial" w:hAnsi="Arial"/>
                <w:sz w:val="12"/>
                <w:szCs w:val="12"/>
                <w:color w:val="auto"/>
              </w:rPr>
              <w:t>168,707</w:t>
            </w:r>
          </w:p>
        </w:tc>
        <w:tc>
          <w:tcPr>
            <w:tcW w:w="1140" w:type="dxa"/>
            <w:vAlign w:val="bottom"/>
            <w:gridSpan w:val="2"/>
          </w:tcPr>
          <w:p>
            <w:pPr>
              <w:jc w:val="right"/>
              <w:spacing w:after="0" w:line="136" w:lineRule="exact"/>
              <w:rPr>
                <w:sz w:val="20"/>
                <w:szCs w:val="20"/>
                <w:color w:val="auto"/>
              </w:rPr>
            </w:pPr>
            <w:r>
              <w:rPr>
                <w:rFonts w:ascii="Arial" w:cs="Arial" w:eastAsia="Arial" w:hAnsi="Arial"/>
                <w:sz w:val="12"/>
                <w:szCs w:val="12"/>
                <w:color w:val="auto"/>
              </w:rPr>
              <w:t>115,913</w:t>
            </w:r>
          </w:p>
        </w:tc>
        <w:tc>
          <w:tcPr>
            <w:tcW w:w="780" w:type="dxa"/>
            <w:vAlign w:val="bottom"/>
            <w:gridSpan w:val="2"/>
          </w:tcPr>
          <w:p>
            <w:pPr>
              <w:jc w:val="right"/>
              <w:spacing w:after="0" w:line="136" w:lineRule="exact"/>
              <w:rPr>
                <w:sz w:val="20"/>
                <w:szCs w:val="20"/>
                <w:color w:val="auto"/>
              </w:rPr>
            </w:pPr>
            <w:r>
              <w:rPr>
                <w:rFonts w:ascii="Arial" w:cs="Arial" w:eastAsia="Arial" w:hAnsi="Arial"/>
                <w:sz w:val="12"/>
                <w:szCs w:val="12"/>
                <w:color w:val="auto"/>
              </w:rPr>
              <w:t>2,272,174</w:t>
            </w:r>
          </w:p>
        </w:tc>
        <w:tc>
          <w:tcPr>
            <w:tcW w:w="0" w:type="dxa"/>
            <w:vAlign w:val="bottom"/>
          </w:tcPr>
          <w:p>
            <w:pPr>
              <w:spacing w:after="0"/>
              <w:rPr>
                <w:sz w:val="1"/>
                <w:szCs w:val="1"/>
                <w:color w:val="auto"/>
              </w:rPr>
            </w:pPr>
          </w:p>
        </w:tc>
      </w:tr>
      <w:tr>
        <w:trPr>
          <w:trHeight w:val="145"/>
        </w:trPr>
        <w:tc>
          <w:tcPr>
            <w:tcW w:w="3320" w:type="dxa"/>
            <w:vAlign w:val="bottom"/>
            <w:gridSpan w:val="2"/>
          </w:tcPr>
          <w:p>
            <w:pPr>
              <w:ind w:left="140"/>
              <w:spacing w:after="0"/>
              <w:rPr>
                <w:sz w:val="20"/>
                <w:szCs w:val="20"/>
                <w:color w:val="auto"/>
              </w:rPr>
            </w:pPr>
            <w:r>
              <w:rPr>
                <w:rFonts w:ascii="Arial" w:cs="Arial" w:eastAsia="Arial" w:hAnsi="Arial"/>
                <w:sz w:val="12"/>
                <w:szCs w:val="12"/>
                <w:i w:val="1"/>
                <w:iCs w:val="1"/>
                <w:color w:val="auto"/>
              </w:rPr>
              <w:t>Global Land</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6"/>
        </w:trPr>
        <w:tc>
          <w:tcPr>
            <w:tcW w:w="33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John P. Rau</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2017</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500,000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999,993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250,001</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112,500</w:t>
            </w:r>
            <w:r>
              <w:rPr>
                <w:rFonts w:ascii="Arial" w:cs="Arial" w:eastAsia="Arial" w:hAnsi="Arial"/>
                <w:sz w:val="20"/>
                <w:szCs w:val="20"/>
                <w:color w:val="auto"/>
                <w:vertAlign w:val="superscript"/>
              </w:rPr>
              <w:t>(5)</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21,894</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1,884,388</w:t>
            </w:r>
          </w:p>
        </w:tc>
        <w:tc>
          <w:tcPr>
            <w:tcW w:w="0" w:type="dxa"/>
            <w:vAlign w:val="bottom"/>
          </w:tcPr>
          <w:p>
            <w:pPr>
              <w:spacing w:after="0"/>
              <w:rPr>
                <w:sz w:val="1"/>
                <w:szCs w:val="1"/>
                <w:color w:val="auto"/>
              </w:rPr>
            </w:pPr>
          </w:p>
        </w:tc>
      </w:tr>
      <w:tr>
        <w:trPr>
          <w:trHeight w:val="136"/>
        </w:trPr>
        <w:tc>
          <w:tcPr>
            <w:tcW w:w="3320" w:type="dxa"/>
            <w:vAlign w:val="bottom"/>
            <w:gridSpan w:val="2"/>
            <w:shd w:val="clear" w:color="auto" w:fill="CCEEFF"/>
          </w:tcPr>
          <w:p>
            <w:pPr>
              <w:ind w:left="140"/>
              <w:spacing w:after="0" w:line="136" w:lineRule="exact"/>
              <w:rPr>
                <w:sz w:val="20"/>
                <w:szCs w:val="20"/>
                <w:color w:val="auto"/>
              </w:rPr>
            </w:pPr>
            <w:r>
              <w:rPr>
                <w:rFonts w:ascii="Arial" w:cs="Arial" w:eastAsia="Arial" w:hAnsi="Arial"/>
                <w:sz w:val="12"/>
                <w:szCs w:val="12"/>
                <w:i w:val="1"/>
                <w:iCs w:val="1"/>
                <w:color w:val="auto"/>
              </w:rPr>
              <w:t>Executive Vice President,</w:t>
            </w: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2016</w:t>
            </w:r>
          </w:p>
        </w:tc>
        <w:tc>
          <w:tcPr>
            <w:tcW w:w="78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475,100</w:t>
            </w:r>
          </w:p>
        </w:tc>
        <w:tc>
          <w:tcPr>
            <w:tcW w:w="90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1,500,004</w:t>
            </w: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98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202,815</w:t>
            </w:r>
          </w:p>
        </w:tc>
        <w:tc>
          <w:tcPr>
            <w:tcW w:w="114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116,859</w:t>
            </w:r>
          </w:p>
        </w:tc>
        <w:tc>
          <w:tcPr>
            <w:tcW w:w="78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2,294,778</w:t>
            </w:r>
          </w:p>
        </w:tc>
        <w:tc>
          <w:tcPr>
            <w:tcW w:w="0" w:type="dxa"/>
            <w:vAlign w:val="bottom"/>
          </w:tcPr>
          <w:p>
            <w:pPr>
              <w:spacing w:after="0"/>
              <w:rPr>
                <w:sz w:val="1"/>
                <w:szCs w:val="1"/>
                <w:color w:val="auto"/>
              </w:rPr>
            </w:pPr>
          </w:p>
        </w:tc>
      </w:tr>
      <w:tr>
        <w:trPr>
          <w:trHeight w:val="136"/>
        </w:trPr>
        <w:tc>
          <w:tcPr>
            <w:tcW w:w="3320" w:type="dxa"/>
            <w:vAlign w:val="bottom"/>
            <w:gridSpan w:val="2"/>
            <w:shd w:val="clear" w:color="auto" w:fill="CCEEFF"/>
          </w:tcPr>
          <w:p>
            <w:pPr>
              <w:ind w:left="140"/>
              <w:spacing w:after="0" w:line="136" w:lineRule="exact"/>
              <w:rPr>
                <w:sz w:val="20"/>
                <w:szCs w:val="20"/>
                <w:color w:val="auto"/>
              </w:rPr>
            </w:pPr>
            <w:r>
              <w:rPr>
                <w:rFonts w:ascii="Arial" w:cs="Arial" w:eastAsia="Arial" w:hAnsi="Arial"/>
                <w:sz w:val="12"/>
                <w:szCs w:val="12"/>
                <w:i w:val="1"/>
                <w:iCs w:val="1"/>
                <w:color w:val="auto"/>
              </w:rPr>
              <w:t>Global Aviation and Marine</w:t>
            </w: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70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1641" w:right="60" w:hanging="498"/>
        <w:spacing w:after="0" w:line="275" w:lineRule="auto"/>
        <w:tabs>
          <w:tab w:leader="none" w:pos="1641" w:val="left"/>
        </w:tabs>
        <w:numPr>
          <w:ilvl w:val="0"/>
          <w:numId w:val="53"/>
        </w:numPr>
        <w:rPr>
          <w:rFonts w:ascii="Arial" w:cs="Arial" w:eastAsia="Arial" w:hAnsi="Arial"/>
          <w:sz w:val="11"/>
          <w:szCs w:val="11"/>
          <w:color w:val="auto"/>
        </w:rPr>
      </w:pPr>
      <w:r>
        <w:rPr>
          <w:rFonts w:ascii="Arial" w:cs="Arial" w:eastAsia="Arial" w:hAnsi="Arial"/>
          <w:sz w:val="11"/>
          <w:szCs w:val="11"/>
          <w:color w:val="auto"/>
        </w:rPr>
        <w:t>The amounts shown represent the estimated aggregate grant date fair value of the awards made in each fiscal year relating to common stock, restricted stock, RSUs and SSARs granted to the NEOs. The estimated grant date fair value of these awards is based on the grant date market value of our common stock as defined in the 2006 Omnibus Plan, as amended and restated, and the 2016 Omnibus Plan, and is computed in accordance with FASB ASC Topic 718. Assumptions used in determining the aggregate grant date fair value of awards are set forth in Note 10 (for fiscal year 2017), Note 9 (for fiscal year 2016) and Note 8 (for fiscal year 2015) to the consolidated financial statements in Item 15 of the respective annual reports on Form 10-K.</w:t>
      </w:r>
    </w:p>
    <w:p>
      <w:pPr>
        <w:spacing w:after="0" w:line="86" w:lineRule="exact"/>
        <w:rPr>
          <w:rFonts w:ascii="Arial" w:cs="Arial" w:eastAsia="Arial" w:hAnsi="Arial"/>
          <w:sz w:val="11"/>
          <w:szCs w:val="11"/>
          <w:color w:val="auto"/>
        </w:rPr>
      </w:pPr>
    </w:p>
    <w:p>
      <w:pPr>
        <w:ind w:left="1641" w:right="60" w:hanging="498"/>
        <w:spacing w:after="0" w:line="313" w:lineRule="auto"/>
        <w:tabs>
          <w:tab w:leader="none" w:pos="1641" w:val="left"/>
        </w:tabs>
        <w:numPr>
          <w:ilvl w:val="0"/>
          <w:numId w:val="53"/>
        </w:numPr>
        <w:rPr>
          <w:rFonts w:ascii="Arial" w:cs="Arial" w:eastAsia="Arial" w:hAnsi="Arial"/>
          <w:sz w:val="11"/>
          <w:szCs w:val="11"/>
          <w:color w:val="auto"/>
        </w:rPr>
      </w:pPr>
      <w:r>
        <w:rPr>
          <w:rFonts w:ascii="Arial" w:cs="Arial" w:eastAsia="Arial" w:hAnsi="Arial"/>
          <w:sz w:val="11"/>
          <w:szCs w:val="11"/>
          <w:color w:val="auto"/>
        </w:rPr>
        <w:t>For 2017, the Stock Awards column for Messrs. Kasbar and Birns reflects the three-year Performance Shares that were awarded in March 2017 and for Messrs. Crosby and Rau includes $499,996 arising from the three-year Performance Shares that were awarded in March 2017. A determination of the amount of the Performance Shares, if any, that will be earned will be made in March 2020.</w:t>
      </w:r>
    </w:p>
    <w:p>
      <w:pPr>
        <w:spacing w:after="0" w:line="138" w:lineRule="exact"/>
        <w:rPr>
          <w:rFonts w:ascii="Arial" w:cs="Arial" w:eastAsia="Arial" w:hAnsi="Arial"/>
          <w:sz w:val="11"/>
          <w:szCs w:val="11"/>
          <w:color w:val="auto"/>
        </w:rPr>
      </w:pPr>
    </w:p>
    <w:p>
      <w:pPr>
        <w:ind w:left="1641" w:right="40"/>
        <w:spacing w:after="0" w:line="251" w:lineRule="auto"/>
        <w:rPr>
          <w:rFonts w:ascii="Arial" w:cs="Arial" w:eastAsia="Arial" w:hAnsi="Arial"/>
          <w:sz w:val="11"/>
          <w:szCs w:val="11"/>
          <w:color w:val="auto"/>
        </w:rPr>
      </w:pPr>
      <w:r>
        <w:rPr>
          <w:rFonts w:ascii="Arial" w:cs="Arial" w:eastAsia="Arial" w:hAnsi="Arial"/>
          <w:sz w:val="12"/>
          <w:szCs w:val="12"/>
          <w:color w:val="auto"/>
        </w:rPr>
        <w:t>For 2017, the Option Awards column reflects the Performance SSARs which could have been earned by the NEO based on achieving the Performance SSAR Threshold. However, based on the actual EPS for 2017, the Performance SSAR Threshold was not met and therefore all of these Performance SSARs were forfeited. See "Grants of Plan-Based Awards Table" for more information on the Performance Shares and the Performance SSARs.</w:t>
      </w:r>
    </w:p>
    <w:p>
      <w:pPr>
        <w:spacing w:after="0" w:line="158" w:lineRule="exact"/>
        <w:rPr>
          <w:rFonts w:ascii="Arial" w:cs="Arial" w:eastAsia="Arial" w:hAnsi="Arial"/>
          <w:sz w:val="11"/>
          <w:szCs w:val="11"/>
          <w:color w:val="auto"/>
        </w:rPr>
      </w:pPr>
    </w:p>
    <w:p>
      <w:pPr>
        <w:ind w:left="1641" w:right="340" w:hanging="498"/>
        <w:spacing w:after="0" w:line="267" w:lineRule="auto"/>
        <w:tabs>
          <w:tab w:leader="none" w:pos="1641" w:val="left"/>
        </w:tabs>
        <w:numPr>
          <w:ilvl w:val="0"/>
          <w:numId w:val="53"/>
        </w:numPr>
        <w:rPr>
          <w:rFonts w:ascii="Arial" w:cs="Arial" w:eastAsia="Arial" w:hAnsi="Arial"/>
          <w:sz w:val="12"/>
          <w:szCs w:val="12"/>
          <w:color w:val="auto"/>
        </w:rPr>
      </w:pPr>
      <w:r>
        <w:rPr>
          <w:rFonts w:ascii="Arial" w:cs="Arial" w:eastAsia="Arial" w:hAnsi="Arial"/>
          <w:sz w:val="12"/>
          <w:szCs w:val="12"/>
          <w:color w:val="auto"/>
        </w:rPr>
        <w:t>The amounts shown in this column include health and other insurance benefits, club membership dues, matching contributions under our 401(k) plan and, for 2016 and 2015, dividends paid in connection with the vesting of equity awards, in each case paid to or on behalf of the NEOs.</w:t>
      </w:r>
    </w:p>
    <w:p>
      <w:pPr>
        <w:spacing w:after="0" w:line="87" w:lineRule="exact"/>
        <w:rPr>
          <w:rFonts w:ascii="Arial" w:cs="Arial" w:eastAsia="Arial" w:hAnsi="Arial"/>
          <w:sz w:val="12"/>
          <w:szCs w:val="12"/>
          <w:color w:val="auto"/>
        </w:rPr>
      </w:pPr>
    </w:p>
    <w:p>
      <w:pPr>
        <w:ind w:left="1641" w:hanging="498"/>
        <w:spacing w:after="0"/>
        <w:tabs>
          <w:tab w:leader="none" w:pos="1641" w:val="left"/>
        </w:tabs>
        <w:numPr>
          <w:ilvl w:val="0"/>
          <w:numId w:val="53"/>
        </w:numPr>
        <w:rPr>
          <w:rFonts w:ascii="Arial" w:cs="Arial" w:eastAsia="Arial" w:hAnsi="Arial"/>
          <w:sz w:val="12"/>
          <w:szCs w:val="12"/>
          <w:color w:val="auto"/>
        </w:rPr>
      </w:pPr>
      <w:r>
        <w:rPr>
          <w:rFonts w:ascii="Arial" w:cs="Arial" w:eastAsia="Arial" w:hAnsi="Arial"/>
          <w:sz w:val="12"/>
          <w:szCs w:val="12"/>
          <w:color w:val="auto"/>
        </w:rPr>
        <w:t>This amount includes the grant date fair value of a service-based award to Mr. Kasbar of 113,507 SSARs, which vest in March 2020.</w:t>
      </w:r>
    </w:p>
    <w:p>
      <w:pPr>
        <w:spacing w:after="0" w:line="120" w:lineRule="exact"/>
        <w:rPr>
          <w:rFonts w:ascii="Arial" w:cs="Arial" w:eastAsia="Arial" w:hAnsi="Arial"/>
          <w:sz w:val="12"/>
          <w:szCs w:val="12"/>
          <w:color w:val="auto"/>
        </w:rPr>
      </w:pPr>
    </w:p>
    <w:p>
      <w:pPr>
        <w:ind w:left="1641" w:right="100" w:hanging="498"/>
        <w:spacing w:after="0" w:line="267" w:lineRule="auto"/>
        <w:tabs>
          <w:tab w:leader="none" w:pos="1641" w:val="left"/>
        </w:tabs>
        <w:numPr>
          <w:ilvl w:val="0"/>
          <w:numId w:val="53"/>
        </w:numPr>
        <w:rPr>
          <w:rFonts w:ascii="Arial" w:cs="Arial" w:eastAsia="Arial" w:hAnsi="Arial"/>
          <w:sz w:val="12"/>
          <w:szCs w:val="12"/>
          <w:color w:val="auto"/>
        </w:rPr>
      </w:pPr>
      <w:r>
        <w:rPr>
          <w:rFonts w:ascii="Arial" w:cs="Arial" w:eastAsia="Arial" w:hAnsi="Arial"/>
          <w:sz w:val="12"/>
          <w:szCs w:val="12"/>
          <w:color w:val="auto"/>
        </w:rPr>
        <w:t>This amount reflects strategic objective cash incentive awards earned by each of the NEOs based upon their achieving a portion of their 2017 strategic objectives. These awards were also subject to the Company earning at least 75% of consolidated gross profit for the prior year. For 2017, consolidated gross profit was 104% of 2016 consolidated gross profit.</w:t>
      </w:r>
    </w:p>
    <w:p>
      <w:pPr>
        <w:spacing w:after="0" w:line="87" w:lineRule="exact"/>
        <w:rPr>
          <w:rFonts w:ascii="Arial" w:cs="Arial" w:eastAsia="Arial" w:hAnsi="Arial"/>
          <w:sz w:val="12"/>
          <w:szCs w:val="12"/>
          <w:color w:val="auto"/>
        </w:rPr>
      </w:pPr>
    </w:p>
    <w:p>
      <w:pPr>
        <w:ind w:left="1641" w:hanging="498"/>
        <w:spacing w:after="0"/>
        <w:tabs>
          <w:tab w:leader="none" w:pos="1641" w:val="left"/>
        </w:tabs>
        <w:numPr>
          <w:ilvl w:val="0"/>
          <w:numId w:val="53"/>
        </w:numPr>
        <w:rPr>
          <w:rFonts w:ascii="Arial" w:cs="Arial" w:eastAsia="Arial" w:hAnsi="Arial"/>
          <w:sz w:val="12"/>
          <w:szCs w:val="12"/>
          <w:color w:val="auto"/>
        </w:rPr>
      </w:pPr>
      <w:r>
        <w:rPr>
          <w:rFonts w:ascii="Arial" w:cs="Arial" w:eastAsia="Arial" w:hAnsi="Arial"/>
          <w:sz w:val="12"/>
          <w:szCs w:val="12"/>
          <w:color w:val="auto"/>
        </w:rPr>
        <w:t>This amount represents the pro-rated salary for Mr. Smith, who joined our Company in October 2017.</w:t>
      </w:r>
    </w:p>
    <w:p>
      <w:pPr>
        <w:spacing w:after="0" w:line="30" w:lineRule="exact"/>
        <w:rPr>
          <w:sz w:val="20"/>
          <w:szCs w:val="20"/>
          <w:color w:val="auto"/>
        </w:rPr>
      </w:pPr>
    </w:p>
    <w:p>
      <w:pPr>
        <w:jc w:val="right"/>
        <w:spacing w:after="0"/>
        <w:tabs>
          <w:tab w:leader="none" w:pos="1960" w:val="left"/>
          <w:tab w:leader="none" w:pos="1720" w:val="left"/>
          <w:tab w:leader="none" w:pos="14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3"/>
          <w:szCs w:val="33"/>
          <w:b w:val="1"/>
          <w:bCs w:val="1"/>
          <w:color w:val="auto"/>
          <w:vertAlign w:val="subscript"/>
        </w:rPr>
        <w:t>|</w:t>
      </w:r>
      <w:r>
        <w:rPr>
          <w:sz w:val="20"/>
          <w:szCs w:val="20"/>
          <w:color w:val="auto"/>
        </w:rPr>
        <w:tab/>
      </w:r>
      <w:r>
        <w:rPr>
          <w:rFonts w:ascii="Arial" w:cs="Arial" w:eastAsia="Arial" w:hAnsi="Arial"/>
          <w:sz w:val="16"/>
          <w:szCs w:val="16"/>
          <w:color w:val="auto"/>
        </w:rPr>
        <w:t>2018 Proxy Statement</w:t>
      </w:r>
      <w:r>
        <w:rPr>
          <w:sz w:val="20"/>
          <w:szCs w:val="20"/>
          <w:color w:val="auto"/>
        </w:rPr>
        <w:tab/>
      </w: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117475</wp:posOffset>
            </wp:positionV>
            <wp:extent cx="7263130" cy="203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1"/>
          </w:cols>
          <w:pgMar w:left="239" w:top="131" w:right="239" w:bottom="1440" w:gutter="0" w:footer="0" w:header="0"/>
        </w:sectPr>
      </w:pPr>
    </w:p>
    <w:bookmarkStart w:id="53" w:name="page54"/>
    <w:bookmarkEnd w:id="53"/>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198" w:lineRule="exact"/>
        <w:rPr>
          <w:sz w:val="20"/>
          <w:szCs w:val="20"/>
          <w:color w:val="auto"/>
        </w:rPr>
      </w:pPr>
    </w:p>
    <w:p>
      <w:pPr>
        <w:ind w:left="1640" w:right="140" w:hanging="498"/>
        <w:spacing w:after="0" w:line="267" w:lineRule="auto"/>
        <w:tabs>
          <w:tab w:leader="none" w:pos="1640" w:val="left"/>
        </w:tabs>
        <w:numPr>
          <w:ilvl w:val="0"/>
          <w:numId w:val="54"/>
        </w:numPr>
        <w:rPr>
          <w:rFonts w:ascii="Arial" w:cs="Arial" w:eastAsia="Arial" w:hAnsi="Arial"/>
          <w:sz w:val="12"/>
          <w:szCs w:val="12"/>
          <w:color w:val="auto"/>
        </w:rPr>
      </w:pPr>
      <w:r>
        <w:rPr>
          <w:rFonts w:ascii="Arial" w:cs="Arial" w:eastAsia="Arial" w:hAnsi="Arial"/>
          <w:sz w:val="12"/>
          <w:szCs w:val="12"/>
          <w:color w:val="auto"/>
        </w:rPr>
        <w:t>In connection with his employment, we agreed to provide Mr. Smith with a short-term travel and housing allowance of $8,000 per month ending in October 2019. This amount includes $24,000 of such allowance.</w:t>
      </w:r>
    </w:p>
    <w:p>
      <w:pPr>
        <w:spacing w:after="0" w:line="87" w:lineRule="exact"/>
        <w:rPr>
          <w:rFonts w:ascii="Arial" w:cs="Arial" w:eastAsia="Arial" w:hAnsi="Arial"/>
          <w:sz w:val="12"/>
          <w:szCs w:val="12"/>
          <w:color w:val="auto"/>
        </w:rPr>
      </w:pPr>
    </w:p>
    <w:p>
      <w:pPr>
        <w:ind w:left="1640" w:right="440" w:hanging="498"/>
        <w:spacing w:after="0" w:line="267" w:lineRule="auto"/>
        <w:tabs>
          <w:tab w:leader="none" w:pos="1640" w:val="left"/>
        </w:tabs>
        <w:numPr>
          <w:ilvl w:val="0"/>
          <w:numId w:val="54"/>
        </w:numPr>
        <w:rPr>
          <w:rFonts w:ascii="Arial" w:cs="Arial" w:eastAsia="Arial" w:hAnsi="Arial"/>
          <w:sz w:val="12"/>
          <w:szCs w:val="12"/>
          <w:color w:val="auto"/>
        </w:rPr>
      </w:pPr>
      <w:r>
        <w:rPr>
          <w:rFonts w:ascii="Arial" w:cs="Arial" w:eastAsia="Arial" w:hAnsi="Arial"/>
          <w:sz w:val="12"/>
          <w:szCs w:val="12"/>
          <w:color w:val="auto"/>
        </w:rPr>
        <w:t>This amount also includes an annual cash incentive award earned under the EIP by Mr. Crosby based on Operating Income growth for the Physical Operations LOS in 2017 in the amount of $150,000.</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Grants of Plan-Based Awards</w:t>
      </w:r>
    </w:p>
    <w:p>
      <w:pPr>
        <w:spacing w:after="0" w:line="215" w:lineRule="exact"/>
        <w:rPr>
          <w:sz w:val="20"/>
          <w:szCs w:val="20"/>
          <w:color w:val="auto"/>
        </w:rPr>
      </w:pPr>
    </w:p>
    <w:p>
      <w:pPr>
        <w:ind w:right="300" w:firstLine="558"/>
        <w:spacing w:after="0" w:line="284" w:lineRule="auto"/>
        <w:rPr>
          <w:sz w:val="20"/>
          <w:szCs w:val="20"/>
          <w:color w:val="auto"/>
        </w:rPr>
      </w:pPr>
      <w:r>
        <w:rPr>
          <w:rFonts w:ascii="Arial" w:cs="Arial" w:eastAsia="Arial" w:hAnsi="Arial"/>
          <w:sz w:val="16"/>
          <w:szCs w:val="16"/>
          <w:color w:val="auto"/>
        </w:rPr>
        <w:t>The following table provides additional information about stock awards and equity and non-equity incentive plan awards granted to our NEOs during the year ended December 31, 2017.</w:t>
      </w:r>
    </w:p>
    <w:p>
      <w:pPr>
        <w:spacing w:after="0" w:line="350"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GRANTS OF PLAN-BASED AWARDS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27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center"/>
              <w:spacing w:after="0"/>
              <w:rPr>
                <w:sz w:val="20"/>
                <w:szCs w:val="20"/>
                <w:color w:val="auto"/>
              </w:rPr>
            </w:pPr>
            <w:r>
              <w:rPr>
                <w:rFonts w:ascii="Arial" w:cs="Arial" w:eastAsia="Arial" w:hAnsi="Arial"/>
                <w:sz w:val="12"/>
                <w:szCs w:val="12"/>
                <w:b w:val="1"/>
                <w:bCs w:val="1"/>
                <w:color w:val="auto"/>
                <w:w w:val="98"/>
              </w:rPr>
              <w:t>All Other</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7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1"/>
              </w:rPr>
              <w:t>Stock</w:t>
            </w:r>
          </w:p>
        </w:tc>
        <w:tc>
          <w:tcPr>
            <w:tcW w:w="160" w:type="dxa"/>
            <w:vAlign w:val="bottom"/>
          </w:tcPr>
          <w:p>
            <w:pPr>
              <w:spacing w:after="0"/>
              <w:rPr>
                <w:sz w:val="11"/>
                <w:szCs w:val="11"/>
                <w:color w:val="auto"/>
              </w:rPr>
            </w:pPr>
          </w:p>
        </w:tc>
        <w:tc>
          <w:tcPr>
            <w:tcW w:w="74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7"/>
              </w:rPr>
              <w:t>Grant Date</w:t>
            </w:r>
          </w:p>
        </w:tc>
        <w:tc>
          <w:tcPr>
            <w:tcW w:w="0" w:type="dxa"/>
            <w:vAlign w:val="bottom"/>
          </w:tcPr>
          <w:p>
            <w:pPr>
              <w:spacing w:after="0"/>
              <w:rPr>
                <w:sz w:val="1"/>
                <w:szCs w:val="1"/>
                <w:color w:val="auto"/>
              </w:rPr>
            </w:pPr>
          </w:p>
        </w:tc>
      </w:tr>
      <w:tr>
        <w:trPr>
          <w:trHeight w:val="136"/>
        </w:trPr>
        <w:tc>
          <w:tcPr>
            <w:tcW w:w="27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80" w:type="dxa"/>
            <w:vAlign w:val="bottom"/>
            <w:gridSpan w:val="6"/>
          </w:tcPr>
          <w:p>
            <w:pPr>
              <w:jc w:val="center"/>
              <w:ind w:right="160"/>
              <w:spacing w:after="0" w:line="136" w:lineRule="exact"/>
              <w:rPr>
                <w:sz w:val="20"/>
                <w:szCs w:val="20"/>
                <w:color w:val="auto"/>
              </w:rPr>
            </w:pPr>
            <w:r>
              <w:rPr>
                <w:rFonts w:ascii="Arial" w:cs="Arial" w:eastAsia="Arial" w:hAnsi="Arial"/>
                <w:sz w:val="12"/>
                <w:szCs w:val="12"/>
                <w:b w:val="1"/>
                <w:bCs w:val="1"/>
                <w:color w:val="auto"/>
                <w:w w:val="94"/>
              </w:rPr>
              <w:t>Estimated Future Payouts Under</w:t>
            </w:r>
          </w:p>
        </w:tc>
        <w:tc>
          <w:tcPr>
            <w:tcW w:w="62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89"/>
              </w:rPr>
              <w:t>Awards,</w:t>
            </w:r>
          </w:p>
        </w:tc>
        <w:tc>
          <w:tcPr>
            <w:tcW w:w="16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7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jc w:val="center"/>
              <w:ind w:right="60"/>
              <w:spacing w:after="0" w:line="136" w:lineRule="exact"/>
              <w:rPr>
                <w:sz w:val="20"/>
                <w:szCs w:val="20"/>
                <w:color w:val="auto"/>
              </w:rPr>
            </w:pPr>
            <w:r>
              <w:rPr>
                <w:rFonts w:ascii="Arial" w:cs="Arial" w:eastAsia="Arial" w:hAnsi="Arial"/>
                <w:sz w:val="12"/>
                <w:szCs w:val="12"/>
                <w:b w:val="1"/>
                <w:bCs w:val="1"/>
                <w:color w:val="auto"/>
                <w:w w:val="93"/>
              </w:rPr>
              <w:t>Non-Equity</w:t>
            </w: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6"/>
              </w:rPr>
              <w:t>Number of</w:t>
            </w:r>
          </w:p>
        </w:tc>
        <w:tc>
          <w:tcPr>
            <w:tcW w:w="160" w:type="dxa"/>
            <w:vAlign w:val="bottom"/>
          </w:tcPr>
          <w:p>
            <w:pPr>
              <w:spacing w:after="0"/>
              <w:rPr>
                <w:sz w:val="11"/>
                <w:szCs w:val="11"/>
                <w:color w:val="auto"/>
              </w:rPr>
            </w:pPr>
          </w:p>
        </w:tc>
        <w:tc>
          <w:tcPr>
            <w:tcW w:w="74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7"/>
              </w:rPr>
              <w:t>Fair Value</w:t>
            </w:r>
          </w:p>
        </w:tc>
        <w:tc>
          <w:tcPr>
            <w:tcW w:w="0" w:type="dxa"/>
            <w:vAlign w:val="bottom"/>
          </w:tcPr>
          <w:p>
            <w:pPr>
              <w:spacing w:after="0"/>
              <w:rPr>
                <w:sz w:val="1"/>
                <w:szCs w:val="1"/>
                <w:color w:val="auto"/>
              </w:rPr>
            </w:pPr>
          </w:p>
        </w:tc>
      </w:tr>
      <w:tr>
        <w:trPr>
          <w:trHeight w:val="136"/>
        </w:trPr>
        <w:tc>
          <w:tcPr>
            <w:tcW w:w="27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80" w:type="dxa"/>
            <w:vAlign w:val="bottom"/>
            <w:gridSpan w:val="6"/>
          </w:tcPr>
          <w:p>
            <w:pPr>
              <w:jc w:val="center"/>
              <w:ind w:right="160"/>
              <w:spacing w:after="0" w:line="136" w:lineRule="exact"/>
              <w:rPr>
                <w:sz w:val="20"/>
                <w:szCs w:val="20"/>
                <w:color w:val="auto"/>
              </w:rPr>
            </w:pPr>
            <w:r>
              <w:rPr>
                <w:rFonts w:ascii="Arial" w:cs="Arial" w:eastAsia="Arial" w:hAnsi="Arial"/>
                <w:sz w:val="12"/>
                <w:szCs w:val="12"/>
                <w:b w:val="1"/>
                <w:bCs w:val="1"/>
                <w:color w:val="auto"/>
                <w:w w:val="94"/>
              </w:rPr>
              <w:t>Incentive Plan Awards</w:t>
            </w:r>
          </w:p>
        </w:tc>
        <w:tc>
          <w:tcPr>
            <w:tcW w:w="62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1"/>
              </w:rPr>
              <w:t>Shares of</w:t>
            </w:r>
          </w:p>
        </w:tc>
        <w:tc>
          <w:tcPr>
            <w:tcW w:w="160" w:type="dxa"/>
            <w:vAlign w:val="bottom"/>
          </w:tcPr>
          <w:p>
            <w:pPr>
              <w:spacing w:after="0"/>
              <w:rPr>
                <w:sz w:val="11"/>
                <w:szCs w:val="11"/>
                <w:color w:val="auto"/>
              </w:rPr>
            </w:pPr>
          </w:p>
        </w:tc>
        <w:tc>
          <w:tcPr>
            <w:tcW w:w="74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88"/>
              </w:rPr>
              <w:t>of Stock and</w:t>
            </w:r>
          </w:p>
        </w:tc>
        <w:tc>
          <w:tcPr>
            <w:tcW w:w="0" w:type="dxa"/>
            <w:vAlign w:val="bottom"/>
          </w:tcPr>
          <w:p>
            <w:pPr>
              <w:spacing w:after="0"/>
              <w:rPr>
                <w:sz w:val="1"/>
                <w:szCs w:val="1"/>
                <w:color w:val="auto"/>
              </w:rPr>
            </w:pPr>
          </w:p>
        </w:tc>
      </w:tr>
      <w:tr>
        <w:trPr>
          <w:trHeight w:val="25"/>
        </w:trPr>
        <w:tc>
          <w:tcPr>
            <w:tcW w:w="2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vMerge w:val="restart"/>
          </w:tcPr>
          <w:p>
            <w:pPr>
              <w:jc w:val="center"/>
              <w:spacing w:after="0" w:line="124" w:lineRule="exact"/>
              <w:rPr>
                <w:sz w:val="20"/>
                <w:szCs w:val="20"/>
                <w:color w:val="auto"/>
              </w:rPr>
            </w:pPr>
            <w:r>
              <w:rPr>
                <w:rFonts w:ascii="Arial" w:cs="Arial" w:eastAsia="Arial" w:hAnsi="Arial"/>
                <w:sz w:val="12"/>
                <w:szCs w:val="12"/>
                <w:b w:val="1"/>
                <w:bCs w:val="1"/>
                <w:color w:val="auto"/>
                <w:w w:val="91"/>
              </w:rPr>
              <w:t>Stock or</w:t>
            </w:r>
          </w:p>
        </w:tc>
        <w:tc>
          <w:tcPr>
            <w:tcW w:w="160" w:type="dxa"/>
            <w:vAlign w:val="bottom"/>
            <w:vMerge w:val="restart"/>
          </w:tcPr>
          <w:p>
            <w:pPr>
              <w:spacing w:after="0"/>
              <w:rPr>
                <w:sz w:val="2"/>
                <w:szCs w:val="2"/>
                <w:color w:val="auto"/>
              </w:rPr>
            </w:pPr>
          </w:p>
        </w:tc>
        <w:tc>
          <w:tcPr>
            <w:tcW w:w="740" w:type="dxa"/>
            <w:vAlign w:val="bottom"/>
            <w:vMerge w:val="restart"/>
          </w:tcPr>
          <w:p>
            <w:pPr>
              <w:jc w:val="center"/>
              <w:spacing w:after="0" w:line="124" w:lineRule="exact"/>
              <w:rPr>
                <w:sz w:val="20"/>
                <w:szCs w:val="20"/>
                <w:color w:val="auto"/>
              </w:rPr>
            </w:pPr>
            <w:r>
              <w:rPr>
                <w:rFonts w:ascii="Arial" w:cs="Arial" w:eastAsia="Arial" w:hAnsi="Arial"/>
                <w:sz w:val="12"/>
                <w:szCs w:val="12"/>
                <w:b w:val="1"/>
                <w:bCs w:val="1"/>
                <w:color w:val="auto"/>
                <w:w w:val="92"/>
              </w:rPr>
              <w:t>Option</w:t>
            </w:r>
          </w:p>
        </w:tc>
        <w:tc>
          <w:tcPr>
            <w:tcW w:w="0" w:type="dxa"/>
            <w:vAlign w:val="bottom"/>
          </w:tcPr>
          <w:p>
            <w:pPr>
              <w:spacing w:after="0"/>
              <w:rPr>
                <w:sz w:val="1"/>
                <w:szCs w:val="1"/>
                <w:color w:val="auto"/>
              </w:rPr>
            </w:pPr>
          </w:p>
        </w:tc>
      </w:tr>
      <w:tr>
        <w:trPr>
          <w:trHeight w:val="79"/>
        </w:trPr>
        <w:tc>
          <w:tcPr>
            <w:tcW w:w="27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6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7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ind w:right="38"/>
              <w:spacing w:after="0"/>
              <w:rPr>
                <w:sz w:val="20"/>
                <w:szCs w:val="20"/>
                <w:color w:val="auto"/>
              </w:rPr>
            </w:pPr>
            <w:r>
              <w:rPr>
                <w:rFonts w:ascii="Arial" w:cs="Arial" w:eastAsia="Arial" w:hAnsi="Arial"/>
                <w:sz w:val="12"/>
                <w:szCs w:val="12"/>
                <w:b w:val="1"/>
                <w:bCs w:val="1"/>
                <w:color w:val="auto"/>
              </w:rPr>
              <w:t>Grant</w:t>
            </w:r>
          </w:p>
        </w:tc>
        <w:tc>
          <w:tcPr>
            <w:tcW w:w="140" w:type="dxa"/>
            <w:vAlign w:val="bottom"/>
          </w:tcPr>
          <w:p>
            <w:pPr>
              <w:spacing w:after="0"/>
              <w:rPr>
                <w:sz w:val="12"/>
                <w:szCs w:val="12"/>
                <w:color w:val="auto"/>
              </w:rPr>
            </w:pP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Committee</w:t>
            </w:r>
          </w:p>
        </w:tc>
        <w:tc>
          <w:tcPr>
            <w:tcW w:w="600" w:type="dxa"/>
            <w:vAlign w:val="bottom"/>
          </w:tcPr>
          <w:p>
            <w:pPr>
              <w:jc w:val="right"/>
              <w:spacing w:after="0"/>
              <w:rPr>
                <w:sz w:val="20"/>
                <w:szCs w:val="20"/>
                <w:color w:val="auto"/>
              </w:rPr>
            </w:pPr>
            <w:r>
              <w:rPr>
                <w:rFonts w:ascii="Arial" w:cs="Arial" w:eastAsia="Arial" w:hAnsi="Arial"/>
                <w:sz w:val="12"/>
                <w:szCs w:val="12"/>
                <w:b w:val="1"/>
                <w:bCs w:val="1"/>
                <w:color w:val="auto"/>
                <w:w w:val="93"/>
              </w:rPr>
              <w:t>Threshold</w:t>
            </w:r>
          </w:p>
        </w:tc>
        <w:tc>
          <w:tcPr>
            <w:tcW w:w="160" w:type="dxa"/>
            <w:vAlign w:val="bottom"/>
          </w:tcPr>
          <w:p>
            <w:pPr>
              <w:spacing w:after="0"/>
              <w:rPr>
                <w:sz w:val="12"/>
                <w:szCs w:val="12"/>
                <w:color w:val="auto"/>
              </w:rPr>
            </w:pP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Target</w:t>
            </w: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Maximum</w:t>
            </w:r>
          </w:p>
        </w:tc>
        <w:tc>
          <w:tcPr>
            <w:tcW w:w="620" w:type="dxa"/>
            <w:vAlign w:val="bottom"/>
          </w:tcPr>
          <w:p>
            <w:pPr>
              <w:jc w:val="center"/>
              <w:spacing w:after="0"/>
              <w:rPr>
                <w:sz w:val="20"/>
                <w:szCs w:val="20"/>
                <w:color w:val="auto"/>
              </w:rPr>
            </w:pPr>
            <w:r>
              <w:rPr>
                <w:rFonts w:ascii="Arial" w:cs="Arial" w:eastAsia="Arial" w:hAnsi="Arial"/>
                <w:sz w:val="12"/>
                <w:szCs w:val="12"/>
                <w:b w:val="1"/>
                <w:bCs w:val="1"/>
                <w:color w:val="auto"/>
                <w:w w:val="93"/>
              </w:rPr>
              <w:t>Units</w:t>
            </w:r>
          </w:p>
        </w:tc>
        <w:tc>
          <w:tcPr>
            <w:tcW w:w="160" w:type="dxa"/>
            <w:vAlign w:val="bottom"/>
          </w:tcPr>
          <w:p>
            <w:pPr>
              <w:spacing w:after="0"/>
              <w:rPr>
                <w:sz w:val="12"/>
                <w:szCs w:val="12"/>
                <w:color w:val="auto"/>
              </w:rPr>
            </w:pPr>
          </w:p>
        </w:tc>
        <w:tc>
          <w:tcPr>
            <w:tcW w:w="740" w:type="dxa"/>
            <w:vAlign w:val="bottom"/>
          </w:tcPr>
          <w:p>
            <w:pPr>
              <w:jc w:val="center"/>
              <w:spacing w:after="0" w:line="147" w:lineRule="exact"/>
              <w:rPr>
                <w:sz w:val="20"/>
                <w:szCs w:val="20"/>
                <w:color w:val="auto"/>
              </w:rPr>
            </w:pPr>
            <w:r>
              <w:rPr>
                <w:rFonts w:ascii="Arial" w:cs="Arial" w:eastAsia="Arial" w:hAnsi="Arial"/>
                <w:sz w:val="11"/>
                <w:szCs w:val="11"/>
                <w:b w:val="1"/>
                <w:bCs w:val="1"/>
                <w:color w:val="auto"/>
                <w:w w:val="96"/>
              </w:rPr>
              <w:t>Awards</w:t>
            </w:r>
            <w:r>
              <w:rPr>
                <w:rFonts w:ascii="Arial" w:cs="Arial" w:eastAsia="Arial" w:hAnsi="Arial"/>
                <w:sz w:val="17"/>
                <w:szCs w:val="17"/>
                <w:b w:val="1"/>
                <w:bCs w:val="1"/>
                <w:color w:val="auto"/>
                <w:w w:val="96"/>
                <w:vertAlign w:val="superscript"/>
              </w:rPr>
              <w:t>(1)</w:t>
            </w:r>
          </w:p>
        </w:tc>
        <w:tc>
          <w:tcPr>
            <w:tcW w:w="0" w:type="dxa"/>
            <w:vAlign w:val="bottom"/>
          </w:tcPr>
          <w:p>
            <w:pPr>
              <w:spacing w:after="0"/>
              <w:rPr>
                <w:sz w:val="1"/>
                <w:szCs w:val="1"/>
                <w:color w:val="auto"/>
              </w:rPr>
            </w:pPr>
          </w:p>
        </w:tc>
      </w:tr>
      <w:tr>
        <w:trPr>
          <w:trHeight w:val="149"/>
        </w:trPr>
        <w:tc>
          <w:tcPr>
            <w:tcW w:w="370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rPr>
              <w:t>Name</w:t>
            </w:r>
          </w:p>
        </w:tc>
        <w:tc>
          <w:tcPr>
            <w:tcW w:w="140" w:type="dxa"/>
            <w:vAlign w:val="bottom"/>
          </w:tcPr>
          <w:p>
            <w:pPr>
              <w:spacing w:after="0"/>
              <w:rPr>
                <w:sz w:val="12"/>
                <w:szCs w:val="12"/>
                <w:color w:val="auto"/>
              </w:rPr>
            </w:pPr>
          </w:p>
        </w:tc>
        <w:tc>
          <w:tcPr>
            <w:tcW w:w="500" w:type="dxa"/>
            <w:vAlign w:val="bottom"/>
            <w:tcBorders>
              <w:bottom w:val="single" w:sz="8" w:color="auto"/>
            </w:tcBorders>
          </w:tcPr>
          <w:p>
            <w:pPr>
              <w:jc w:val="right"/>
              <w:ind w:right="78"/>
              <w:spacing w:after="0"/>
              <w:rPr>
                <w:sz w:val="20"/>
                <w:szCs w:val="20"/>
                <w:color w:val="auto"/>
              </w:rPr>
            </w:pPr>
            <w:r>
              <w:rPr>
                <w:rFonts w:ascii="Arial" w:cs="Arial" w:eastAsia="Arial" w:hAnsi="Arial"/>
                <w:sz w:val="12"/>
                <w:szCs w:val="12"/>
                <w:b w:val="1"/>
                <w:bCs w:val="1"/>
                <w:color w:val="auto"/>
              </w:rPr>
              <w:t>Date</w:t>
            </w:r>
          </w:p>
        </w:tc>
        <w:tc>
          <w:tcPr>
            <w:tcW w:w="140" w:type="dxa"/>
            <w:vAlign w:val="bottom"/>
          </w:tcPr>
          <w:p>
            <w:pPr>
              <w:spacing w:after="0"/>
              <w:rPr>
                <w:sz w:val="12"/>
                <w:szCs w:val="12"/>
                <w:color w:val="auto"/>
              </w:rPr>
            </w:pPr>
          </w:p>
        </w:tc>
        <w:tc>
          <w:tcPr>
            <w:tcW w:w="64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b w:val="1"/>
                <w:bCs w:val="1"/>
                <w:color w:val="auto"/>
              </w:rPr>
              <w:t>Approval</w:t>
            </w:r>
          </w:p>
        </w:tc>
        <w:tc>
          <w:tcPr>
            <w:tcW w:w="140" w:type="dxa"/>
            <w:vAlign w:val="bottom"/>
          </w:tcPr>
          <w:p>
            <w:pPr>
              <w:spacing w:after="0"/>
              <w:rPr>
                <w:sz w:val="12"/>
                <w:szCs w:val="12"/>
                <w:color w:val="auto"/>
              </w:rPr>
            </w:pPr>
          </w:p>
        </w:tc>
        <w:tc>
          <w:tcPr>
            <w:tcW w:w="600" w:type="dxa"/>
            <w:vAlign w:val="bottom"/>
            <w:tcBorders>
              <w:bottom w:val="single" w:sz="8" w:color="auto"/>
            </w:tcBorders>
          </w:tcPr>
          <w:p>
            <w:pPr>
              <w:jc w:val="right"/>
              <w:ind w:right="186"/>
              <w:spacing w:after="0"/>
              <w:rPr>
                <w:sz w:val="20"/>
                <w:szCs w:val="20"/>
                <w:color w:val="auto"/>
              </w:rPr>
            </w:pPr>
            <w:r>
              <w:rPr>
                <w:rFonts w:ascii="Arial" w:cs="Arial" w:eastAsia="Arial" w:hAnsi="Arial"/>
                <w:sz w:val="12"/>
                <w:szCs w:val="12"/>
                <w:b w:val="1"/>
                <w:bCs w:val="1"/>
                <w:color w:val="auto"/>
              </w:rPr>
              <w:t>($)</w:t>
            </w:r>
          </w:p>
        </w:tc>
        <w:tc>
          <w:tcPr>
            <w:tcW w:w="160" w:type="dxa"/>
            <w:vAlign w:val="bottom"/>
          </w:tcPr>
          <w:p>
            <w:pPr>
              <w:spacing w:after="0"/>
              <w:rPr>
                <w:sz w:val="12"/>
                <w:szCs w:val="12"/>
                <w:color w:val="auto"/>
              </w:rPr>
            </w:pPr>
          </w:p>
        </w:tc>
        <w:tc>
          <w:tcPr>
            <w:tcW w:w="700" w:type="dxa"/>
            <w:vAlign w:val="bottom"/>
            <w:tcBorders>
              <w:bottom w:val="single" w:sz="8" w:color="auto"/>
            </w:tcBorders>
          </w:tcPr>
          <w:p>
            <w:pPr>
              <w:jc w:val="right"/>
              <w:ind w:right="218"/>
              <w:spacing w:after="0"/>
              <w:rPr>
                <w:sz w:val="20"/>
                <w:szCs w:val="20"/>
                <w:color w:val="auto"/>
              </w:rPr>
            </w:pPr>
            <w:r>
              <w:rPr>
                <w:rFonts w:ascii="Arial" w:cs="Arial" w:eastAsia="Arial" w:hAnsi="Arial"/>
                <w:sz w:val="12"/>
                <w:szCs w:val="12"/>
                <w:b w:val="1"/>
                <w:bCs w:val="1"/>
                <w:color w:val="auto"/>
              </w:rPr>
              <w:t>($)</w:t>
            </w:r>
          </w:p>
        </w:tc>
        <w:tc>
          <w:tcPr>
            <w:tcW w:w="160" w:type="dxa"/>
            <w:vAlign w:val="bottom"/>
          </w:tcPr>
          <w:p>
            <w:pPr>
              <w:spacing w:after="0"/>
              <w:rPr>
                <w:sz w:val="12"/>
                <w:szCs w:val="12"/>
                <w:color w:val="auto"/>
              </w:rPr>
            </w:pPr>
          </w:p>
        </w:tc>
        <w:tc>
          <w:tcPr>
            <w:tcW w:w="700" w:type="dxa"/>
            <w:vAlign w:val="bottom"/>
            <w:tcBorders>
              <w:bottom w:val="single" w:sz="8" w:color="auto"/>
            </w:tcBorders>
          </w:tcPr>
          <w:p>
            <w:pPr>
              <w:jc w:val="right"/>
              <w:ind w:right="222"/>
              <w:spacing w:after="0"/>
              <w:rPr>
                <w:sz w:val="20"/>
                <w:szCs w:val="20"/>
                <w:color w:val="auto"/>
              </w:rPr>
            </w:pPr>
            <w:r>
              <w:rPr>
                <w:rFonts w:ascii="Arial" w:cs="Arial" w:eastAsia="Arial" w:hAnsi="Arial"/>
                <w:sz w:val="12"/>
                <w:szCs w:val="12"/>
                <w:b w:val="1"/>
                <w:bCs w:val="1"/>
                <w:color w:val="auto"/>
              </w:rPr>
              <w:t>($)</w:t>
            </w:r>
          </w:p>
        </w:tc>
        <w:tc>
          <w:tcPr>
            <w:tcW w:w="160" w:type="dxa"/>
            <w:vAlign w:val="bottom"/>
          </w:tcPr>
          <w:p>
            <w:pPr>
              <w:spacing w:after="0"/>
              <w:rPr>
                <w:sz w:val="12"/>
                <w:szCs w:val="12"/>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w:t>
            </w:r>
          </w:p>
        </w:tc>
        <w:tc>
          <w:tcPr>
            <w:tcW w:w="160" w:type="dxa"/>
            <w:vAlign w:val="bottom"/>
          </w:tcPr>
          <w:p>
            <w:pPr>
              <w:spacing w:after="0"/>
              <w:rPr>
                <w:sz w:val="12"/>
                <w:szCs w:val="12"/>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39"/>
        </w:trPr>
        <w:tc>
          <w:tcPr>
            <w:tcW w:w="37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Michael J. Kasbar</w:t>
            </w: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n/a</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03/24/17</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39" w:lineRule="exact"/>
              <w:rPr>
                <w:sz w:val="20"/>
                <w:szCs w:val="20"/>
                <w:color w:val="auto"/>
              </w:rPr>
            </w:pPr>
            <w:r>
              <w:rPr>
                <w:rFonts w:ascii="Arial" w:cs="Arial" w:eastAsia="Arial" w:hAnsi="Arial"/>
                <w:sz w:val="10"/>
                <w:szCs w:val="10"/>
                <w:color w:val="auto"/>
              </w:rPr>
              <w:t>500,000</w:t>
            </w:r>
            <w:r>
              <w:rPr>
                <w:rFonts w:ascii="Arial" w:cs="Arial" w:eastAsia="Arial" w:hAnsi="Arial"/>
                <w:sz w:val="16"/>
                <w:szCs w:val="16"/>
                <w:color w:val="auto"/>
                <w:vertAlign w:val="superscript"/>
              </w:rPr>
              <w:t>(2)</w:t>
            </w:r>
          </w:p>
        </w:tc>
        <w:tc>
          <w:tcPr>
            <w:tcW w:w="860" w:type="dxa"/>
            <w:vAlign w:val="bottom"/>
            <w:gridSpan w:val="2"/>
            <w:shd w:val="clear" w:color="auto" w:fill="CCEEFF"/>
          </w:tcPr>
          <w:p>
            <w:pPr>
              <w:jc w:val="right"/>
              <w:spacing w:after="0" w:line="139" w:lineRule="exact"/>
              <w:rPr>
                <w:sz w:val="20"/>
                <w:szCs w:val="20"/>
                <w:color w:val="auto"/>
              </w:rPr>
            </w:pPr>
            <w:r>
              <w:rPr>
                <w:rFonts w:ascii="Arial" w:cs="Arial" w:eastAsia="Arial" w:hAnsi="Arial"/>
                <w:sz w:val="10"/>
                <w:szCs w:val="10"/>
                <w:color w:val="auto"/>
              </w:rPr>
              <w:t>1,000,000</w:t>
            </w:r>
            <w:r>
              <w:rPr>
                <w:rFonts w:ascii="Arial" w:cs="Arial" w:eastAsia="Arial" w:hAnsi="Arial"/>
                <w:sz w:val="16"/>
                <w:szCs w:val="16"/>
                <w:color w:val="auto"/>
                <w:vertAlign w:val="superscript"/>
              </w:rPr>
              <w:t>(2)</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39" w:lineRule="exact"/>
              <w:rPr>
                <w:sz w:val="20"/>
                <w:szCs w:val="20"/>
                <w:color w:val="auto"/>
              </w:rPr>
            </w:pPr>
            <w:r>
              <w:rPr>
                <w:rFonts w:ascii="Arial" w:cs="Arial" w:eastAsia="Arial" w:hAnsi="Arial"/>
                <w:sz w:val="10"/>
                <w:szCs w:val="10"/>
                <w:color w:val="auto"/>
              </w:rPr>
              <w:t>3,000,000</w:t>
            </w:r>
            <w:r>
              <w:rPr>
                <w:rFonts w:ascii="Arial" w:cs="Arial" w:eastAsia="Arial" w:hAnsi="Arial"/>
                <w:sz w:val="16"/>
                <w:szCs w:val="16"/>
                <w:color w:val="auto"/>
                <w:vertAlign w:val="superscript"/>
              </w:rPr>
              <w:t>(2)</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3700" w:type="dxa"/>
            <w:vAlign w:val="bottom"/>
            <w:gridSpan w:val="2"/>
            <w:shd w:val="clear" w:color="auto" w:fill="CCEEFF"/>
          </w:tcPr>
          <w:p>
            <w:pPr>
              <w:ind w:left="140"/>
              <w:spacing w:after="0"/>
              <w:rPr>
                <w:sz w:val="20"/>
                <w:szCs w:val="20"/>
                <w:color w:val="auto"/>
              </w:rPr>
            </w:pPr>
            <w:r>
              <w:rPr>
                <w:rFonts w:ascii="Arial" w:cs="Arial" w:eastAsia="Arial" w:hAnsi="Arial"/>
                <w:sz w:val="12"/>
                <w:szCs w:val="12"/>
                <w:i w:val="1"/>
                <w:iCs w:val="1"/>
                <w:color w:val="auto"/>
              </w:rPr>
              <w:t>Chairman, President</w:t>
            </w: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n/a</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03/24/17</w:t>
            </w: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74" w:lineRule="exact"/>
              <w:rPr>
                <w:sz w:val="20"/>
                <w:szCs w:val="20"/>
                <w:color w:val="auto"/>
              </w:rPr>
            </w:pPr>
            <w:r>
              <w:rPr>
                <w:rFonts w:ascii="Arial" w:cs="Arial" w:eastAsia="Arial" w:hAnsi="Arial"/>
                <w:sz w:val="20"/>
                <w:szCs w:val="20"/>
                <w:color w:val="auto"/>
                <w:vertAlign w:val="subscript"/>
              </w:rPr>
              <w:t>—</w:t>
            </w:r>
            <w:r>
              <w:rPr>
                <w:rFonts w:ascii="Arial" w:cs="Arial" w:eastAsia="Arial" w:hAnsi="Arial"/>
                <w:sz w:val="9"/>
                <w:szCs w:val="9"/>
                <w:color w:val="auto"/>
              </w:rPr>
              <w:t>(3)</w:t>
            </w: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74" w:lineRule="exact"/>
              <w:rPr>
                <w:sz w:val="20"/>
                <w:szCs w:val="20"/>
                <w:color w:val="auto"/>
              </w:rPr>
            </w:pPr>
            <w:r>
              <w:rPr>
                <w:rFonts w:ascii="Arial" w:cs="Arial" w:eastAsia="Arial" w:hAnsi="Arial"/>
                <w:sz w:val="12"/>
                <w:szCs w:val="12"/>
                <w:color w:val="auto"/>
              </w:rPr>
              <w:t>750,000</w:t>
            </w:r>
            <w:r>
              <w:rPr>
                <w:rFonts w:ascii="Arial" w:cs="Arial" w:eastAsia="Arial" w:hAnsi="Arial"/>
                <w:sz w:val="20"/>
                <w:szCs w:val="20"/>
                <w:color w:val="auto"/>
                <w:vertAlign w:val="superscript"/>
              </w:rPr>
              <w:t>(3)</w:t>
            </w:r>
          </w:p>
        </w:tc>
        <w:tc>
          <w:tcPr>
            <w:tcW w:w="16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55,172</w:t>
            </w:r>
            <w:r>
              <w:rPr>
                <w:rFonts w:ascii="Arial" w:cs="Arial" w:eastAsia="Arial" w:hAnsi="Arial"/>
                <w:sz w:val="20"/>
                <w:szCs w:val="20"/>
                <w:color w:val="auto"/>
                <w:vertAlign w:val="superscript"/>
              </w:rPr>
              <w:t>(4)</w:t>
            </w: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3700" w:type="dxa"/>
            <w:vAlign w:val="bottom"/>
            <w:gridSpan w:val="2"/>
            <w:shd w:val="clear" w:color="auto" w:fill="CCEEFF"/>
          </w:tcPr>
          <w:p>
            <w:pPr>
              <w:ind w:left="140"/>
              <w:spacing w:after="0"/>
              <w:rPr>
                <w:sz w:val="20"/>
                <w:szCs w:val="20"/>
                <w:color w:val="auto"/>
              </w:rPr>
            </w:pPr>
            <w:r>
              <w:rPr>
                <w:rFonts w:ascii="Arial" w:cs="Arial" w:eastAsia="Arial" w:hAnsi="Arial"/>
                <w:sz w:val="12"/>
                <w:szCs w:val="12"/>
                <w:i w:val="1"/>
                <w:iCs w:val="1"/>
                <w:color w:val="auto"/>
              </w:rPr>
              <w:t>and Chief Executive Officer</w:t>
            </w: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8"/>
              </w:rPr>
              <w:t>03/31/17</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03/24/17</w:t>
            </w: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vMerge w:val="continue"/>
            <w:shd w:val="clear" w:color="auto" w:fill="CCEEFF"/>
          </w:tcPr>
          <w:p>
            <w:pPr>
              <w:spacing w:after="0"/>
              <w:rPr>
                <w:sz w:val="13"/>
                <w:szCs w:val="13"/>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1,999,985</w:t>
            </w:r>
          </w:p>
        </w:tc>
        <w:tc>
          <w:tcPr>
            <w:tcW w:w="0" w:type="dxa"/>
            <w:vAlign w:val="bottom"/>
          </w:tcPr>
          <w:p>
            <w:pPr>
              <w:spacing w:after="0"/>
              <w:rPr>
                <w:sz w:val="1"/>
                <w:szCs w:val="1"/>
                <w:color w:val="auto"/>
              </w:rPr>
            </w:pPr>
          </w:p>
        </w:tc>
      </w:tr>
      <w:tr>
        <w:trPr>
          <w:trHeight w:val="197"/>
        </w:trPr>
        <w:tc>
          <w:tcPr>
            <w:tcW w:w="27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8"/>
              </w:rPr>
              <w:t>03/31/17</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03/24/17</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197" w:lineRule="exact"/>
              <w:rPr>
                <w:sz w:val="20"/>
                <w:szCs w:val="20"/>
                <w:color w:val="auto"/>
              </w:rPr>
            </w:pPr>
            <w:r>
              <w:rPr>
                <w:rFonts w:ascii="Arial" w:cs="Arial" w:eastAsia="Arial" w:hAnsi="Arial"/>
                <w:sz w:val="12"/>
                <w:szCs w:val="12"/>
                <w:color w:val="auto"/>
              </w:rPr>
              <w:t>113,507</w:t>
            </w:r>
            <w:r>
              <w:rPr>
                <w:rFonts w:ascii="Arial" w:cs="Arial" w:eastAsia="Arial" w:hAnsi="Arial"/>
                <w:sz w:val="20"/>
                <w:szCs w:val="20"/>
                <w:color w:val="auto"/>
                <w:vertAlign w:val="superscript"/>
              </w:rPr>
              <w:t>(5)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999,997</w:t>
            </w:r>
          </w:p>
        </w:tc>
        <w:tc>
          <w:tcPr>
            <w:tcW w:w="0" w:type="dxa"/>
            <w:vAlign w:val="bottom"/>
          </w:tcPr>
          <w:p>
            <w:pPr>
              <w:spacing w:after="0"/>
              <w:rPr>
                <w:sz w:val="1"/>
                <w:szCs w:val="1"/>
                <w:color w:val="auto"/>
              </w:rPr>
            </w:pPr>
          </w:p>
        </w:tc>
      </w:tr>
      <w:tr>
        <w:trPr>
          <w:trHeight w:val="197"/>
        </w:trPr>
        <w:tc>
          <w:tcPr>
            <w:tcW w:w="27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8"/>
              </w:rPr>
              <w:t>03/31/17</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03/24/17</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197" w:lineRule="exact"/>
              <w:rPr>
                <w:sz w:val="20"/>
                <w:szCs w:val="20"/>
                <w:color w:val="auto"/>
              </w:rPr>
            </w:pPr>
            <w:r>
              <w:rPr>
                <w:rFonts w:ascii="Arial" w:cs="Arial" w:eastAsia="Arial" w:hAnsi="Arial"/>
                <w:sz w:val="12"/>
                <w:szCs w:val="12"/>
                <w:color w:val="auto"/>
              </w:rPr>
              <w:t>113,507</w:t>
            </w:r>
            <w:r>
              <w:rPr>
                <w:rFonts w:ascii="Arial" w:cs="Arial" w:eastAsia="Arial" w:hAnsi="Arial"/>
                <w:sz w:val="20"/>
                <w:szCs w:val="20"/>
                <w:color w:val="auto"/>
                <w:vertAlign w:val="superscript"/>
              </w:rPr>
              <w:t>(6)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999,997</w:t>
            </w:r>
          </w:p>
        </w:tc>
        <w:tc>
          <w:tcPr>
            <w:tcW w:w="0" w:type="dxa"/>
            <w:vAlign w:val="bottom"/>
          </w:tcPr>
          <w:p>
            <w:pPr>
              <w:spacing w:after="0"/>
              <w:rPr>
                <w:sz w:val="1"/>
                <w:szCs w:val="1"/>
                <w:color w:val="auto"/>
              </w:rPr>
            </w:pPr>
          </w:p>
        </w:tc>
      </w:tr>
      <w:tr>
        <w:trPr>
          <w:trHeight w:val="147"/>
        </w:trPr>
        <w:tc>
          <w:tcPr>
            <w:tcW w:w="3700" w:type="dxa"/>
            <w:vAlign w:val="bottom"/>
            <w:gridSpan w:val="2"/>
          </w:tcPr>
          <w:p>
            <w:pPr>
              <w:spacing w:after="0"/>
              <w:rPr>
                <w:sz w:val="20"/>
                <w:szCs w:val="20"/>
                <w:color w:val="auto"/>
              </w:rPr>
            </w:pPr>
            <w:r>
              <w:rPr>
                <w:rFonts w:ascii="Arial" w:cs="Arial" w:eastAsia="Arial" w:hAnsi="Arial"/>
                <w:sz w:val="12"/>
                <w:szCs w:val="12"/>
                <w:color w:val="auto"/>
              </w:rPr>
              <w:t>Ira M. Birns</w:t>
            </w: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n/a</w:t>
            </w:r>
          </w:p>
        </w:tc>
        <w:tc>
          <w:tcPr>
            <w:tcW w:w="780" w:type="dxa"/>
            <w:vAlign w:val="bottom"/>
            <w:gridSpan w:val="2"/>
          </w:tcPr>
          <w:p>
            <w:pPr>
              <w:jc w:val="right"/>
              <w:spacing w:after="0"/>
              <w:rPr>
                <w:sz w:val="20"/>
                <w:szCs w:val="20"/>
                <w:color w:val="auto"/>
              </w:rPr>
            </w:pPr>
            <w:r>
              <w:rPr>
                <w:rFonts w:ascii="Arial" w:cs="Arial" w:eastAsia="Arial" w:hAnsi="Arial"/>
                <w:sz w:val="12"/>
                <w:szCs w:val="12"/>
                <w:color w:val="auto"/>
              </w:rPr>
              <w:t>03/24/17</w:t>
            </w:r>
          </w:p>
        </w:tc>
        <w:tc>
          <w:tcPr>
            <w:tcW w:w="140" w:type="dxa"/>
            <w:vAlign w:val="bottom"/>
          </w:tcPr>
          <w:p>
            <w:pPr>
              <w:spacing w:after="0"/>
              <w:rPr>
                <w:sz w:val="12"/>
                <w:szCs w:val="12"/>
                <w:color w:val="auto"/>
              </w:rPr>
            </w:pPr>
          </w:p>
        </w:tc>
        <w:tc>
          <w:tcPr>
            <w:tcW w:w="600" w:type="dxa"/>
            <w:vAlign w:val="bottom"/>
          </w:tcPr>
          <w:p>
            <w:pPr>
              <w:jc w:val="right"/>
              <w:spacing w:after="0" w:line="147" w:lineRule="exact"/>
              <w:rPr>
                <w:sz w:val="20"/>
                <w:szCs w:val="20"/>
                <w:color w:val="auto"/>
              </w:rPr>
            </w:pPr>
            <w:r>
              <w:rPr>
                <w:rFonts w:ascii="Arial" w:cs="Arial" w:eastAsia="Arial" w:hAnsi="Arial"/>
                <w:sz w:val="11"/>
                <w:szCs w:val="11"/>
                <w:color w:val="auto"/>
              </w:rPr>
              <w:t>175,000</w:t>
            </w:r>
            <w:r>
              <w:rPr>
                <w:rFonts w:ascii="Arial" w:cs="Arial" w:eastAsia="Arial" w:hAnsi="Arial"/>
                <w:sz w:val="17"/>
                <w:szCs w:val="17"/>
                <w:color w:val="auto"/>
                <w:vertAlign w:val="superscript"/>
              </w:rPr>
              <w:t>(2)</w:t>
            </w:r>
          </w:p>
        </w:tc>
        <w:tc>
          <w:tcPr>
            <w:tcW w:w="860" w:type="dxa"/>
            <w:vAlign w:val="bottom"/>
            <w:gridSpan w:val="2"/>
          </w:tcPr>
          <w:p>
            <w:pPr>
              <w:jc w:val="right"/>
              <w:spacing w:after="0" w:line="147" w:lineRule="exact"/>
              <w:rPr>
                <w:sz w:val="20"/>
                <w:szCs w:val="20"/>
                <w:color w:val="auto"/>
              </w:rPr>
            </w:pPr>
            <w:r>
              <w:rPr>
                <w:rFonts w:ascii="Arial" w:cs="Arial" w:eastAsia="Arial" w:hAnsi="Arial"/>
                <w:sz w:val="11"/>
                <w:szCs w:val="11"/>
                <w:color w:val="auto"/>
              </w:rPr>
              <w:t>350,000</w:t>
            </w:r>
            <w:r>
              <w:rPr>
                <w:rFonts w:ascii="Arial" w:cs="Arial" w:eastAsia="Arial" w:hAnsi="Arial"/>
                <w:sz w:val="17"/>
                <w:szCs w:val="17"/>
                <w:color w:val="auto"/>
                <w:vertAlign w:val="superscript"/>
              </w:rPr>
              <w:t>(2)</w:t>
            </w:r>
          </w:p>
        </w:tc>
        <w:tc>
          <w:tcPr>
            <w:tcW w:w="160" w:type="dxa"/>
            <w:vAlign w:val="bottom"/>
          </w:tcPr>
          <w:p>
            <w:pPr>
              <w:spacing w:after="0"/>
              <w:rPr>
                <w:sz w:val="12"/>
                <w:szCs w:val="12"/>
                <w:color w:val="auto"/>
              </w:rPr>
            </w:pPr>
          </w:p>
        </w:tc>
        <w:tc>
          <w:tcPr>
            <w:tcW w:w="700" w:type="dxa"/>
            <w:vAlign w:val="bottom"/>
          </w:tcPr>
          <w:p>
            <w:pPr>
              <w:jc w:val="right"/>
              <w:spacing w:after="0" w:line="147" w:lineRule="exact"/>
              <w:rPr>
                <w:sz w:val="20"/>
                <w:szCs w:val="20"/>
                <w:color w:val="auto"/>
              </w:rPr>
            </w:pPr>
            <w:r>
              <w:rPr>
                <w:rFonts w:ascii="Arial" w:cs="Arial" w:eastAsia="Arial" w:hAnsi="Arial"/>
                <w:sz w:val="11"/>
                <w:szCs w:val="11"/>
                <w:color w:val="auto"/>
              </w:rPr>
              <w:t>1,050,000</w:t>
            </w:r>
            <w:r>
              <w:rPr>
                <w:rFonts w:ascii="Arial" w:cs="Arial" w:eastAsia="Arial" w:hAnsi="Arial"/>
                <w:sz w:val="17"/>
                <w:szCs w:val="17"/>
                <w:color w:val="auto"/>
                <w:vertAlign w:val="superscript"/>
              </w:rPr>
              <w:t>(2)</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700" w:type="dxa"/>
            <w:vAlign w:val="bottom"/>
            <w:gridSpan w:val="2"/>
          </w:tcPr>
          <w:p>
            <w:pPr>
              <w:ind w:left="140"/>
              <w:spacing w:after="0"/>
              <w:rPr>
                <w:sz w:val="20"/>
                <w:szCs w:val="20"/>
                <w:color w:val="auto"/>
              </w:rPr>
            </w:pPr>
            <w:r>
              <w:rPr>
                <w:rFonts w:ascii="Arial" w:cs="Arial" w:eastAsia="Arial" w:hAnsi="Arial"/>
                <w:sz w:val="12"/>
                <w:szCs w:val="12"/>
                <w:i w:val="1"/>
                <w:iCs w:val="1"/>
                <w:color w:val="auto"/>
              </w:rPr>
              <w:t>Executive Vice President</w:t>
            </w:r>
          </w:p>
        </w:tc>
        <w:tc>
          <w:tcPr>
            <w:tcW w:w="1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n/a</w:t>
            </w:r>
          </w:p>
        </w:tc>
        <w:tc>
          <w:tcPr>
            <w:tcW w:w="780" w:type="dxa"/>
            <w:vAlign w:val="bottom"/>
            <w:gridSpan w:val="2"/>
          </w:tcPr>
          <w:p>
            <w:pPr>
              <w:jc w:val="right"/>
              <w:spacing w:after="0"/>
              <w:rPr>
                <w:sz w:val="20"/>
                <w:szCs w:val="20"/>
                <w:color w:val="auto"/>
              </w:rPr>
            </w:pPr>
            <w:r>
              <w:rPr>
                <w:rFonts w:ascii="Arial" w:cs="Arial" w:eastAsia="Arial" w:hAnsi="Arial"/>
                <w:sz w:val="12"/>
                <w:szCs w:val="12"/>
                <w:color w:val="auto"/>
              </w:rPr>
              <w:t>03/24/17</w:t>
            </w:r>
          </w:p>
        </w:tc>
        <w:tc>
          <w:tcPr>
            <w:tcW w:w="140" w:type="dxa"/>
            <w:vAlign w:val="bottom"/>
          </w:tcPr>
          <w:p>
            <w:pPr>
              <w:spacing w:after="0"/>
              <w:rPr>
                <w:sz w:val="16"/>
                <w:szCs w:val="16"/>
                <w:color w:val="auto"/>
              </w:rPr>
            </w:pPr>
          </w:p>
        </w:tc>
        <w:tc>
          <w:tcPr>
            <w:tcW w:w="600" w:type="dxa"/>
            <w:vAlign w:val="bottom"/>
          </w:tcPr>
          <w:p>
            <w:pPr>
              <w:jc w:val="right"/>
              <w:spacing w:after="0" w:line="190"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9"/>
                <w:szCs w:val="9"/>
                <w:color w:val="auto"/>
              </w:rPr>
              <w:t>(3)</w:t>
            </w: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line="189" w:lineRule="exact"/>
              <w:rPr>
                <w:sz w:val="20"/>
                <w:szCs w:val="20"/>
                <w:color w:val="auto"/>
              </w:rPr>
            </w:pPr>
            <w:r>
              <w:rPr>
                <w:rFonts w:ascii="Arial" w:cs="Arial" w:eastAsia="Arial" w:hAnsi="Arial"/>
                <w:sz w:val="12"/>
                <w:szCs w:val="12"/>
                <w:color w:val="auto"/>
              </w:rPr>
              <w:t>300,000</w:t>
            </w:r>
            <w:r>
              <w:rPr>
                <w:rFonts w:ascii="Arial" w:cs="Arial" w:eastAsia="Arial" w:hAnsi="Arial"/>
                <w:sz w:val="20"/>
                <w:szCs w:val="20"/>
                <w:color w:val="auto"/>
                <w:vertAlign w:val="superscript"/>
              </w:rPr>
              <w:t>(3)</w:t>
            </w:r>
          </w:p>
        </w:tc>
        <w:tc>
          <w:tcPr>
            <w:tcW w:w="160" w:type="dxa"/>
            <w:vAlign w:val="bottom"/>
          </w:tcPr>
          <w:p>
            <w:pPr>
              <w:spacing w:after="0"/>
              <w:rPr>
                <w:sz w:val="16"/>
                <w:szCs w:val="16"/>
                <w:color w:val="auto"/>
              </w:rPr>
            </w:pPr>
          </w:p>
        </w:tc>
        <w:tc>
          <w:tcPr>
            <w:tcW w:w="620" w:type="dxa"/>
            <w:vAlign w:val="bottom"/>
            <w:vMerge w:val="restart"/>
          </w:tcPr>
          <w:p>
            <w:pPr>
              <w:jc w:val="right"/>
              <w:spacing w:after="0"/>
              <w:rPr>
                <w:sz w:val="20"/>
                <w:szCs w:val="20"/>
                <w:color w:val="auto"/>
              </w:rPr>
            </w:pPr>
            <w:r>
              <w:rPr>
                <w:rFonts w:ascii="Arial" w:cs="Arial" w:eastAsia="Arial" w:hAnsi="Arial"/>
                <w:sz w:val="12"/>
                <w:szCs w:val="12"/>
                <w:color w:val="auto"/>
              </w:rPr>
              <w:t>20,690</w:t>
            </w:r>
            <w:r>
              <w:rPr>
                <w:rFonts w:ascii="Arial" w:cs="Arial" w:eastAsia="Arial" w:hAnsi="Arial"/>
                <w:sz w:val="20"/>
                <w:szCs w:val="20"/>
                <w:color w:val="auto"/>
                <w:vertAlign w:val="superscript"/>
              </w:rPr>
              <w:t>(4)</w:t>
            </w: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3700" w:type="dxa"/>
            <w:vAlign w:val="bottom"/>
            <w:gridSpan w:val="2"/>
          </w:tcPr>
          <w:p>
            <w:pPr>
              <w:ind w:left="140"/>
              <w:spacing w:after="0"/>
              <w:rPr>
                <w:sz w:val="20"/>
                <w:szCs w:val="20"/>
                <w:color w:val="auto"/>
              </w:rPr>
            </w:pPr>
            <w:r>
              <w:rPr>
                <w:rFonts w:ascii="Arial" w:cs="Arial" w:eastAsia="Arial" w:hAnsi="Arial"/>
                <w:sz w:val="12"/>
                <w:szCs w:val="12"/>
                <w:i w:val="1"/>
                <w:iCs w:val="1"/>
                <w:color w:val="auto"/>
              </w:rPr>
              <w:t>and Chief Financial Officer</w:t>
            </w:r>
          </w:p>
        </w:tc>
        <w:tc>
          <w:tcPr>
            <w:tcW w:w="640" w:type="dxa"/>
            <w:vAlign w:val="bottom"/>
            <w:gridSpan w:val="2"/>
          </w:tcPr>
          <w:p>
            <w:pPr>
              <w:jc w:val="right"/>
              <w:spacing w:after="0"/>
              <w:rPr>
                <w:sz w:val="20"/>
                <w:szCs w:val="20"/>
                <w:color w:val="auto"/>
              </w:rPr>
            </w:pPr>
            <w:r>
              <w:rPr>
                <w:rFonts w:ascii="Arial" w:cs="Arial" w:eastAsia="Arial" w:hAnsi="Arial"/>
                <w:sz w:val="12"/>
                <w:szCs w:val="12"/>
                <w:color w:val="auto"/>
              </w:rPr>
              <w:t>03/31/17</w:t>
            </w:r>
          </w:p>
        </w:tc>
        <w:tc>
          <w:tcPr>
            <w:tcW w:w="780" w:type="dxa"/>
            <w:vAlign w:val="bottom"/>
            <w:gridSpan w:val="2"/>
          </w:tcPr>
          <w:p>
            <w:pPr>
              <w:jc w:val="right"/>
              <w:spacing w:after="0"/>
              <w:rPr>
                <w:sz w:val="20"/>
                <w:szCs w:val="20"/>
                <w:color w:val="auto"/>
              </w:rPr>
            </w:pPr>
            <w:r>
              <w:rPr>
                <w:rFonts w:ascii="Arial" w:cs="Arial" w:eastAsia="Arial" w:hAnsi="Arial"/>
                <w:sz w:val="12"/>
                <w:szCs w:val="12"/>
                <w:color w:val="auto"/>
              </w:rPr>
              <w:t>03/24/17</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750,013</w:t>
            </w:r>
          </w:p>
        </w:tc>
        <w:tc>
          <w:tcPr>
            <w:tcW w:w="0" w:type="dxa"/>
            <w:vAlign w:val="bottom"/>
          </w:tcPr>
          <w:p>
            <w:pPr>
              <w:spacing w:after="0"/>
              <w:rPr>
                <w:sz w:val="1"/>
                <w:szCs w:val="1"/>
                <w:color w:val="auto"/>
              </w:rPr>
            </w:pPr>
          </w:p>
        </w:tc>
      </w:tr>
      <w:tr>
        <w:trPr>
          <w:trHeight w:val="174"/>
        </w:trPr>
        <w:tc>
          <w:tcPr>
            <w:tcW w:w="27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40" w:type="dxa"/>
            <w:vAlign w:val="bottom"/>
            <w:gridSpan w:val="2"/>
          </w:tcPr>
          <w:p>
            <w:pPr>
              <w:jc w:val="right"/>
              <w:spacing w:after="0"/>
              <w:rPr>
                <w:sz w:val="20"/>
                <w:szCs w:val="20"/>
                <w:color w:val="auto"/>
              </w:rPr>
            </w:pPr>
            <w:r>
              <w:rPr>
                <w:rFonts w:ascii="Arial" w:cs="Arial" w:eastAsia="Arial" w:hAnsi="Arial"/>
                <w:sz w:val="12"/>
                <w:szCs w:val="12"/>
                <w:color w:val="auto"/>
              </w:rPr>
              <w:t>03/31/17</w:t>
            </w:r>
          </w:p>
        </w:tc>
        <w:tc>
          <w:tcPr>
            <w:tcW w:w="780" w:type="dxa"/>
            <w:vAlign w:val="bottom"/>
            <w:gridSpan w:val="2"/>
          </w:tcPr>
          <w:p>
            <w:pPr>
              <w:jc w:val="right"/>
              <w:spacing w:after="0"/>
              <w:rPr>
                <w:sz w:val="20"/>
                <w:szCs w:val="20"/>
                <w:color w:val="auto"/>
              </w:rPr>
            </w:pPr>
            <w:r>
              <w:rPr>
                <w:rFonts w:ascii="Arial" w:cs="Arial" w:eastAsia="Arial" w:hAnsi="Arial"/>
                <w:sz w:val="12"/>
                <w:szCs w:val="12"/>
                <w:color w:val="auto"/>
              </w:rPr>
              <w:t>03/24/17</w:t>
            </w: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line="174" w:lineRule="exact"/>
              <w:rPr>
                <w:sz w:val="20"/>
                <w:szCs w:val="20"/>
                <w:color w:val="auto"/>
              </w:rPr>
            </w:pPr>
            <w:r>
              <w:rPr>
                <w:rFonts w:ascii="Arial" w:cs="Arial" w:eastAsia="Arial" w:hAnsi="Arial"/>
                <w:sz w:val="12"/>
                <w:szCs w:val="12"/>
                <w:color w:val="auto"/>
              </w:rPr>
              <w:t>45,403</w:t>
            </w:r>
            <w:r>
              <w:rPr>
                <w:rFonts w:ascii="Arial" w:cs="Arial" w:eastAsia="Arial" w:hAnsi="Arial"/>
                <w:sz w:val="20"/>
                <w:szCs w:val="20"/>
                <w:color w:val="auto"/>
                <w:vertAlign w:val="superscript"/>
              </w:rPr>
              <w:t>(6)</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400,000</w:t>
            </w:r>
          </w:p>
        </w:tc>
        <w:tc>
          <w:tcPr>
            <w:tcW w:w="0" w:type="dxa"/>
            <w:vAlign w:val="bottom"/>
          </w:tcPr>
          <w:p>
            <w:pPr>
              <w:spacing w:after="0"/>
              <w:rPr>
                <w:sz w:val="1"/>
                <w:szCs w:val="1"/>
                <w:color w:val="auto"/>
              </w:rPr>
            </w:pPr>
          </w:p>
        </w:tc>
      </w:tr>
      <w:tr>
        <w:trPr>
          <w:trHeight w:val="147"/>
        </w:trPr>
        <w:tc>
          <w:tcPr>
            <w:tcW w:w="37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Jeffrey P. Smith</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11/10/17</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10/03/17</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7" w:lineRule="exact"/>
              <w:rPr>
                <w:sz w:val="20"/>
                <w:szCs w:val="20"/>
                <w:color w:val="auto"/>
              </w:rPr>
            </w:pPr>
            <w:r>
              <w:rPr>
                <w:rFonts w:ascii="Arial" w:cs="Arial" w:eastAsia="Arial" w:hAnsi="Arial"/>
                <w:sz w:val="11"/>
                <w:szCs w:val="11"/>
                <w:color w:val="auto"/>
              </w:rPr>
              <w:t>55,949</w:t>
            </w:r>
            <w:r>
              <w:rPr>
                <w:rFonts w:ascii="Arial" w:cs="Arial" w:eastAsia="Arial" w:hAnsi="Arial"/>
                <w:sz w:val="17"/>
                <w:szCs w:val="17"/>
                <w:color w:val="auto"/>
                <w:vertAlign w:val="superscript"/>
              </w:rPr>
              <w:t>(7)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1,499,993</w:t>
            </w:r>
          </w:p>
        </w:tc>
        <w:tc>
          <w:tcPr>
            <w:tcW w:w="0" w:type="dxa"/>
            <w:vAlign w:val="bottom"/>
          </w:tcPr>
          <w:p>
            <w:pPr>
              <w:spacing w:after="0"/>
              <w:rPr>
                <w:sz w:val="1"/>
                <w:szCs w:val="1"/>
                <w:color w:val="auto"/>
              </w:rPr>
            </w:pPr>
          </w:p>
        </w:tc>
      </w:tr>
      <w:tr>
        <w:trPr>
          <w:trHeight w:val="174"/>
        </w:trPr>
        <w:tc>
          <w:tcPr>
            <w:tcW w:w="3700" w:type="dxa"/>
            <w:vAlign w:val="bottom"/>
            <w:gridSpan w:val="2"/>
            <w:shd w:val="clear" w:color="auto" w:fill="CCEEFF"/>
          </w:tcPr>
          <w:p>
            <w:pPr>
              <w:ind w:left="140"/>
              <w:spacing w:after="0"/>
              <w:rPr>
                <w:sz w:val="20"/>
                <w:szCs w:val="20"/>
                <w:color w:val="auto"/>
              </w:rPr>
            </w:pPr>
            <w:r>
              <w:rPr>
                <w:rFonts w:ascii="Arial" w:cs="Arial" w:eastAsia="Arial" w:hAnsi="Arial"/>
                <w:sz w:val="12"/>
                <w:szCs w:val="12"/>
                <w:i w:val="1"/>
                <w:iCs w:val="1"/>
                <w:color w:val="auto"/>
              </w:rPr>
              <w:t>Executive Vice President</w:t>
            </w: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11/10/17</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10/03/17</w:t>
            </w: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line="174" w:lineRule="exact"/>
              <w:rPr>
                <w:sz w:val="20"/>
                <w:szCs w:val="20"/>
                <w:color w:val="auto"/>
              </w:rPr>
            </w:pPr>
            <w:r>
              <w:rPr>
                <w:rFonts w:ascii="Arial" w:cs="Arial" w:eastAsia="Arial" w:hAnsi="Arial"/>
                <w:sz w:val="12"/>
                <w:szCs w:val="12"/>
                <w:color w:val="auto"/>
              </w:rPr>
              <w:t>55,949</w:t>
            </w:r>
            <w:r>
              <w:rPr>
                <w:rFonts w:ascii="Arial" w:cs="Arial" w:eastAsia="Arial" w:hAnsi="Arial"/>
                <w:sz w:val="20"/>
                <w:szCs w:val="20"/>
                <w:color w:val="auto"/>
                <w:vertAlign w:val="superscript"/>
              </w:rPr>
              <w:t>(8)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1,499,993</w:t>
            </w:r>
          </w:p>
        </w:tc>
        <w:tc>
          <w:tcPr>
            <w:tcW w:w="0" w:type="dxa"/>
            <w:vAlign w:val="bottom"/>
          </w:tcPr>
          <w:p>
            <w:pPr>
              <w:spacing w:after="0"/>
              <w:rPr>
                <w:sz w:val="1"/>
                <w:szCs w:val="1"/>
                <w:color w:val="auto"/>
              </w:rPr>
            </w:pPr>
          </w:p>
        </w:tc>
      </w:tr>
      <w:tr>
        <w:trPr>
          <w:trHeight w:val="136"/>
        </w:trPr>
        <w:tc>
          <w:tcPr>
            <w:tcW w:w="3700" w:type="dxa"/>
            <w:vAlign w:val="bottom"/>
            <w:gridSpan w:val="2"/>
            <w:shd w:val="clear" w:color="auto" w:fill="CCEEFF"/>
          </w:tcPr>
          <w:p>
            <w:pPr>
              <w:ind w:left="140"/>
              <w:spacing w:after="0" w:line="136" w:lineRule="exact"/>
              <w:rPr>
                <w:sz w:val="20"/>
                <w:szCs w:val="20"/>
                <w:color w:val="auto"/>
              </w:rPr>
            </w:pPr>
            <w:r>
              <w:rPr>
                <w:rFonts w:ascii="Arial" w:cs="Arial" w:eastAsia="Arial" w:hAnsi="Arial"/>
                <w:sz w:val="12"/>
                <w:szCs w:val="12"/>
                <w:i w:val="1"/>
                <w:iCs w:val="1"/>
                <w:color w:val="auto"/>
              </w:rPr>
              <w:t>and Chief Operating Officer</w:t>
            </w: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3700" w:type="dxa"/>
            <w:vAlign w:val="bottom"/>
            <w:gridSpan w:val="2"/>
          </w:tcPr>
          <w:p>
            <w:pPr>
              <w:spacing w:after="0"/>
              <w:rPr>
                <w:sz w:val="20"/>
                <w:szCs w:val="20"/>
                <w:color w:val="auto"/>
              </w:rPr>
            </w:pPr>
            <w:r>
              <w:rPr>
                <w:rFonts w:ascii="Arial" w:cs="Arial" w:eastAsia="Arial" w:hAnsi="Arial"/>
                <w:sz w:val="12"/>
                <w:szCs w:val="12"/>
                <w:color w:val="auto"/>
              </w:rPr>
              <w:t>Michael J. Crosby</w:t>
            </w: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n/a</w:t>
            </w:r>
          </w:p>
        </w:tc>
        <w:tc>
          <w:tcPr>
            <w:tcW w:w="780" w:type="dxa"/>
            <w:vAlign w:val="bottom"/>
            <w:gridSpan w:val="2"/>
          </w:tcPr>
          <w:p>
            <w:pPr>
              <w:jc w:val="right"/>
              <w:spacing w:after="0"/>
              <w:rPr>
                <w:sz w:val="20"/>
                <w:szCs w:val="20"/>
                <w:color w:val="auto"/>
              </w:rPr>
            </w:pPr>
            <w:r>
              <w:rPr>
                <w:rFonts w:ascii="Arial" w:cs="Arial" w:eastAsia="Arial" w:hAnsi="Arial"/>
                <w:sz w:val="12"/>
                <w:szCs w:val="12"/>
                <w:color w:val="auto"/>
              </w:rPr>
              <w:t>03/24/17</w:t>
            </w:r>
          </w:p>
        </w:tc>
        <w:tc>
          <w:tcPr>
            <w:tcW w:w="140" w:type="dxa"/>
            <w:vAlign w:val="bottom"/>
          </w:tcPr>
          <w:p>
            <w:pPr>
              <w:spacing w:after="0"/>
              <w:rPr>
                <w:sz w:val="12"/>
                <w:szCs w:val="12"/>
                <w:color w:val="auto"/>
              </w:rPr>
            </w:pPr>
          </w:p>
        </w:tc>
        <w:tc>
          <w:tcPr>
            <w:tcW w:w="600" w:type="dxa"/>
            <w:vAlign w:val="bottom"/>
          </w:tcPr>
          <w:p>
            <w:pPr>
              <w:jc w:val="right"/>
              <w:spacing w:after="0" w:line="147" w:lineRule="exact"/>
              <w:rPr>
                <w:sz w:val="20"/>
                <w:szCs w:val="20"/>
                <w:color w:val="auto"/>
              </w:rPr>
            </w:pPr>
            <w:r>
              <w:rPr>
                <w:rFonts w:ascii="Arial" w:cs="Arial" w:eastAsia="Arial" w:hAnsi="Arial"/>
                <w:sz w:val="11"/>
                <w:szCs w:val="11"/>
                <w:color w:val="auto"/>
              </w:rPr>
              <w:t>18,750</w:t>
            </w:r>
            <w:r>
              <w:rPr>
                <w:rFonts w:ascii="Arial" w:cs="Arial" w:eastAsia="Arial" w:hAnsi="Arial"/>
                <w:sz w:val="17"/>
                <w:szCs w:val="17"/>
                <w:color w:val="auto"/>
                <w:vertAlign w:val="superscript"/>
              </w:rPr>
              <w:t>(2)</w:t>
            </w:r>
          </w:p>
        </w:tc>
        <w:tc>
          <w:tcPr>
            <w:tcW w:w="860" w:type="dxa"/>
            <w:vAlign w:val="bottom"/>
            <w:gridSpan w:val="2"/>
          </w:tcPr>
          <w:p>
            <w:pPr>
              <w:jc w:val="right"/>
              <w:spacing w:after="0" w:line="147" w:lineRule="exact"/>
              <w:rPr>
                <w:sz w:val="20"/>
                <w:szCs w:val="20"/>
                <w:color w:val="auto"/>
              </w:rPr>
            </w:pPr>
            <w:r>
              <w:rPr>
                <w:rFonts w:ascii="Arial" w:cs="Arial" w:eastAsia="Arial" w:hAnsi="Arial"/>
                <w:sz w:val="11"/>
                <w:szCs w:val="11"/>
                <w:color w:val="auto"/>
              </w:rPr>
              <w:t>600,000</w:t>
            </w:r>
            <w:r>
              <w:rPr>
                <w:rFonts w:ascii="Arial" w:cs="Arial" w:eastAsia="Arial" w:hAnsi="Arial"/>
                <w:sz w:val="17"/>
                <w:szCs w:val="17"/>
                <w:color w:val="auto"/>
                <w:vertAlign w:val="superscript"/>
              </w:rPr>
              <w:t>(2)</w:t>
            </w:r>
          </w:p>
        </w:tc>
        <w:tc>
          <w:tcPr>
            <w:tcW w:w="160" w:type="dxa"/>
            <w:vAlign w:val="bottom"/>
          </w:tcPr>
          <w:p>
            <w:pPr>
              <w:spacing w:after="0"/>
              <w:rPr>
                <w:sz w:val="12"/>
                <w:szCs w:val="12"/>
                <w:color w:val="auto"/>
              </w:rPr>
            </w:pPr>
          </w:p>
        </w:tc>
        <w:tc>
          <w:tcPr>
            <w:tcW w:w="700" w:type="dxa"/>
            <w:vAlign w:val="bottom"/>
          </w:tcPr>
          <w:p>
            <w:pPr>
              <w:jc w:val="right"/>
              <w:spacing w:after="0" w:line="147" w:lineRule="exact"/>
              <w:rPr>
                <w:sz w:val="20"/>
                <w:szCs w:val="20"/>
                <w:color w:val="auto"/>
              </w:rPr>
            </w:pPr>
            <w:r>
              <w:rPr>
                <w:rFonts w:ascii="Arial" w:cs="Arial" w:eastAsia="Arial" w:hAnsi="Arial"/>
                <w:sz w:val="11"/>
                <w:szCs w:val="11"/>
                <w:color w:val="auto"/>
              </w:rPr>
              <w:t>1,350,000</w:t>
            </w:r>
            <w:r>
              <w:rPr>
                <w:rFonts w:ascii="Arial" w:cs="Arial" w:eastAsia="Arial" w:hAnsi="Arial"/>
                <w:sz w:val="17"/>
                <w:szCs w:val="17"/>
                <w:color w:val="auto"/>
                <w:vertAlign w:val="superscript"/>
              </w:rPr>
              <w:t>(2)</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700" w:type="dxa"/>
            <w:vAlign w:val="bottom"/>
            <w:gridSpan w:val="2"/>
          </w:tcPr>
          <w:p>
            <w:pPr>
              <w:ind w:left="140"/>
              <w:spacing w:after="0"/>
              <w:rPr>
                <w:sz w:val="20"/>
                <w:szCs w:val="20"/>
                <w:color w:val="auto"/>
              </w:rPr>
            </w:pPr>
            <w:r>
              <w:rPr>
                <w:rFonts w:ascii="Arial" w:cs="Arial" w:eastAsia="Arial" w:hAnsi="Arial"/>
                <w:sz w:val="12"/>
                <w:szCs w:val="12"/>
                <w:i w:val="1"/>
                <w:iCs w:val="1"/>
                <w:color w:val="auto"/>
              </w:rPr>
              <w:t>Executive Vice</w:t>
            </w:r>
          </w:p>
        </w:tc>
        <w:tc>
          <w:tcPr>
            <w:tcW w:w="1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n/a</w:t>
            </w:r>
          </w:p>
        </w:tc>
        <w:tc>
          <w:tcPr>
            <w:tcW w:w="780" w:type="dxa"/>
            <w:vAlign w:val="bottom"/>
            <w:gridSpan w:val="2"/>
          </w:tcPr>
          <w:p>
            <w:pPr>
              <w:jc w:val="right"/>
              <w:spacing w:after="0"/>
              <w:rPr>
                <w:sz w:val="20"/>
                <w:szCs w:val="20"/>
                <w:color w:val="auto"/>
              </w:rPr>
            </w:pPr>
            <w:r>
              <w:rPr>
                <w:rFonts w:ascii="Arial" w:cs="Arial" w:eastAsia="Arial" w:hAnsi="Arial"/>
                <w:sz w:val="12"/>
                <w:szCs w:val="12"/>
                <w:color w:val="auto"/>
              </w:rPr>
              <w:t>03/24/17</w:t>
            </w:r>
          </w:p>
        </w:tc>
        <w:tc>
          <w:tcPr>
            <w:tcW w:w="140" w:type="dxa"/>
            <w:vAlign w:val="bottom"/>
          </w:tcPr>
          <w:p>
            <w:pPr>
              <w:spacing w:after="0"/>
              <w:rPr>
                <w:sz w:val="16"/>
                <w:szCs w:val="16"/>
                <w:color w:val="auto"/>
              </w:rPr>
            </w:pPr>
          </w:p>
        </w:tc>
        <w:tc>
          <w:tcPr>
            <w:tcW w:w="600" w:type="dxa"/>
            <w:vAlign w:val="bottom"/>
          </w:tcPr>
          <w:p>
            <w:pPr>
              <w:jc w:val="right"/>
              <w:spacing w:after="0" w:line="190"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9"/>
                <w:szCs w:val="9"/>
                <w:color w:val="auto"/>
              </w:rPr>
              <w:t>(3)</w:t>
            </w: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line="189" w:lineRule="exact"/>
              <w:rPr>
                <w:sz w:val="20"/>
                <w:szCs w:val="20"/>
                <w:color w:val="auto"/>
              </w:rPr>
            </w:pPr>
            <w:r>
              <w:rPr>
                <w:rFonts w:ascii="Arial" w:cs="Arial" w:eastAsia="Arial" w:hAnsi="Arial"/>
                <w:sz w:val="12"/>
                <w:szCs w:val="12"/>
                <w:color w:val="auto"/>
              </w:rPr>
              <w:t>150,000</w:t>
            </w:r>
            <w:r>
              <w:rPr>
                <w:rFonts w:ascii="Arial" w:cs="Arial" w:eastAsia="Arial" w:hAnsi="Arial"/>
                <w:sz w:val="20"/>
                <w:szCs w:val="20"/>
                <w:color w:val="auto"/>
                <w:vertAlign w:val="superscript"/>
              </w:rPr>
              <w:t>(3)</w:t>
            </w:r>
          </w:p>
        </w:tc>
        <w:tc>
          <w:tcPr>
            <w:tcW w:w="160" w:type="dxa"/>
            <w:vAlign w:val="bottom"/>
          </w:tcPr>
          <w:p>
            <w:pPr>
              <w:spacing w:after="0"/>
              <w:rPr>
                <w:sz w:val="16"/>
                <w:szCs w:val="16"/>
                <w:color w:val="auto"/>
              </w:rPr>
            </w:pPr>
          </w:p>
        </w:tc>
        <w:tc>
          <w:tcPr>
            <w:tcW w:w="620" w:type="dxa"/>
            <w:vAlign w:val="bottom"/>
            <w:vMerge w:val="restart"/>
          </w:tcPr>
          <w:p>
            <w:pPr>
              <w:jc w:val="right"/>
              <w:spacing w:after="0"/>
              <w:rPr>
                <w:sz w:val="20"/>
                <w:szCs w:val="20"/>
                <w:color w:val="auto"/>
              </w:rPr>
            </w:pPr>
            <w:r>
              <w:rPr>
                <w:rFonts w:ascii="Arial" w:cs="Arial" w:eastAsia="Arial" w:hAnsi="Arial"/>
                <w:sz w:val="12"/>
                <w:szCs w:val="12"/>
                <w:color w:val="auto"/>
              </w:rPr>
              <w:t>13,793</w:t>
            </w:r>
            <w:r>
              <w:rPr>
                <w:rFonts w:ascii="Arial" w:cs="Arial" w:eastAsia="Arial" w:hAnsi="Arial"/>
                <w:sz w:val="20"/>
                <w:szCs w:val="20"/>
                <w:color w:val="auto"/>
                <w:vertAlign w:val="superscript"/>
              </w:rPr>
              <w:t>(4)</w:t>
            </w: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3700" w:type="dxa"/>
            <w:vAlign w:val="bottom"/>
            <w:gridSpan w:val="2"/>
          </w:tcPr>
          <w:p>
            <w:pPr>
              <w:ind w:left="140"/>
              <w:spacing w:after="0"/>
              <w:rPr>
                <w:sz w:val="20"/>
                <w:szCs w:val="20"/>
                <w:color w:val="auto"/>
              </w:rPr>
            </w:pPr>
            <w:r>
              <w:rPr>
                <w:rFonts w:ascii="Arial" w:cs="Arial" w:eastAsia="Arial" w:hAnsi="Arial"/>
                <w:sz w:val="12"/>
                <w:szCs w:val="12"/>
                <w:i w:val="1"/>
                <w:iCs w:val="1"/>
                <w:color w:val="auto"/>
              </w:rPr>
              <w:t>President, Global Land</w:t>
            </w:r>
          </w:p>
        </w:tc>
        <w:tc>
          <w:tcPr>
            <w:tcW w:w="640" w:type="dxa"/>
            <w:vAlign w:val="bottom"/>
            <w:gridSpan w:val="2"/>
          </w:tcPr>
          <w:p>
            <w:pPr>
              <w:jc w:val="right"/>
              <w:spacing w:after="0"/>
              <w:rPr>
                <w:sz w:val="20"/>
                <w:szCs w:val="20"/>
                <w:color w:val="auto"/>
              </w:rPr>
            </w:pPr>
            <w:r>
              <w:rPr>
                <w:rFonts w:ascii="Arial" w:cs="Arial" w:eastAsia="Arial" w:hAnsi="Arial"/>
                <w:sz w:val="12"/>
                <w:szCs w:val="12"/>
                <w:color w:val="auto"/>
              </w:rPr>
              <w:t>03/31/17</w:t>
            </w:r>
          </w:p>
        </w:tc>
        <w:tc>
          <w:tcPr>
            <w:tcW w:w="780" w:type="dxa"/>
            <w:vAlign w:val="bottom"/>
            <w:gridSpan w:val="2"/>
          </w:tcPr>
          <w:p>
            <w:pPr>
              <w:jc w:val="right"/>
              <w:spacing w:after="0"/>
              <w:rPr>
                <w:sz w:val="20"/>
                <w:szCs w:val="20"/>
                <w:color w:val="auto"/>
              </w:rPr>
            </w:pPr>
            <w:r>
              <w:rPr>
                <w:rFonts w:ascii="Arial" w:cs="Arial" w:eastAsia="Arial" w:hAnsi="Arial"/>
                <w:sz w:val="12"/>
                <w:szCs w:val="12"/>
                <w:color w:val="auto"/>
              </w:rPr>
              <w:t>03/24/17</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499,996</w:t>
            </w:r>
          </w:p>
        </w:tc>
        <w:tc>
          <w:tcPr>
            <w:tcW w:w="0" w:type="dxa"/>
            <w:vAlign w:val="bottom"/>
          </w:tcPr>
          <w:p>
            <w:pPr>
              <w:spacing w:after="0"/>
              <w:rPr>
                <w:sz w:val="1"/>
                <w:szCs w:val="1"/>
                <w:color w:val="auto"/>
              </w:rPr>
            </w:pPr>
          </w:p>
        </w:tc>
      </w:tr>
      <w:tr>
        <w:trPr>
          <w:trHeight w:val="197"/>
        </w:trPr>
        <w:tc>
          <w:tcPr>
            <w:tcW w:w="27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Arial" w:cs="Arial" w:eastAsia="Arial" w:hAnsi="Arial"/>
                <w:sz w:val="12"/>
                <w:szCs w:val="12"/>
                <w:color w:val="auto"/>
              </w:rPr>
              <w:t>03/31/17</w:t>
            </w:r>
          </w:p>
        </w:tc>
        <w:tc>
          <w:tcPr>
            <w:tcW w:w="780" w:type="dxa"/>
            <w:vAlign w:val="bottom"/>
            <w:gridSpan w:val="2"/>
          </w:tcPr>
          <w:p>
            <w:pPr>
              <w:jc w:val="right"/>
              <w:spacing w:after="0"/>
              <w:rPr>
                <w:sz w:val="20"/>
                <w:szCs w:val="20"/>
                <w:color w:val="auto"/>
              </w:rPr>
            </w:pPr>
            <w:r>
              <w:rPr>
                <w:rFonts w:ascii="Arial" w:cs="Arial" w:eastAsia="Arial" w:hAnsi="Arial"/>
                <w:sz w:val="12"/>
                <w:szCs w:val="12"/>
                <w:color w:val="auto"/>
              </w:rPr>
              <w:t>03/24/17</w:t>
            </w: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line="197" w:lineRule="exact"/>
              <w:rPr>
                <w:sz w:val="20"/>
                <w:szCs w:val="20"/>
                <w:color w:val="auto"/>
              </w:rPr>
            </w:pPr>
            <w:r>
              <w:rPr>
                <w:rFonts w:ascii="Arial" w:cs="Arial" w:eastAsia="Arial" w:hAnsi="Arial"/>
                <w:sz w:val="12"/>
                <w:szCs w:val="12"/>
                <w:color w:val="auto"/>
              </w:rPr>
              <w:t>28,377</w:t>
            </w:r>
            <w:r>
              <w:rPr>
                <w:rFonts w:ascii="Arial" w:cs="Arial" w:eastAsia="Arial" w:hAnsi="Arial"/>
                <w:sz w:val="20"/>
                <w:szCs w:val="20"/>
                <w:color w:val="auto"/>
                <w:vertAlign w:val="superscript"/>
              </w:rPr>
              <w:t>(6)</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250,001</w:t>
            </w:r>
          </w:p>
        </w:tc>
        <w:tc>
          <w:tcPr>
            <w:tcW w:w="0" w:type="dxa"/>
            <w:vAlign w:val="bottom"/>
          </w:tcPr>
          <w:p>
            <w:pPr>
              <w:spacing w:after="0"/>
              <w:rPr>
                <w:sz w:val="1"/>
                <w:szCs w:val="1"/>
                <w:color w:val="auto"/>
              </w:rPr>
            </w:pPr>
          </w:p>
        </w:tc>
      </w:tr>
      <w:tr>
        <w:trPr>
          <w:trHeight w:val="174"/>
        </w:trPr>
        <w:tc>
          <w:tcPr>
            <w:tcW w:w="27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40" w:type="dxa"/>
            <w:vAlign w:val="bottom"/>
            <w:gridSpan w:val="2"/>
          </w:tcPr>
          <w:p>
            <w:pPr>
              <w:jc w:val="right"/>
              <w:spacing w:after="0"/>
              <w:rPr>
                <w:sz w:val="20"/>
                <w:szCs w:val="20"/>
                <w:color w:val="auto"/>
              </w:rPr>
            </w:pPr>
            <w:r>
              <w:rPr>
                <w:rFonts w:ascii="Arial" w:cs="Arial" w:eastAsia="Arial" w:hAnsi="Arial"/>
                <w:sz w:val="12"/>
                <w:szCs w:val="12"/>
                <w:color w:val="auto"/>
              </w:rPr>
              <w:t>03/31/17</w:t>
            </w:r>
          </w:p>
        </w:tc>
        <w:tc>
          <w:tcPr>
            <w:tcW w:w="780" w:type="dxa"/>
            <w:vAlign w:val="bottom"/>
            <w:gridSpan w:val="2"/>
          </w:tcPr>
          <w:p>
            <w:pPr>
              <w:jc w:val="right"/>
              <w:spacing w:after="0"/>
              <w:rPr>
                <w:sz w:val="20"/>
                <w:szCs w:val="20"/>
                <w:color w:val="auto"/>
              </w:rPr>
            </w:pPr>
            <w:r>
              <w:rPr>
                <w:rFonts w:ascii="Arial" w:cs="Arial" w:eastAsia="Arial" w:hAnsi="Arial"/>
                <w:sz w:val="12"/>
                <w:szCs w:val="12"/>
                <w:color w:val="auto"/>
              </w:rPr>
              <w:t>03/24/17</w:t>
            </w: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line="174" w:lineRule="exact"/>
              <w:rPr>
                <w:sz w:val="20"/>
                <w:szCs w:val="20"/>
                <w:color w:val="auto"/>
              </w:rPr>
            </w:pPr>
            <w:r>
              <w:rPr>
                <w:rFonts w:ascii="Arial" w:cs="Arial" w:eastAsia="Arial" w:hAnsi="Arial"/>
                <w:sz w:val="12"/>
                <w:szCs w:val="12"/>
                <w:color w:val="auto"/>
              </w:rPr>
              <w:t>13,793</w:t>
            </w:r>
            <w:r>
              <w:rPr>
                <w:rFonts w:ascii="Arial" w:cs="Arial" w:eastAsia="Arial" w:hAnsi="Arial"/>
                <w:sz w:val="20"/>
                <w:szCs w:val="20"/>
                <w:color w:val="auto"/>
                <w:vertAlign w:val="superscript"/>
              </w:rPr>
              <w:t>(9)</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499,996</w:t>
            </w:r>
          </w:p>
        </w:tc>
        <w:tc>
          <w:tcPr>
            <w:tcW w:w="0" w:type="dxa"/>
            <w:vAlign w:val="bottom"/>
          </w:tcPr>
          <w:p>
            <w:pPr>
              <w:spacing w:after="0"/>
              <w:rPr>
                <w:sz w:val="1"/>
                <w:szCs w:val="1"/>
                <w:color w:val="auto"/>
              </w:rPr>
            </w:pPr>
          </w:p>
        </w:tc>
      </w:tr>
      <w:tr>
        <w:trPr>
          <w:trHeight w:val="147"/>
        </w:trPr>
        <w:tc>
          <w:tcPr>
            <w:tcW w:w="37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John P. Rau</w:t>
            </w: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n/a</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03/24/17</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7" w:lineRule="exact"/>
              <w:rPr>
                <w:sz w:val="20"/>
                <w:szCs w:val="20"/>
                <w:color w:val="auto"/>
              </w:rPr>
            </w:pPr>
            <w:r>
              <w:rPr>
                <w:rFonts w:ascii="Arial" w:cs="Arial" w:eastAsia="Arial" w:hAnsi="Arial"/>
                <w:sz w:val="11"/>
                <w:szCs w:val="11"/>
                <w:color w:val="auto"/>
              </w:rPr>
              <w:t>56,250</w:t>
            </w:r>
            <w:r>
              <w:rPr>
                <w:rFonts w:ascii="Arial" w:cs="Arial" w:eastAsia="Arial" w:hAnsi="Arial"/>
                <w:sz w:val="17"/>
                <w:szCs w:val="17"/>
                <w:color w:val="auto"/>
                <w:vertAlign w:val="superscript"/>
              </w:rPr>
              <w:t>(2)</w:t>
            </w:r>
          </w:p>
        </w:tc>
        <w:tc>
          <w:tcPr>
            <w:tcW w:w="86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1"/>
                <w:szCs w:val="11"/>
                <w:color w:val="auto"/>
              </w:rPr>
              <w:t>600,000</w:t>
            </w:r>
            <w:r>
              <w:rPr>
                <w:rFonts w:ascii="Arial" w:cs="Arial" w:eastAsia="Arial" w:hAnsi="Arial"/>
                <w:sz w:val="17"/>
                <w:szCs w:val="17"/>
                <w:color w:val="auto"/>
                <w:vertAlign w:val="superscript"/>
              </w:rPr>
              <w:t>(2)</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7" w:lineRule="exact"/>
              <w:rPr>
                <w:sz w:val="20"/>
                <w:szCs w:val="20"/>
                <w:color w:val="auto"/>
              </w:rPr>
            </w:pPr>
            <w:r>
              <w:rPr>
                <w:rFonts w:ascii="Arial" w:cs="Arial" w:eastAsia="Arial" w:hAnsi="Arial"/>
                <w:sz w:val="11"/>
                <w:szCs w:val="11"/>
                <w:color w:val="auto"/>
              </w:rPr>
              <w:t>1,350,000</w:t>
            </w:r>
            <w:r>
              <w:rPr>
                <w:rFonts w:ascii="Arial" w:cs="Arial" w:eastAsia="Arial" w:hAnsi="Arial"/>
                <w:sz w:val="17"/>
                <w:szCs w:val="17"/>
                <w:color w:val="auto"/>
                <w:vertAlign w:val="superscript"/>
              </w:rPr>
              <w:t>(2)</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3700" w:type="dxa"/>
            <w:vAlign w:val="bottom"/>
            <w:gridSpan w:val="2"/>
            <w:shd w:val="clear" w:color="auto" w:fill="CCEEFF"/>
          </w:tcPr>
          <w:p>
            <w:pPr>
              <w:ind w:left="140"/>
              <w:spacing w:after="0"/>
              <w:rPr>
                <w:sz w:val="20"/>
                <w:szCs w:val="20"/>
                <w:color w:val="auto"/>
              </w:rPr>
            </w:pPr>
            <w:r>
              <w:rPr>
                <w:rFonts w:ascii="Arial" w:cs="Arial" w:eastAsia="Arial" w:hAnsi="Arial"/>
                <w:sz w:val="12"/>
                <w:szCs w:val="12"/>
                <w:i w:val="1"/>
                <w:iCs w:val="1"/>
                <w:color w:val="auto"/>
              </w:rPr>
              <w:t>Executive Vice</w:t>
            </w: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n/a</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03/24/17</w:t>
            </w: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74" w:lineRule="exact"/>
              <w:rPr>
                <w:sz w:val="20"/>
                <w:szCs w:val="20"/>
                <w:color w:val="auto"/>
              </w:rPr>
            </w:pPr>
            <w:r>
              <w:rPr>
                <w:rFonts w:ascii="Arial" w:cs="Arial" w:eastAsia="Arial" w:hAnsi="Arial"/>
                <w:sz w:val="20"/>
                <w:szCs w:val="20"/>
                <w:color w:val="auto"/>
                <w:vertAlign w:val="subscript"/>
              </w:rPr>
              <w:t>—</w:t>
            </w:r>
            <w:r>
              <w:rPr>
                <w:rFonts w:ascii="Arial" w:cs="Arial" w:eastAsia="Arial" w:hAnsi="Arial"/>
                <w:sz w:val="9"/>
                <w:szCs w:val="9"/>
                <w:color w:val="auto"/>
              </w:rPr>
              <w:t>(3)</w:t>
            </w: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74" w:lineRule="exact"/>
              <w:rPr>
                <w:sz w:val="20"/>
                <w:szCs w:val="20"/>
                <w:color w:val="auto"/>
              </w:rPr>
            </w:pPr>
            <w:r>
              <w:rPr>
                <w:rFonts w:ascii="Arial" w:cs="Arial" w:eastAsia="Arial" w:hAnsi="Arial"/>
                <w:sz w:val="12"/>
                <w:szCs w:val="12"/>
                <w:color w:val="auto"/>
              </w:rPr>
              <w:t>150,000</w:t>
            </w:r>
            <w:r>
              <w:rPr>
                <w:rFonts w:ascii="Arial" w:cs="Arial" w:eastAsia="Arial" w:hAnsi="Arial"/>
                <w:sz w:val="20"/>
                <w:szCs w:val="20"/>
                <w:color w:val="auto"/>
                <w:vertAlign w:val="superscript"/>
              </w:rPr>
              <w:t>(3)</w:t>
            </w:r>
          </w:p>
        </w:tc>
        <w:tc>
          <w:tcPr>
            <w:tcW w:w="16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13,793</w:t>
            </w:r>
            <w:r>
              <w:rPr>
                <w:rFonts w:ascii="Arial" w:cs="Arial" w:eastAsia="Arial" w:hAnsi="Arial"/>
                <w:sz w:val="20"/>
                <w:szCs w:val="20"/>
                <w:color w:val="auto"/>
                <w:vertAlign w:val="superscript"/>
              </w:rPr>
              <w:t>(4)</w:t>
            </w: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3700" w:type="dxa"/>
            <w:vAlign w:val="bottom"/>
            <w:gridSpan w:val="2"/>
            <w:shd w:val="clear" w:color="auto" w:fill="CCEEFF"/>
          </w:tcPr>
          <w:p>
            <w:pPr>
              <w:ind w:left="140"/>
              <w:spacing w:after="0"/>
              <w:rPr>
                <w:sz w:val="20"/>
                <w:szCs w:val="20"/>
                <w:color w:val="auto"/>
              </w:rPr>
            </w:pPr>
            <w:r>
              <w:rPr>
                <w:rFonts w:ascii="Arial" w:cs="Arial" w:eastAsia="Arial" w:hAnsi="Arial"/>
                <w:sz w:val="12"/>
                <w:szCs w:val="12"/>
                <w:i w:val="1"/>
                <w:iCs w:val="1"/>
                <w:color w:val="auto"/>
              </w:rPr>
              <w:t>President, Global Aviation and Marine</w:t>
            </w: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8"/>
              </w:rPr>
              <w:t>03/31/17</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03/24/17</w:t>
            </w: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vMerge w:val="continue"/>
            <w:shd w:val="clear" w:color="auto" w:fill="CCEEFF"/>
          </w:tcPr>
          <w:p>
            <w:pPr>
              <w:spacing w:after="0"/>
              <w:rPr>
                <w:sz w:val="13"/>
                <w:szCs w:val="13"/>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499,996</w:t>
            </w:r>
          </w:p>
        </w:tc>
        <w:tc>
          <w:tcPr>
            <w:tcW w:w="0" w:type="dxa"/>
            <w:vAlign w:val="bottom"/>
          </w:tcPr>
          <w:p>
            <w:pPr>
              <w:spacing w:after="0"/>
              <w:rPr>
                <w:sz w:val="1"/>
                <w:szCs w:val="1"/>
                <w:color w:val="auto"/>
              </w:rPr>
            </w:pPr>
          </w:p>
        </w:tc>
      </w:tr>
      <w:tr>
        <w:trPr>
          <w:trHeight w:val="197"/>
        </w:trPr>
        <w:tc>
          <w:tcPr>
            <w:tcW w:w="27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8"/>
              </w:rPr>
              <w:t>03/31/17</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03/24/17</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197" w:lineRule="exact"/>
              <w:rPr>
                <w:sz w:val="20"/>
                <w:szCs w:val="20"/>
                <w:color w:val="auto"/>
              </w:rPr>
            </w:pPr>
            <w:r>
              <w:rPr>
                <w:rFonts w:ascii="Arial" w:cs="Arial" w:eastAsia="Arial" w:hAnsi="Arial"/>
                <w:sz w:val="12"/>
                <w:szCs w:val="12"/>
                <w:color w:val="auto"/>
              </w:rPr>
              <w:t>28,377</w:t>
            </w:r>
            <w:r>
              <w:rPr>
                <w:rFonts w:ascii="Arial" w:cs="Arial" w:eastAsia="Arial" w:hAnsi="Arial"/>
                <w:sz w:val="20"/>
                <w:szCs w:val="20"/>
                <w:color w:val="auto"/>
                <w:vertAlign w:val="superscript"/>
              </w:rPr>
              <w:t>(6)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250,001</w:t>
            </w:r>
          </w:p>
        </w:tc>
        <w:tc>
          <w:tcPr>
            <w:tcW w:w="0" w:type="dxa"/>
            <w:vAlign w:val="bottom"/>
          </w:tcPr>
          <w:p>
            <w:pPr>
              <w:spacing w:after="0"/>
              <w:rPr>
                <w:sz w:val="1"/>
                <w:szCs w:val="1"/>
                <w:color w:val="auto"/>
              </w:rPr>
            </w:pPr>
          </w:p>
        </w:tc>
      </w:tr>
      <w:tr>
        <w:trPr>
          <w:trHeight w:val="197"/>
        </w:trPr>
        <w:tc>
          <w:tcPr>
            <w:tcW w:w="27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8"/>
              </w:rPr>
              <w:t>03/31/17</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03/24/17</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197" w:lineRule="exact"/>
              <w:rPr>
                <w:sz w:val="20"/>
                <w:szCs w:val="20"/>
                <w:color w:val="auto"/>
              </w:rPr>
            </w:pPr>
            <w:r>
              <w:rPr>
                <w:rFonts w:ascii="Arial" w:cs="Arial" w:eastAsia="Arial" w:hAnsi="Arial"/>
                <w:sz w:val="12"/>
                <w:szCs w:val="12"/>
                <w:color w:val="auto"/>
              </w:rPr>
              <w:t>13,793</w:t>
            </w:r>
            <w:r>
              <w:rPr>
                <w:rFonts w:ascii="Arial" w:cs="Arial" w:eastAsia="Arial" w:hAnsi="Arial"/>
                <w:sz w:val="20"/>
                <w:szCs w:val="20"/>
                <w:color w:val="auto"/>
                <w:vertAlign w:val="superscript"/>
              </w:rPr>
              <w:t>(9)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499,996</w:t>
            </w:r>
          </w:p>
        </w:tc>
        <w:tc>
          <w:tcPr>
            <w:tcW w:w="0" w:type="dxa"/>
            <w:vAlign w:val="bottom"/>
          </w:tcPr>
          <w:p>
            <w:pPr>
              <w:spacing w:after="0"/>
              <w:rPr>
                <w:sz w:val="1"/>
                <w:szCs w:val="1"/>
                <w:color w:val="auto"/>
              </w:rPr>
            </w:pPr>
          </w:p>
        </w:tc>
      </w:tr>
      <w:tr>
        <w:trPr>
          <w:trHeight w:val="99"/>
        </w:trPr>
        <w:tc>
          <w:tcPr>
            <w:tcW w:w="2700" w:type="dxa"/>
            <w:vAlign w:val="bottom"/>
            <w:tcBorders>
              <w:bottom w:val="single" w:sz="8" w:color="auto"/>
            </w:tcBorders>
          </w:tcPr>
          <w:p>
            <w:pPr>
              <w:spacing w:after="0"/>
              <w:rPr>
                <w:sz w:val="8"/>
                <w:szCs w:val="8"/>
                <w:color w:val="auto"/>
              </w:rPr>
            </w:pPr>
          </w:p>
        </w:tc>
        <w:tc>
          <w:tcPr>
            <w:tcW w:w="1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1640" w:right="200" w:hanging="498"/>
        <w:spacing w:after="0" w:line="267" w:lineRule="auto"/>
        <w:tabs>
          <w:tab w:leader="none" w:pos="1640" w:val="left"/>
        </w:tabs>
        <w:numPr>
          <w:ilvl w:val="0"/>
          <w:numId w:val="55"/>
        </w:numPr>
        <w:rPr>
          <w:rFonts w:ascii="Arial" w:cs="Arial" w:eastAsia="Arial" w:hAnsi="Arial"/>
          <w:sz w:val="12"/>
          <w:szCs w:val="12"/>
          <w:color w:val="auto"/>
        </w:rPr>
      </w:pPr>
      <w:r>
        <w:rPr>
          <w:rFonts w:ascii="Arial" w:cs="Arial" w:eastAsia="Arial" w:hAnsi="Arial"/>
          <w:sz w:val="12"/>
          <w:szCs w:val="12"/>
          <w:color w:val="auto"/>
        </w:rPr>
        <w:t>The amounts shown reflect the estimated aggregate grant date fair value of the stock awards. The estimated aggregate fair value of our stock awards is based on the grant date market value of our common stock, as defined in the 2016 Omnibus Plan and is computed in accordance with FASB ASC Topic 718.</w:t>
      </w:r>
    </w:p>
    <w:p>
      <w:pPr>
        <w:spacing w:after="0" w:line="87" w:lineRule="exact"/>
        <w:rPr>
          <w:rFonts w:ascii="Arial" w:cs="Arial" w:eastAsia="Arial" w:hAnsi="Arial"/>
          <w:sz w:val="12"/>
          <w:szCs w:val="12"/>
          <w:color w:val="auto"/>
        </w:rPr>
      </w:pPr>
    </w:p>
    <w:p>
      <w:pPr>
        <w:ind w:left="1640" w:right="60" w:hanging="498"/>
        <w:spacing w:after="0" w:line="242" w:lineRule="auto"/>
        <w:tabs>
          <w:tab w:leader="none" w:pos="1640" w:val="left"/>
        </w:tabs>
        <w:numPr>
          <w:ilvl w:val="0"/>
          <w:numId w:val="55"/>
        </w:numPr>
        <w:rPr>
          <w:rFonts w:ascii="Arial" w:cs="Arial" w:eastAsia="Arial" w:hAnsi="Arial"/>
          <w:sz w:val="12"/>
          <w:szCs w:val="12"/>
          <w:color w:val="auto"/>
        </w:rPr>
      </w:pPr>
      <w:r>
        <w:rPr>
          <w:rFonts w:ascii="Arial" w:cs="Arial" w:eastAsia="Arial" w:hAnsi="Arial"/>
          <w:sz w:val="12"/>
          <w:szCs w:val="12"/>
          <w:color w:val="auto"/>
        </w:rPr>
        <w:t>The amounts shown reflect the threshold, target and maximum payouts that could have been earned as 2017 annual performance-related cash incentive awards under the EIP. For 2017, we did not meet the threshold for Net Income/EPS established by the Committee and as a result, the NEOs did not earn an annual performance-related cash incentive award for the Net Income/EPS component of their compensation program. For Messrs. Crosby and Rau, this also includes cash incentive awards that could be earned under the EIP based on Operating Income growth for the respective LOS for which they are responsible. For 2017, we did not meet the threshold level of Operating Income for any of our Aviation, Land or Marine LOS, however, we did exceed the maximum Operating Income level for the Physical Operations LOS for which Mr. Crosby earned the maximum $150,000. Please see the discussion regarding the compensation programs for the NEOs beginning on page 38 of this proxy statement for additional information.</w:t>
      </w:r>
    </w:p>
    <w:p>
      <w:pPr>
        <w:spacing w:after="0" w:line="102" w:lineRule="exact"/>
        <w:rPr>
          <w:rFonts w:ascii="Arial" w:cs="Arial" w:eastAsia="Arial" w:hAnsi="Arial"/>
          <w:sz w:val="12"/>
          <w:szCs w:val="12"/>
          <w:color w:val="auto"/>
        </w:rPr>
      </w:pPr>
    </w:p>
    <w:p>
      <w:pPr>
        <w:jc w:val="both"/>
        <w:ind w:left="1640" w:right="20" w:hanging="498"/>
        <w:spacing w:after="0" w:line="247" w:lineRule="auto"/>
        <w:tabs>
          <w:tab w:leader="none" w:pos="1640" w:val="left"/>
        </w:tabs>
        <w:numPr>
          <w:ilvl w:val="0"/>
          <w:numId w:val="55"/>
        </w:numPr>
        <w:rPr>
          <w:rFonts w:ascii="Arial" w:cs="Arial" w:eastAsia="Arial" w:hAnsi="Arial"/>
          <w:sz w:val="12"/>
          <w:szCs w:val="12"/>
          <w:color w:val="auto"/>
        </w:rPr>
      </w:pPr>
      <w:r>
        <w:rPr>
          <w:rFonts w:ascii="Arial" w:cs="Arial" w:eastAsia="Arial" w:hAnsi="Arial"/>
          <w:sz w:val="12"/>
          <w:szCs w:val="12"/>
          <w:color w:val="auto"/>
        </w:rPr>
        <w:t>The amounts shown include the threshold and maximum payouts that could have been earned as strategic objective cash incentive awards under the EIP subject to the Company earning at least 75% of consolidated gross profit for the prior year. For 2017, the NEOs achieved only a portion of their strategic objectives and therefore the Committee reduced the amounts payable to the NEOs. Please see the discussion regarding the compensation programs for the NEOs beginning on page 38 of this proxy statement for additional information.</w:t>
      </w:r>
    </w:p>
    <w:p>
      <w:pPr>
        <w:spacing w:after="0" w:line="1" w:lineRule="exact"/>
        <w:rPr>
          <w:sz w:val="20"/>
          <w:szCs w:val="20"/>
          <w:color w:val="auto"/>
        </w:rPr>
      </w:pPr>
    </w:p>
    <w:p>
      <w:pPr>
        <w:jc w:val="right"/>
        <w:spacing w:after="0"/>
        <w:tabs>
          <w:tab w:leader="none" w:pos="1960" w:val="left"/>
          <w:tab w:leader="none" w:pos="1720" w:val="left"/>
          <w:tab w:leader="none" w:pos="14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3"/>
          <w:szCs w:val="33"/>
          <w:b w:val="1"/>
          <w:bCs w:val="1"/>
          <w:color w:val="auto"/>
          <w:vertAlign w:val="subscript"/>
        </w:rPr>
        <w:t>|</w:t>
      </w:r>
      <w:r>
        <w:rPr>
          <w:sz w:val="20"/>
          <w:szCs w:val="20"/>
          <w:color w:val="auto"/>
        </w:rPr>
        <w:tab/>
      </w:r>
      <w:r>
        <w:rPr>
          <w:rFonts w:ascii="Arial" w:cs="Arial" w:eastAsia="Arial" w:hAnsi="Arial"/>
          <w:sz w:val="16"/>
          <w:szCs w:val="16"/>
          <w:color w:val="auto"/>
        </w:rPr>
        <w:t>2018 Proxy Statement</w:t>
      </w:r>
      <w:r>
        <w:rPr>
          <w:sz w:val="20"/>
          <w:szCs w:val="20"/>
          <w:color w:val="auto"/>
        </w:rPr>
        <w:tab/>
      </w: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125095</wp:posOffset>
            </wp:positionV>
            <wp:extent cx="7263130" cy="203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4" w:name="page55"/>
    <w:bookmarkEnd w:id="54"/>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198" w:lineRule="exact"/>
        <w:rPr>
          <w:sz w:val="20"/>
          <w:szCs w:val="20"/>
          <w:color w:val="auto"/>
        </w:rPr>
      </w:pPr>
    </w:p>
    <w:p>
      <w:pPr>
        <w:ind w:left="1640" w:right="540" w:hanging="498"/>
        <w:spacing w:after="0" w:line="267" w:lineRule="auto"/>
        <w:tabs>
          <w:tab w:leader="none" w:pos="1640" w:val="left"/>
        </w:tabs>
        <w:numPr>
          <w:ilvl w:val="0"/>
          <w:numId w:val="56"/>
        </w:numPr>
        <w:rPr>
          <w:rFonts w:ascii="Arial" w:cs="Arial" w:eastAsia="Arial" w:hAnsi="Arial"/>
          <w:sz w:val="12"/>
          <w:szCs w:val="12"/>
          <w:color w:val="auto"/>
        </w:rPr>
      </w:pPr>
      <w:r>
        <w:rPr>
          <w:rFonts w:ascii="Arial" w:cs="Arial" w:eastAsia="Arial" w:hAnsi="Arial"/>
          <w:sz w:val="12"/>
          <w:szCs w:val="12"/>
          <w:color w:val="auto"/>
        </w:rPr>
        <w:t>The amounts shown reflect the awards issued under the PSP at the target level of CAGR in EPS for the three-year period ending in December 2019. Please see the discussion regarding the compensation programs for the NEOs beginning on page 38 of this proxy statement for additional information.</w:t>
      </w:r>
    </w:p>
    <w:p>
      <w:pPr>
        <w:spacing w:after="0" w:line="87" w:lineRule="exact"/>
        <w:rPr>
          <w:rFonts w:ascii="Arial" w:cs="Arial" w:eastAsia="Arial" w:hAnsi="Arial"/>
          <w:sz w:val="12"/>
          <w:szCs w:val="12"/>
          <w:color w:val="auto"/>
        </w:rPr>
      </w:pPr>
    </w:p>
    <w:p>
      <w:pPr>
        <w:ind w:left="1640" w:right="40" w:hanging="498"/>
        <w:spacing w:after="0" w:line="267" w:lineRule="auto"/>
        <w:tabs>
          <w:tab w:leader="none" w:pos="1640" w:val="left"/>
        </w:tabs>
        <w:numPr>
          <w:ilvl w:val="0"/>
          <w:numId w:val="56"/>
        </w:numPr>
        <w:rPr>
          <w:rFonts w:ascii="Arial" w:cs="Arial" w:eastAsia="Arial" w:hAnsi="Arial"/>
          <w:sz w:val="12"/>
          <w:szCs w:val="12"/>
          <w:color w:val="auto"/>
        </w:rPr>
      </w:pPr>
      <w:r>
        <w:rPr>
          <w:rFonts w:ascii="Arial" w:cs="Arial" w:eastAsia="Arial" w:hAnsi="Arial"/>
          <w:sz w:val="12"/>
          <w:szCs w:val="12"/>
          <w:color w:val="auto"/>
        </w:rPr>
        <w:t>The amount shown reflects a service-based SSAR award that will vest on the third anniversary of the grant date. Please see the discussion regarding this award on page 43 of this proxy statement for additional information.</w:t>
      </w:r>
    </w:p>
    <w:p>
      <w:pPr>
        <w:spacing w:after="0" w:line="87" w:lineRule="exact"/>
        <w:rPr>
          <w:rFonts w:ascii="Arial" w:cs="Arial" w:eastAsia="Arial" w:hAnsi="Arial"/>
          <w:sz w:val="12"/>
          <w:szCs w:val="12"/>
          <w:color w:val="auto"/>
        </w:rPr>
      </w:pPr>
    </w:p>
    <w:p>
      <w:pPr>
        <w:ind w:left="1640" w:right="80" w:hanging="498"/>
        <w:spacing w:after="0" w:line="251" w:lineRule="auto"/>
        <w:tabs>
          <w:tab w:leader="none" w:pos="1640" w:val="left"/>
        </w:tabs>
        <w:numPr>
          <w:ilvl w:val="0"/>
          <w:numId w:val="56"/>
        </w:numPr>
        <w:rPr>
          <w:rFonts w:ascii="Arial" w:cs="Arial" w:eastAsia="Arial" w:hAnsi="Arial"/>
          <w:sz w:val="12"/>
          <w:szCs w:val="12"/>
          <w:color w:val="auto"/>
        </w:rPr>
      </w:pPr>
      <w:r>
        <w:rPr>
          <w:rFonts w:ascii="Arial" w:cs="Arial" w:eastAsia="Arial" w:hAnsi="Arial"/>
          <w:sz w:val="12"/>
          <w:szCs w:val="12"/>
          <w:color w:val="auto"/>
        </w:rPr>
        <w:t>The amount shown reflects the Performance SSAR award granted to Messrs. Kasbar, Birns, Crosby and Rau that could be earned by these NEOs upon achieving a minimum EPS for 2017. These Performance SSARs were not earned by the NEOs as the threshold performance level of $2.46 in EPS was not achieved. Please see the discussion regarding this award beginning on page 42 of this proxy statement for additional information.</w:t>
      </w:r>
    </w:p>
    <w:p>
      <w:pPr>
        <w:spacing w:after="0" w:line="97" w:lineRule="exact"/>
        <w:rPr>
          <w:rFonts w:ascii="Arial" w:cs="Arial" w:eastAsia="Arial" w:hAnsi="Arial"/>
          <w:sz w:val="12"/>
          <w:szCs w:val="12"/>
          <w:color w:val="auto"/>
        </w:rPr>
      </w:pPr>
    </w:p>
    <w:p>
      <w:pPr>
        <w:ind w:left="1640" w:right="80" w:hanging="498"/>
        <w:spacing w:after="0" w:line="251" w:lineRule="auto"/>
        <w:tabs>
          <w:tab w:leader="none" w:pos="1640" w:val="left"/>
        </w:tabs>
        <w:numPr>
          <w:ilvl w:val="0"/>
          <w:numId w:val="56"/>
        </w:numPr>
        <w:rPr>
          <w:rFonts w:ascii="Arial" w:cs="Arial" w:eastAsia="Arial" w:hAnsi="Arial"/>
          <w:sz w:val="12"/>
          <w:szCs w:val="12"/>
          <w:color w:val="auto"/>
        </w:rPr>
      </w:pPr>
      <w:r>
        <w:rPr>
          <w:rFonts w:ascii="Arial" w:cs="Arial" w:eastAsia="Arial" w:hAnsi="Arial"/>
          <w:sz w:val="12"/>
          <w:szCs w:val="12"/>
          <w:color w:val="auto"/>
        </w:rPr>
        <w:t>The amount shown represents a service-based RSU granted to Mr. Smith in connection with his appointment as Executive Vice President and Chief Operating Officer in October 2017. This award will vest annually in three equal installments beginning on November 10, 2020. Please see the discussion regarding the compensation arrangement for Mr. Smith beginning on page 43 of this proxy statement for additional information.</w:t>
      </w:r>
    </w:p>
    <w:p>
      <w:pPr>
        <w:spacing w:after="0" w:line="97" w:lineRule="exact"/>
        <w:rPr>
          <w:rFonts w:ascii="Arial" w:cs="Arial" w:eastAsia="Arial" w:hAnsi="Arial"/>
          <w:sz w:val="12"/>
          <w:szCs w:val="12"/>
          <w:color w:val="auto"/>
        </w:rPr>
      </w:pPr>
    </w:p>
    <w:p>
      <w:pPr>
        <w:ind w:left="1640" w:right="180" w:hanging="498"/>
        <w:spacing w:after="0" w:line="267" w:lineRule="auto"/>
        <w:tabs>
          <w:tab w:leader="none" w:pos="1640" w:val="left"/>
        </w:tabs>
        <w:numPr>
          <w:ilvl w:val="0"/>
          <w:numId w:val="56"/>
        </w:numPr>
        <w:rPr>
          <w:rFonts w:ascii="Arial" w:cs="Arial" w:eastAsia="Arial" w:hAnsi="Arial"/>
          <w:sz w:val="12"/>
          <w:szCs w:val="12"/>
          <w:color w:val="auto"/>
        </w:rPr>
      </w:pPr>
      <w:r>
        <w:rPr>
          <w:rFonts w:ascii="Arial" w:cs="Arial" w:eastAsia="Arial" w:hAnsi="Arial"/>
          <w:sz w:val="12"/>
          <w:szCs w:val="12"/>
          <w:color w:val="auto"/>
        </w:rPr>
        <w:t>The amount shown represents a performance-based RSU granted to Mr. Smith at the target level of performance during the three-year period ending December 31, 2020. Please see the discussion regarding the compensation arrangement for Mr. Smith beginning on page 43 of this proxy statement for additional information.</w:t>
      </w:r>
    </w:p>
    <w:p>
      <w:pPr>
        <w:spacing w:after="0" w:line="87" w:lineRule="exact"/>
        <w:rPr>
          <w:rFonts w:ascii="Arial" w:cs="Arial" w:eastAsia="Arial" w:hAnsi="Arial"/>
          <w:sz w:val="12"/>
          <w:szCs w:val="12"/>
          <w:color w:val="auto"/>
        </w:rPr>
      </w:pPr>
    </w:p>
    <w:p>
      <w:pPr>
        <w:ind w:left="1640" w:right="100" w:hanging="498"/>
        <w:spacing w:after="0" w:line="253" w:lineRule="auto"/>
        <w:tabs>
          <w:tab w:leader="none" w:pos="1640" w:val="left"/>
        </w:tabs>
        <w:numPr>
          <w:ilvl w:val="0"/>
          <w:numId w:val="56"/>
        </w:numPr>
        <w:rPr>
          <w:rFonts w:ascii="Arial" w:cs="Arial" w:eastAsia="Arial" w:hAnsi="Arial"/>
          <w:sz w:val="12"/>
          <w:szCs w:val="12"/>
          <w:color w:val="auto"/>
        </w:rPr>
      </w:pPr>
      <w:r>
        <w:rPr>
          <w:rFonts w:ascii="Arial" w:cs="Arial" w:eastAsia="Arial" w:hAnsi="Arial"/>
          <w:sz w:val="12"/>
          <w:szCs w:val="12"/>
          <w:color w:val="auto"/>
        </w:rPr>
        <w:t>The amounts shown represent retention awards granted to Messrs. Crosby and Rau in March 2017. These awards will vest annually in three equal installments beginning on March 31, 2018. Please see the discussion regarding this award on page 43 of this proxy statement for additional information.</w:t>
      </w:r>
    </w:p>
    <w:p>
      <w:pPr>
        <w:spacing w:after="0" w:line="1" w:lineRule="exact"/>
        <w:rPr>
          <w:sz w:val="20"/>
          <w:szCs w:val="20"/>
          <w:color w:val="auto"/>
        </w:rPr>
      </w:pPr>
    </w:p>
    <w:p>
      <w:pPr>
        <w:jc w:val="right"/>
        <w:spacing w:after="0"/>
        <w:tabs>
          <w:tab w:leader="none" w:pos="1960" w:val="left"/>
          <w:tab w:leader="none" w:pos="1720" w:val="left"/>
          <w:tab w:leader="none" w:pos="14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3"/>
          <w:szCs w:val="33"/>
          <w:b w:val="1"/>
          <w:bCs w:val="1"/>
          <w:color w:val="auto"/>
          <w:vertAlign w:val="subscript"/>
        </w:rPr>
        <w:t>|</w:t>
      </w:r>
      <w:r>
        <w:rPr>
          <w:sz w:val="20"/>
          <w:szCs w:val="20"/>
          <w:color w:val="auto"/>
        </w:rPr>
        <w:tab/>
      </w:r>
      <w:r>
        <w:rPr>
          <w:rFonts w:ascii="Arial" w:cs="Arial" w:eastAsia="Arial" w:hAnsi="Arial"/>
          <w:sz w:val="16"/>
          <w:szCs w:val="16"/>
          <w:color w:val="auto"/>
        </w:rPr>
        <w:t>2018 Proxy Statement</w:t>
      </w:r>
      <w:r>
        <w:rPr>
          <w:sz w:val="20"/>
          <w:szCs w:val="20"/>
          <w:color w:val="auto"/>
        </w:rPr>
        <w:tab/>
      </w: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125095</wp:posOffset>
            </wp:positionV>
            <wp:extent cx="7263130" cy="203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5" w:name="page56"/>
    <w:bookmarkEnd w:id="55"/>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Outstanding Equity Awards at Fiscal Year-End</w:t>
      </w:r>
    </w:p>
    <w:p>
      <w:pPr>
        <w:spacing w:after="0" w:line="21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sets forth the outstanding equity awards at fiscal year-end, or December 31, 2017, for our NEOs.</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OUTSTANDING EQUITY AWARDS AT FISCAL YEAR-END</w:t>
      </w:r>
    </w:p>
    <w:p>
      <w:pPr>
        <w:spacing w:after="0" w:line="211"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3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2"/>
                <w:szCs w:val="12"/>
                <w:b w:val="1"/>
                <w:bCs w:val="1"/>
                <w:color w:val="auto"/>
              </w:rPr>
              <w:t>Option Awards</w:t>
            </w: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gridSpan w:val="3"/>
          </w:tcPr>
          <w:p>
            <w:pPr>
              <w:jc w:val="right"/>
              <w:ind w:right="221"/>
              <w:spacing w:after="0"/>
              <w:rPr>
                <w:sz w:val="20"/>
                <w:szCs w:val="20"/>
                <w:color w:val="auto"/>
              </w:rPr>
            </w:pPr>
            <w:r>
              <w:rPr>
                <w:rFonts w:ascii="Arial" w:cs="Arial" w:eastAsia="Arial" w:hAnsi="Arial"/>
                <w:sz w:val="12"/>
                <w:szCs w:val="12"/>
                <w:b w:val="1"/>
                <w:bCs w:val="1"/>
                <w:color w:val="auto"/>
              </w:rPr>
              <w:t>Stock Awards</w:t>
            </w:r>
          </w:p>
        </w:tc>
        <w:tc>
          <w:tcPr>
            <w:tcW w:w="1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3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jc w:val="center"/>
              <w:spacing w:after="0" w:line="115" w:lineRule="exact"/>
              <w:rPr>
                <w:sz w:val="20"/>
                <w:szCs w:val="20"/>
                <w:color w:val="auto"/>
              </w:rPr>
            </w:pPr>
            <w:r>
              <w:rPr>
                <w:rFonts w:ascii="Arial" w:cs="Arial" w:eastAsia="Arial" w:hAnsi="Arial"/>
                <w:sz w:val="12"/>
                <w:szCs w:val="12"/>
                <w:b w:val="1"/>
                <w:bCs w:val="1"/>
                <w:color w:val="auto"/>
                <w:w w:val="98"/>
              </w:rPr>
              <w:t>Equity</w:t>
            </w: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760" w:type="dxa"/>
            <w:vAlign w:val="bottom"/>
            <w:gridSpan w:val="5"/>
            <w:vMerge w:val="restart"/>
          </w:tcPr>
          <w:p>
            <w:pPr>
              <w:ind w:left="360"/>
              <w:spacing w:after="0"/>
              <w:rPr>
                <w:sz w:val="20"/>
                <w:szCs w:val="20"/>
                <w:color w:val="auto"/>
              </w:rPr>
            </w:pPr>
            <w:r>
              <w:rPr>
                <w:rFonts w:ascii="Arial" w:cs="Arial" w:eastAsia="Arial" w:hAnsi="Arial"/>
                <w:sz w:val="12"/>
                <w:szCs w:val="12"/>
                <w:b w:val="1"/>
                <w:bCs w:val="1"/>
                <w:color w:val="auto"/>
              </w:rPr>
              <w:t>Equity Incentive</w:t>
            </w:r>
          </w:p>
        </w:tc>
        <w:tc>
          <w:tcPr>
            <w:tcW w:w="0" w:type="dxa"/>
            <w:vAlign w:val="bottom"/>
          </w:tcPr>
          <w:p>
            <w:pPr>
              <w:spacing w:after="0"/>
              <w:rPr>
                <w:sz w:val="1"/>
                <w:szCs w:val="1"/>
                <w:color w:val="auto"/>
              </w:rPr>
            </w:pPr>
          </w:p>
        </w:tc>
      </w:tr>
      <w:tr>
        <w:trPr>
          <w:trHeight w:val="86"/>
        </w:trPr>
        <w:tc>
          <w:tcPr>
            <w:tcW w:w="320" w:type="dxa"/>
            <w:vAlign w:val="bottom"/>
          </w:tcPr>
          <w:p>
            <w:pPr>
              <w:spacing w:after="0"/>
              <w:rPr>
                <w:sz w:val="7"/>
                <w:szCs w:val="7"/>
                <w:color w:val="auto"/>
              </w:rPr>
            </w:pPr>
          </w:p>
        </w:tc>
        <w:tc>
          <w:tcPr>
            <w:tcW w:w="14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vMerge w:val="restart"/>
          </w:tcPr>
          <w:p>
            <w:pPr>
              <w:jc w:val="center"/>
              <w:spacing w:after="0" w:line="136" w:lineRule="exact"/>
              <w:rPr>
                <w:sz w:val="20"/>
                <w:szCs w:val="20"/>
                <w:color w:val="auto"/>
              </w:rPr>
            </w:pPr>
            <w:r>
              <w:rPr>
                <w:rFonts w:ascii="Arial" w:cs="Arial" w:eastAsia="Arial" w:hAnsi="Arial"/>
                <w:sz w:val="12"/>
                <w:szCs w:val="12"/>
                <w:b w:val="1"/>
                <w:bCs w:val="1"/>
                <w:color w:val="auto"/>
                <w:w w:val="92"/>
              </w:rPr>
              <w:t>Incentive</w:t>
            </w: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76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9"/>
        </w:trPr>
        <w:tc>
          <w:tcPr>
            <w:tcW w:w="32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0" w:type="dxa"/>
            <w:vAlign w:val="bottom"/>
            <w:gridSpan w:val="4"/>
            <w:vMerge w:val="restart"/>
          </w:tcPr>
          <w:p>
            <w:pPr>
              <w:jc w:val="right"/>
              <w:ind w:right="399"/>
              <w:spacing w:after="0"/>
              <w:rPr>
                <w:sz w:val="20"/>
                <w:szCs w:val="20"/>
                <w:color w:val="auto"/>
              </w:rPr>
            </w:pPr>
            <w:r>
              <w:rPr>
                <w:rFonts w:ascii="Arial" w:cs="Arial" w:eastAsia="Arial" w:hAnsi="Arial"/>
                <w:sz w:val="12"/>
                <w:szCs w:val="12"/>
                <w:b w:val="1"/>
                <w:bCs w:val="1"/>
                <w:color w:val="auto"/>
              </w:rPr>
              <w:t>Plan Awards</w:t>
            </w:r>
          </w:p>
        </w:tc>
        <w:tc>
          <w:tcPr>
            <w:tcW w:w="16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3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jc w:val="center"/>
              <w:spacing w:after="0" w:line="116" w:lineRule="exact"/>
              <w:rPr>
                <w:sz w:val="20"/>
                <w:szCs w:val="20"/>
                <w:color w:val="auto"/>
              </w:rPr>
            </w:pPr>
            <w:r>
              <w:rPr>
                <w:rFonts w:ascii="Arial" w:cs="Arial" w:eastAsia="Arial" w:hAnsi="Arial"/>
                <w:sz w:val="12"/>
                <w:szCs w:val="12"/>
                <w:b w:val="1"/>
                <w:bCs w:val="1"/>
                <w:color w:val="auto"/>
                <w:w w:val="94"/>
              </w:rPr>
              <w:t>Plan</w:t>
            </w: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0" w:type="dxa"/>
            <w:vAlign w:val="bottom"/>
            <w:tcBorders>
              <w:bottom w:val="single" w:sz="8" w:color="auto"/>
            </w:tcBorders>
            <w:gridSpan w:val="4"/>
            <w:vMerge w:val="continue"/>
          </w:tcPr>
          <w:p>
            <w:pPr>
              <w:spacing w:after="0"/>
              <w:rPr>
                <w:sz w:val="10"/>
                <w:szCs w:val="10"/>
                <w:color w:val="auto"/>
              </w:rPr>
            </w:pPr>
          </w:p>
        </w:tc>
        <w:tc>
          <w:tcPr>
            <w:tcW w:w="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2"/>
                <w:szCs w:val="12"/>
                <w:b w:val="1"/>
                <w:bCs w:val="1"/>
                <w:color w:val="auto"/>
                <w:w w:val="92"/>
              </w:rPr>
              <w:t>Awards</w:t>
            </w: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2"/>
                <w:szCs w:val="12"/>
                <w:b w:val="1"/>
                <w:bCs w:val="1"/>
                <w:color w:val="auto"/>
                <w:w w:val="96"/>
              </w:rPr>
              <w:t>Number of</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rPr>
              <w:t>Market or</w:t>
            </w:r>
          </w:p>
        </w:tc>
        <w:tc>
          <w:tcPr>
            <w:tcW w:w="0" w:type="dxa"/>
            <w:vAlign w:val="bottom"/>
          </w:tcPr>
          <w:p>
            <w:pPr>
              <w:spacing w:after="0"/>
              <w:rPr>
                <w:sz w:val="1"/>
                <w:szCs w:val="1"/>
                <w:color w:val="auto"/>
              </w:rPr>
            </w:pPr>
          </w:p>
        </w:tc>
      </w:tr>
      <w:tr>
        <w:trPr>
          <w:trHeight w:val="128"/>
        </w:trPr>
        <w:tc>
          <w:tcPr>
            <w:tcW w:w="3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6"/>
              </w:rPr>
              <w:t>Number of</w:t>
            </w: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gridSpan w:val="2"/>
          </w:tcPr>
          <w:p>
            <w:pPr>
              <w:jc w:val="center"/>
              <w:ind w:right="160"/>
              <w:spacing w:after="0" w:line="128" w:lineRule="exact"/>
              <w:rPr>
                <w:sz w:val="20"/>
                <w:szCs w:val="20"/>
                <w:color w:val="auto"/>
              </w:rPr>
            </w:pPr>
            <w:r>
              <w:rPr>
                <w:rFonts w:ascii="Arial" w:cs="Arial" w:eastAsia="Arial" w:hAnsi="Arial"/>
                <w:sz w:val="12"/>
                <w:szCs w:val="12"/>
                <w:b w:val="1"/>
                <w:bCs w:val="1"/>
                <w:color w:val="auto"/>
                <w:w w:val="98"/>
              </w:rPr>
              <w:t>Market</w:t>
            </w:r>
          </w:p>
        </w:tc>
        <w:tc>
          <w:tcPr>
            <w:tcW w:w="66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3"/>
              </w:rPr>
              <w:t>Unearned</w:t>
            </w:r>
          </w:p>
        </w:tc>
        <w:tc>
          <w:tcPr>
            <w:tcW w:w="140" w:type="dxa"/>
            <w:vAlign w:val="bottom"/>
          </w:tcPr>
          <w:p>
            <w:pPr>
              <w:spacing w:after="0"/>
              <w:rPr>
                <w:sz w:val="11"/>
                <w:szCs w:val="11"/>
                <w:color w:val="auto"/>
              </w:rPr>
            </w:pPr>
          </w:p>
        </w:tc>
        <w:tc>
          <w:tcPr>
            <w:tcW w:w="960" w:type="dxa"/>
            <w:vAlign w:val="bottom"/>
            <w:gridSpan w:val="3"/>
          </w:tcPr>
          <w:p>
            <w:pPr>
              <w:jc w:val="center"/>
              <w:ind w:right="160"/>
              <w:spacing w:after="0" w:line="128" w:lineRule="exact"/>
              <w:rPr>
                <w:sz w:val="20"/>
                <w:szCs w:val="20"/>
                <w:color w:val="auto"/>
              </w:rPr>
            </w:pPr>
            <w:r>
              <w:rPr>
                <w:rFonts w:ascii="Arial" w:cs="Arial" w:eastAsia="Arial" w:hAnsi="Arial"/>
                <w:sz w:val="12"/>
                <w:szCs w:val="12"/>
                <w:b w:val="1"/>
                <w:bCs w:val="1"/>
                <w:color w:val="auto"/>
                <w:w w:val="90"/>
              </w:rPr>
              <w:t>Payout Value</w:t>
            </w:r>
          </w:p>
        </w:tc>
        <w:tc>
          <w:tcPr>
            <w:tcW w:w="0" w:type="dxa"/>
            <w:vAlign w:val="bottom"/>
          </w:tcPr>
          <w:p>
            <w:pPr>
              <w:spacing w:after="0"/>
              <w:rPr>
                <w:sz w:val="1"/>
                <w:szCs w:val="1"/>
                <w:color w:val="auto"/>
              </w:rPr>
            </w:pPr>
          </w:p>
        </w:tc>
      </w:tr>
      <w:tr>
        <w:trPr>
          <w:trHeight w:val="136"/>
        </w:trPr>
        <w:tc>
          <w:tcPr>
            <w:tcW w:w="3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0"/>
              </w:rPr>
              <w:t>Securities</w:t>
            </w: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6"/>
              </w:rPr>
              <w:t>Number of</w:t>
            </w:r>
          </w:p>
        </w:tc>
        <w:tc>
          <w:tcPr>
            <w:tcW w:w="160" w:type="dxa"/>
            <w:vAlign w:val="bottom"/>
          </w:tcPr>
          <w:p>
            <w:pPr>
              <w:spacing w:after="0"/>
              <w:rPr>
                <w:sz w:val="11"/>
                <w:szCs w:val="11"/>
                <w:color w:val="auto"/>
              </w:rPr>
            </w:pPr>
          </w:p>
        </w:tc>
        <w:tc>
          <w:tcPr>
            <w:tcW w:w="740" w:type="dxa"/>
            <w:vAlign w:val="bottom"/>
            <w:gridSpan w:val="2"/>
          </w:tcPr>
          <w:p>
            <w:pPr>
              <w:jc w:val="center"/>
              <w:ind w:right="160"/>
              <w:spacing w:after="0" w:line="136" w:lineRule="exact"/>
              <w:rPr>
                <w:sz w:val="20"/>
                <w:szCs w:val="20"/>
                <w:color w:val="auto"/>
              </w:rPr>
            </w:pPr>
            <w:r>
              <w:rPr>
                <w:rFonts w:ascii="Arial" w:cs="Arial" w:eastAsia="Arial" w:hAnsi="Arial"/>
                <w:sz w:val="12"/>
                <w:szCs w:val="12"/>
                <w:b w:val="1"/>
                <w:bCs w:val="1"/>
                <w:color w:val="auto"/>
                <w:w w:val="89"/>
              </w:rPr>
              <w:t>Value of</w:t>
            </w:r>
          </w:p>
        </w:tc>
        <w:tc>
          <w:tcPr>
            <w:tcW w:w="66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87"/>
              </w:rPr>
              <w:t>Shares,</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2"/>
          </w:tcPr>
          <w:p>
            <w:pPr>
              <w:jc w:val="center"/>
              <w:ind w:right="220"/>
              <w:spacing w:after="0" w:line="136" w:lineRule="exact"/>
              <w:rPr>
                <w:sz w:val="20"/>
                <w:szCs w:val="20"/>
                <w:color w:val="auto"/>
              </w:rPr>
            </w:pPr>
            <w:r>
              <w:rPr>
                <w:rFonts w:ascii="Arial" w:cs="Arial" w:eastAsia="Arial" w:hAnsi="Arial"/>
                <w:sz w:val="12"/>
                <w:szCs w:val="12"/>
                <w:b w:val="1"/>
                <w:bCs w:val="1"/>
                <w:color w:val="auto"/>
                <w:w w:val="91"/>
              </w:rPr>
              <w:t>of Unearned</w:t>
            </w:r>
          </w:p>
        </w:tc>
        <w:tc>
          <w:tcPr>
            <w:tcW w:w="0" w:type="dxa"/>
            <w:vAlign w:val="bottom"/>
          </w:tcPr>
          <w:p>
            <w:pPr>
              <w:spacing w:after="0"/>
              <w:rPr>
                <w:sz w:val="1"/>
                <w:szCs w:val="1"/>
                <w:color w:val="auto"/>
              </w:rPr>
            </w:pPr>
          </w:p>
        </w:tc>
      </w:tr>
      <w:tr>
        <w:trPr>
          <w:trHeight w:val="160"/>
        </w:trPr>
        <w:tc>
          <w:tcPr>
            <w:tcW w:w="3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80" w:type="dxa"/>
            <w:vAlign w:val="bottom"/>
            <w:gridSpan w:val="5"/>
          </w:tcPr>
          <w:p>
            <w:pPr>
              <w:jc w:val="center"/>
              <w:ind w:right="140"/>
              <w:spacing w:after="0"/>
              <w:rPr>
                <w:sz w:val="20"/>
                <w:szCs w:val="20"/>
                <w:color w:val="auto"/>
              </w:rPr>
            </w:pPr>
            <w:r>
              <w:rPr>
                <w:rFonts w:ascii="Arial" w:cs="Arial" w:eastAsia="Arial" w:hAnsi="Arial"/>
                <w:sz w:val="12"/>
                <w:szCs w:val="12"/>
                <w:b w:val="1"/>
                <w:bCs w:val="1"/>
                <w:color w:val="auto"/>
                <w:w w:val="92"/>
              </w:rPr>
              <w:t>Number of Securities</w:t>
            </w:r>
          </w:p>
        </w:tc>
        <w:tc>
          <w:tcPr>
            <w:tcW w:w="720" w:type="dxa"/>
            <w:vAlign w:val="bottom"/>
          </w:tcPr>
          <w:p>
            <w:pPr>
              <w:jc w:val="center"/>
              <w:spacing w:after="0"/>
              <w:rPr>
                <w:sz w:val="20"/>
                <w:szCs w:val="20"/>
                <w:color w:val="auto"/>
              </w:rPr>
            </w:pPr>
            <w:r>
              <w:rPr>
                <w:rFonts w:ascii="Arial" w:cs="Arial" w:eastAsia="Arial" w:hAnsi="Arial"/>
                <w:sz w:val="12"/>
                <w:szCs w:val="12"/>
                <w:b w:val="1"/>
                <w:bCs w:val="1"/>
                <w:color w:val="auto"/>
                <w:w w:val="95"/>
              </w:rPr>
              <w:t>Underlying</w:t>
            </w: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2"/>
                <w:szCs w:val="12"/>
                <w:b w:val="1"/>
                <w:bCs w:val="1"/>
                <w:color w:val="auto"/>
                <w:w w:val="90"/>
              </w:rPr>
              <w:t>Shares or</w:t>
            </w:r>
          </w:p>
        </w:tc>
        <w:tc>
          <w:tcPr>
            <w:tcW w:w="160" w:type="dxa"/>
            <w:vAlign w:val="bottom"/>
          </w:tcPr>
          <w:p>
            <w:pPr>
              <w:spacing w:after="0"/>
              <w:rPr>
                <w:sz w:val="13"/>
                <w:szCs w:val="13"/>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0"/>
              </w:rPr>
              <w:t>Shares or</w:t>
            </w:r>
          </w:p>
        </w:tc>
        <w:tc>
          <w:tcPr>
            <w:tcW w:w="660" w:type="dxa"/>
            <w:vAlign w:val="bottom"/>
          </w:tcPr>
          <w:p>
            <w:pPr>
              <w:jc w:val="center"/>
              <w:spacing w:after="0"/>
              <w:rPr>
                <w:sz w:val="20"/>
                <w:szCs w:val="20"/>
                <w:color w:val="auto"/>
              </w:rPr>
            </w:pPr>
            <w:r>
              <w:rPr>
                <w:rFonts w:ascii="Arial" w:cs="Arial" w:eastAsia="Arial" w:hAnsi="Arial"/>
                <w:sz w:val="12"/>
                <w:szCs w:val="12"/>
                <w:b w:val="1"/>
                <w:bCs w:val="1"/>
                <w:color w:val="auto"/>
                <w:w w:val="92"/>
              </w:rPr>
              <w:t>Units or</w:t>
            </w:r>
          </w:p>
        </w:tc>
        <w:tc>
          <w:tcPr>
            <w:tcW w:w="140" w:type="dxa"/>
            <w:vAlign w:val="bottom"/>
          </w:tcPr>
          <w:p>
            <w:pPr>
              <w:spacing w:after="0"/>
              <w:rPr>
                <w:sz w:val="13"/>
                <w:szCs w:val="13"/>
                <w:color w:val="auto"/>
              </w:rPr>
            </w:pPr>
          </w:p>
        </w:tc>
        <w:tc>
          <w:tcPr>
            <w:tcW w:w="960" w:type="dxa"/>
            <w:vAlign w:val="bottom"/>
            <w:gridSpan w:val="3"/>
          </w:tcPr>
          <w:p>
            <w:pPr>
              <w:jc w:val="center"/>
              <w:ind w:right="160"/>
              <w:spacing w:after="0"/>
              <w:rPr>
                <w:sz w:val="20"/>
                <w:szCs w:val="20"/>
                <w:color w:val="auto"/>
              </w:rPr>
            </w:pPr>
            <w:r>
              <w:rPr>
                <w:rFonts w:ascii="Arial" w:cs="Arial" w:eastAsia="Arial" w:hAnsi="Arial"/>
                <w:sz w:val="12"/>
                <w:szCs w:val="12"/>
                <w:b w:val="1"/>
                <w:bCs w:val="1"/>
                <w:color w:val="auto"/>
                <w:w w:val="88"/>
              </w:rPr>
              <w:t>Shares, Units</w:t>
            </w:r>
          </w:p>
        </w:tc>
        <w:tc>
          <w:tcPr>
            <w:tcW w:w="0" w:type="dxa"/>
            <w:vAlign w:val="bottom"/>
          </w:tcPr>
          <w:p>
            <w:pPr>
              <w:spacing w:after="0"/>
              <w:rPr>
                <w:sz w:val="1"/>
                <w:szCs w:val="1"/>
                <w:color w:val="auto"/>
              </w:rPr>
            </w:pPr>
          </w:p>
        </w:tc>
      </w:tr>
      <w:tr>
        <w:trPr>
          <w:trHeight w:val="136"/>
        </w:trPr>
        <w:tc>
          <w:tcPr>
            <w:tcW w:w="3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80" w:type="dxa"/>
            <w:vAlign w:val="bottom"/>
            <w:gridSpan w:val="5"/>
          </w:tcPr>
          <w:p>
            <w:pPr>
              <w:jc w:val="center"/>
              <w:ind w:right="160"/>
              <w:spacing w:after="0" w:line="136" w:lineRule="exact"/>
              <w:rPr>
                <w:sz w:val="20"/>
                <w:szCs w:val="20"/>
                <w:color w:val="auto"/>
              </w:rPr>
            </w:pPr>
            <w:r>
              <w:rPr>
                <w:rFonts w:ascii="Arial" w:cs="Arial" w:eastAsia="Arial" w:hAnsi="Arial"/>
                <w:sz w:val="12"/>
                <w:szCs w:val="12"/>
                <w:b w:val="1"/>
                <w:bCs w:val="1"/>
                <w:color w:val="auto"/>
                <w:w w:val="91"/>
              </w:rPr>
              <w:t>Underlying Unexercised</w:t>
            </w:r>
          </w:p>
        </w:tc>
        <w:tc>
          <w:tcPr>
            <w:tcW w:w="72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89"/>
              </w:rPr>
              <w:t>Unexercised</w:t>
            </w: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3"/>
              </w:rPr>
              <w:t>Units of</w:t>
            </w:r>
          </w:p>
        </w:tc>
        <w:tc>
          <w:tcPr>
            <w:tcW w:w="160" w:type="dxa"/>
            <w:vAlign w:val="bottom"/>
          </w:tcPr>
          <w:p>
            <w:pPr>
              <w:spacing w:after="0"/>
              <w:rPr>
                <w:sz w:val="11"/>
                <w:szCs w:val="11"/>
                <w:color w:val="auto"/>
              </w:rPr>
            </w:pPr>
          </w:p>
        </w:tc>
        <w:tc>
          <w:tcPr>
            <w:tcW w:w="740" w:type="dxa"/>
            <w:vAlign w:val="bottom"/>
            <w:gridSpan w:val="2"/>
          </w:tcPr>
          <w:p>
            <w:pPr>
              <w:jc w:val="center"/>
              <w:ind w:right="160"/>
              <w:spacing w:after="0" w:line="136" w:lineRule="exact"/>
              <w:rPr>
                <w:sz w:val="20"/>
                <w:szCs w:val="20"/>
                <w:color w:val="auto"/>
              </w:rPr>
            </w:pPr>
            <w:r>
              <w:rPr>
                <w:rFonts w:ascii="Arial" w:cs="Arial" w:eastAsia="Arial" w:hAnsi="Arial"/>
                <w:sz w:val="12"/>
                <w:szCs w:val="12"/>
                <w:b w:val="1"/>
                <w:bCs w:val="1"/>
                <w:color w:val="auto"/>
                <w:w w:val="93"/>
              </w:rPr>
              <w:t>Units of</w:t>
            </w:r>
          </w:p>
        </w:tc>
        <w:tc>
          <w:tcPr>
            <w:tcW w:w="66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9"/>
              </w:rPr>
              <w:t>Other</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2"/>
          </w:tcPr>
          <w:p>
            <w:pPr>
              <w:jc w:val="center"/>
              <w:ind w:right="220"/>
              <w:spacing w:after="0" w:line="136" w:lineRule="exact"/>
              <w:rPr>
                <w:sz w:val="20"/>
                <w:szCs w:val="20"/>
                <w:color w:val="auto"/>
              </w:rPr>
            </w:pPr>
            <w:r>
              <w:rPr>
                <w:rFonts w:ascii="Arial" w:cs="Arial" w:eastAsia="Arial" w:hAnsi="Arial"/>
                <w:sz w:val="12"/>
                <w:szCs w:val="12"/>
                <w:b w:val="1"/>
                <w:bCs w:val="1"/>
                <w:color w:val="auto"/>
              </w:rPr>
              <w:t>or Other</w:t>
            </w:r>
          </w:p>
        </w:tc>
        <w:tc>
          <w:tcPr>
            <w:tcW w:w="0" w:type="dxa"/>
            <w:vAlign w:val="bottom"/>
          </w:tcPr>
          <w:p>
            <w:pPr>
              <w:spacing w:after="0"/>
              <w:rPr>
                <w:sz w:val="1"/>
                <w:szCs w:val="1"/>
                <w:color w:val="auto"/>
              </w:rPr>
            </w:pPr>
          </w:p>
        </w:tc>
      </w:tr>
      <w:tr>
        <w:trPr>
          <w:trHeight w:val="136"/>
        </w:trPr>
        <w:tc>
          <w:tcPr>
            <w:tcW w:w="3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80" w:type="dxa"/>
            <w:vAlign w:val="bottom"/>
            <w:gridSpan w:val="5"/>
          </w:tcPr>
          <w:p>
            <w:pPr>
              <w:jc w:val="center"/>
              <w:ind w:right="160"/>
              <w:spacing w:after="0" w:line="136" w:lineRule="exact"/>
              <w:rPr>
                <w:sz w:val="20"/>
                <w:szCs w:val="20"/>
                <w:color w:val="auto"/>
              </w:rPr>
            </w:pPr>
            <w:r>
              <w:rPr>
                <w:rFonts w:ascii="Arial" w:cs="Arial" w:eastAsia="Arial" w:hAnsi="Arial"/>
                <w:sz w:val="12"/>
                <w:szCs w:val="12"/>
                <w:b w:val="1"/>
                <w:bCs w:val="1"/>
                <w:color w:val="auto"/>
                <w:w w:val="92"/>
              </w:rPr>
              <w:t>Options/SSARs</w:t>
            </w:r>
          </w:p>
        </w:tc>
        <w:tc>
          <w:tcPr>
            <w:tcW w:w="72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3"/>
              </w:rPr>
              <w:t>Unearned</w:t>
            </w:r>
          </w:p>
        </w:tc>
        <w:tc>
          <w:tcPr>
            <w:tcW w:w="140" w:type="dxa"/>
            <w:vAlign w:val="bottom"/>
          </w:tcPr>
          <w:p>
            <w:pPr>
              <w:spacing w:after="0"/>
              <w:rPr>
                <w:sz w:val="11"/>
                <w:szCs w:val="11"/>
                <w:color w:val="auto"/>
              </w:rPr>
            </w:pPr>
          </w:p>
        </w:tc>
        <w:tc>
          <w:tcPr>
            <w:tcW w:w="48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2"/>
              </w:rPr>
              <w:t>Option</w:t>
            </w:r>
          </w:p>
        </w:tc>
        <w:tc>
          <w:tcPr>
            <w:tcW w:w="160" w:type="dxa"/>
            <w:vAlign w:val="bottom"/>
          </w:tcPr>
          <w:p>
            <w:pPr>
              <w:spacing w:after="0"/>
              <w:rPr>
                <w:sz w:val="11"/>
                <w:szCs w:val="11"/>
                <w:color w:val="auto"/>
              </w:rPr>
            </w:pPr>
          </w:p>
        </w:tc>
        <w:tc>
          <w:tcPr>
            <w:tcW w:w="62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2"/>
              </w:rPr>
              <w:t>Option</w:t>
            </w:r>
          </w:p>
        </w:tc>
        <w:tc>
          <w:tcPr>
            <w:tcW w:w="140" w:type="dxa"/>
            <w:vAlign w:val="bottom"/>
          </w:tcPr>
          <w:p>
            <w:pPr>
              <w:spacing w:after="0"/>
              <w:rPr>
                <w:sz w:val="11"/>
                <w:szCs w:val="11"/>
                <w:color w:val="auto"/>
              </w:rPr>
            </w:pPr>
          </w:p>
        </w:tc>
        <w:tc>
          <w:tcPr>
            <w:tcW w:w="66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4"/>
              </w:rPr>
              <w:t>Stock That</w:t>
            </w:r>
          </w:p>
        </w:tc>
        <w:tc>
          <w:tcPr>
            <w:tcW w:w="160" w:type="dxa"/>
            <w:vAlign w:val="bottom"/>
          </w:tcPr>
          <w:p>
            <w:pPr>
              <w:spacing w:after="0"/>
              <w:rPr>
                <w:sz w:val="11"/>
                <w:szCs w:val="11"/>
                <w:color w:val="auto"/>
              </w:rPr>
            </w:pPr>
          </w:p>
        </w:tc>
        <w:tc>
          <w:tcPr>
            <w:tcW w:w="740" w:type="dxa"/>
            <w:vAlign w:val="bottom"/>
            <w:gridSpan w:val="2"/>
          </w:tcPr>
          <w:p>
            <w:pPr>
              <w:jc w:val="center"/>
              <w:ind w:right="160"/>
              <w:spacing w:after="0" w:line="136" w:lineRule="exact"/>
              <w:rPr>
                <w:sz w:val="20"/>
                <w:szCs w:val="20"/>
                <w:color w:val="auto"/>
              </w:rPr>
            </w:pPr>
            <w:r>
              <w:rPr>
                <w:rFonts w:ascii="Arial" w:cs="Arial" w:eastAsia="Arial" w:hAnsi="Arial"/>
                <w:sz w:val="12"/>
                <w:szCs w:val="12"/>
                <w:b w:val="1"/>
                <w:bCs w:val="1"/>
                <w:color w:val="auto"/>
                <w:w w:val="94"/>
              </w:rPr>
              <w:t>Stock That</w:t>
            </w:r>
          </w:p>
        </w:tc>
        <w:tc>
          <w:tcPr>
            <w:tcW w:w="66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0"/>
              </w:rPr>
              <w:t>Rights</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2"/>
          </w:tcPr>
          <w:p>
            <w:pPr>
              <w:jc w:val="center"/>
              <w:ind w:right="220"/>
              <w:spacing w:after="0" w:line="136" w:lineRule="exact"/>
              <w:rPr>
                <w:sz w:val="20"/>
                <w:szCs w:val="20"/>
                <w:color w:val="auto"/>
              </w:rPr>
            </w:pPr>
            <w:r>
              <w:rPr>
                <w:rFonts w:ascii="Arial" w:cs="Arial" w:eastAsia="Arial" w:hAnsi="Arial"/>
                <w:sz w:val="12"/>
                <w:szCs w:val="12"/>
                <w:b w:val="1"/>
                <w:bCs w:val="1"/>
                <w:color w:val="auto"/>
                <w:w w:val="96"/>
              </w:rPr>
              <w:t>Rights That</w:t>
            </w:r>
          </w:p>
        </w:tc>
        <w:tc>
          <w:tcPr>
            <w:tcW w:w="0" w:type="dxa"/>
            <w:vAlign w:val="bottom"/>
          </w:tcPr>
          <w:p>
            <w:pPr>
              <w:spacing w:after="0"/>
              <w:rPr>
                <w:sz w:val="1"/>
                <w:szCs w:val="1"/>
                <w:color w:val="auto"/>
              </w:rPr>
            </w:pPr>
          </w:p>
        </w:tc>
      </w:tr>
      <w:tr>
        <w:trPr>
          <w:trHeight w:val="25"/>
        </w:trPr>
        <w:tc>
          <w:tcPr>
            <w:tcW w:w="3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vMerge w:val="restart"/>
          </w:tcPr>
          <w:p>
            <w:pPr>
              <w:jc w:val="center"/>
              <w:spacing w:after="0" w:line="111" w:lineRule="exact"/>
              <w:rPr>
                <w:sz w:val="20"/>
                <w:szCs w:val="20"/>
                <w:color w:val="auto"/>
              </w:rPr>
            </w:pPr>
            <w:r>
              <w:rPr>
                <w:rFonts w:ascii="Arial" w:cs="Arial" w:eastAsia="Arial" w:hAnsi="Arial"/>
                <w:sz w:val="12"/>
                <w:szCs w:val="12"/>
                <w:b w:val="1"/>
                <w:bCs w:val="1"/>
                <w:color w:val="auto"/>
                <w:w w:val="92"/>
              </w:rPr>
              <w:t>Options /</w:t>
            </w:r>
          </w:p>
        </w:tc>
        <w:tc>
          <w:tcPr>
            <w:tcW w:w="140" w:type="dxa"/>
            <w:vAlign w:val="bottom"/>
            <w:vMerge w:val="restart"/>
          </w:tcPr>
          <w:p>
            <w:pPr>
              <w:spacing w:after="0"/>
              <w:rPr>
                <w:sz w:val="2"/>
                <w:szCs w:val="2"/>
                <w:color w:val="auto"/>
              </w:rPr>
            </w:pPr>
          </w:p>
        </w:tc>
        <w:tc>
          <w:tcPr>
            <w:tcW w:w="480" w:type="dxa"/>
            <w:vAlign w:val="bottom"/>
            <w:vMerge w:val="restart"/>
          </w:tcPr>
          <w:p>
            <w:pPr>
              <w:jc w:val="center"/>
              <w:spacing w:after="0" w:line="111" w:lineRule="exact"/>
              <w:rPr>
                <w:sz w:val="20"/>
                <w:szCs w:val="20"/>
                <w:color w:val="auto"/>
              </w:rPr>
            </w:pPr>
            <w:r>
              <w:rPr>
                <w:rFonts w:ascii="Arial" w:cs="Arial" w:eastAsia="Arial" w:hAnsi="Arial"/>
                <w:sz w:val="12"/>
                <w:szCs w:val="12"/>
                <w:b w:val="1"/>
                <w:bCs w:val="1"/>
                <w:color w:val="auto"/>
                <w:w w:val="89"/>
              </w:rPr>
              <w:t>Exercise</w:t>
            </w:r>
          </w:p>
        </w:tc>
        <w:tc>
          <w:tcPr>
            <w:tcW w:w="160" w:type="dxa"/>
            <w:vAlign w:val="bottom"/>
            <w:vMerge w:val="restart"/>
          </w:tcPr>
          <w:p>
            <w:pPr>
              <w:spacing w:after="0"/>
              <w:rPr>
                <w:sz w:val="2"/>
                <w:szCs w:val="2"/>
                <w:color w:val="auto"/>
              </w:rPr>
            </w:pPr>
          </w:p>
        </w:tc>
        <w:tc>
          <w:tcPr>
            <w:tcW w:w="620" w:type="dxa"/>
            <w:vAlign w:val="bottom"/>
            <w:vMerge w:val="restart"/>
          </w:tcPr>
          <w:p>
            <w:pPr>
              <w:jc w:val="center"/>
              <w:spacing w:after="0" w:line="111" w:lineRule="exact"/>
              <w:rPr>
                <w:sz w:val="20"/>
                <w:szCs w:val="20"/>
                <w:color w:val="auto"/>
              </w:rPr>
            </w:pPr>
            <w:r>
              <w:rPr>
                <w:rFonts w:ascii="Arial" w:cs="Arial" w:eastAsia="Arial" w:hAnsi="Arial"/>
                <w:sz w:val="12"/>
                <w:szCs w:val="12"/>
                <w:b w:val="1"/>
                <w:bCs w:val="1"/>
                <w:color w:val="auto"/>
                <w:w w:val="95"/>
              </w:rPr>
              <w:t>Expiration</w:t>
            </w:r>
          </w:p>
        </w:tc>
        <w:tc>
          <w:tcPr>
            <w:tcW w:w="140" w:type="dxa"/>
            <w:vAlign w:val="bottom"/>
          </w:tcPr>
          <w:p>
            <w:pPr>
              <w:spacing w:after="0"/>
              <w:rPr>
                <w:sz w:val="2"/>
                <w:szCs w:val="2"/>
                <w:color w:val="auto"/>
              </w:rPr>
            </w:pPr>
          </w:p>
        </w:tc>
        <w:tc>
          <w:tcPr>
            <w:tcW w:w="660" w:type="dxa"/>
            <w:vAlign w:val="bottom"/>
            <w:vMerge w:val="restart"/>
          </w:tcPr>
          <w:p>
            <w:pPr>
              <w:jc w:val="center"/>
              <w:spacing w:after="0" w:line="111" w:lineRule="exact"/>
              <w:rPr>
                <w:sz w:val="20"/>
                <w:szCs w:val="20"/>
                <w:color w:val="auto"/>
              </w:rPr>
            </w:pPr>
            <w:r>
              <w:rPr>
                <w:rFonts w:ascii="Arial" w:cs="Arial" w:eastAsia="Arial" w:hAnsi="Arial"/>
                <w:sz w:val="12"/>
                <w:szCs w:val="12"/>
                <w:b w:val="1"/>
                <w:bCs w:val="1"/>
                <w:color w:val="auto"/>
                <w:w w:val="96"/>
              </w:rPr>
              <w:t>Have Not</w:t>
            </w:r>
          </w:p>
        </w:tc>
        <w:tc>
          <w:tcPr>
            <w:tcW w:w="160" w:type="dxa"/>
            <w:vAlign w:val="bottom"/>
          </w:tcPr>
          <w:p>
            <w:pPr>
              <w:spacing w:after="0"/>
              <w:rPr>
                <w:sz w:val="2"/>
                <w:szCs w:val="2"/>
                <w:color w:val="auto"/>
              </w:rPr>
            </w:pPr>
          </w:p>
        </w:tc>
        <w:tc>
          <w:tcPr>
            <w:tcW w:w="740" w:type="dxa"/>
            <w:vAlign w:val="bottom"/>
            <w:gridSpan w:val="2"/>
            <w:vMerge w:val="restart"/>
          </w:tcPr>
          <w:p>
            <w:pPr>
              <w:jc w:val="center"/>
              <w:ind w:right="160"/>
              <w:spacing w:after="0" w:line="111" w:lineRule="exact"/>
              <w:rPr>
                <w:sz w:val="20"/>
                <w:szCs w:val="20"/>
                <w:color w:val="auto"/>
              </w:rPr>
            </w:pPr>
            <w:r>
              <w:rPr>
                <w:rFonts w:ascii="Arial" w:cs="Arial" w:eastAsia="Arial" w:hAnsi="Arial"/>
                <w:sz w:val="12"/>
                <w:szCs w:val="12"/>
                <w:b w:val="1"/>
                <w:bCs w:val="1"/>
                <w:color w:val="auto"/>
                <w:w w:val="96"/>
              </w:rPr>
              <w:t>Have Not</w:t>
            </w:r>
          </w:p>
        </w:tc>
        <w:tc>
          <w:tcPr>
            <w:tcW w:w="660" w:type="dxa"/>
            <w:vAlign w:val="bottom"/>
            <w:vMerge w:val="restart"/>
          </w:tcPr>
          <w:p>
            <w:pPr>
              <w:jc w:val="center"/>
              <w:spacing w:after="0" w:line="111" w:lineRule="exact"/>
              <w:rPr>
                <w:sz w:val="20"/>
                <w:szCs w:val="20"/>
                <w:color w:val="auto"/>
              </w:rPr>
            </w:pPr>
            <w:r>
              <w:rPr>
                <w:rFonts w:ascii="Arial" w:cs="Arial" w:eastAsia="Arial" w:hAnsi="Arial"/>
                <w:sz w:val="12"/>
                <w:szCs w:val="12"/>
                <w:b w:val="1"/>
                <w:bCs w:val="1"/>
                <w:color w:val="auto"/>
                <w:w w:val="97"/>
              </w:rPr>
              <w:t>That Have</w:t>
            </w: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gridSpan w:val="2"/>
            <w:vMerge w:val="restart"/>
          </w:tcPr>
          <w:p>
            <w:pPr>
              <w:jc w:val="center"/>
              <w:ind w:right="220"/>
              <w:spacing w:after="0" w:line="111" w:lineRule="exact"/>
              <w:rPr>
                <w:sz w:val="20"/>
                <w:szCs w:val="20"/>
                <w:color w:val="auto"/>
              </w:rPr>
            </w:pPr>
            <w:r>
              <w:rPr>
                <w:rFonts w:ascii="Arial" w:cs="Arial" w:eastAsia="Arial" w:hAnsi="Arial"/>
                <w:sz w:val="12"/>
                <w:szCs w:val="12"/>
                <w:b w:val="1"/>
                <w:bCs w:val="1"/>
                <w:color w:val="auto"/>
                <w:w w:val="92"/>
              </w:rPr>
              <w:t>Have Not</w:t>
            </w:r>
          </w:p>
        </w:tc>
        <w:tc>
          <w:tcPr>
            <w:tcW w:w="0" w:type="dxa"/>
            <w:vAlign w:val="bottom"/>
          </w:tcPr>
          <w:p>
            <w:pPr>
              <w:spacing w:after="0"/>
              <w:rPr>
                <w:sz w:val="1"/>
                <w:szCs w:val="1"/>
                <w:color w:val="auto"/>
              </w:rPr>
            </w:pPr>
          </w:p>
        </w:tc>
      </w:tr>
      <w:tr>
        <w:trPr>
          <w:trHeight w:val="66"/>
        </w:trPr>
        <w:tc>
          <w:tcPr>
            <w:tcW w:w="320" w:type="dxa"/>
            <w:vAlign w:val="bottom"/>
          </w:tcPr>
          <w:p>
            <w:pPr>
              <w:spacing w:after="0"/>
              <w:rPr>
                <w:sz w:val="5"/>
                <w:szCs w:val="5"/>
                <w:color w:val="auto"/>
              </w:rPr>
            </w:pPr>
          </w:p>
        </w:tc>
        <w:tc>
          <w:tcPr>
            <w:tcW w:w="14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16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3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91"/>
              </w:rPr>
              <w:t>Name</w:t>
            </w:r>
          </w:p>
        </w:tc>
        <w:tc>
          <w:tcPr>
            <w:tcW w:w="1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92"/>
              </w:rPr>
              <w:t>Exercisable</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90"/>
              </w:rPr>
              <w:t>Unexercisable</w:t>
            </w:r>
          </w:p>
        </w:tc>
        <w:tc>
          <w:tcPr>
            <w:tcW w:w="140" w:type="dxa"/>
            <w:vAlign w:val="bottom"/>
          </w:tcPr>
          <w:p>
            <w:pPr>
              <w:spacing w:after="0"/>
              <w:rPr>
                <w:sz w:val="13"/>
                <w:szCs w:val="13"/>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3"/>
              </w:rPr>
              <w:t>SSARs (#)</w:t>
            </w:r>
          </w:p>
        </w:tc>
        <w:tc>
          <w:tcPr>
            <w:tcW w:w="140" w:type="dxa"/>
            <w:vAlign w:val="bottom"/>
          </w:tcPr>
          <w:p>
            <w:pPr>
              <w:spacing w:after="0"/>
              <w:rPr>
                <w:sz w:val="13"/>
                <w:szCs w:val="13"/>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Price</w:t>
            </w:r>
          </w:p>
        </w:tc>
        <w:tc>
          <w:tcPr>
            <w:tcW w:w="160" w:type="dxa"/>
            <w:vAlign w:val="bottom"/>
          </w:tcPr>
          <w:p>
            <w:pPr>
              <w:spacing w:after="0"/>
              <w:rPr>
                <w:sz w:val="13"/>
                <w:szCs w:val="13"/>
                <w:color w:val="auto"/>
              </w:rPr>
            </w:pPr>
          </w:p>
        </w:tc>
        <w:tc>
          <w:tcPr>
            <w:tcW w:w="620" w:type="dxa"/>
            <w:vAlign w:val="bottom"/>
            <w:tcBorders>
              <w:bottom w:val="single" w:sz="8" w:color="auto"/>
            </w:tcBorders>
          </w:tcPr>
          <w:p>
            <w:pPr>
              <w:ind w:left="180"/>
              <w:spacing w:after="0"/>
              <w:rPr>
                <w:sz w:val="20"/>
                <w:szCs w:val="20"/>
                <w:color w:val="auto"/>
              </w:rPr>
            </w:pPr>
            <w:r>
              <w:rPr>
                <w:rFonts w:ascii="Arial" w:cs="Arial" w:eastAsia="Arial" w:hAnsi="Arial"/>
                <w:sz w:val="12"/>
                <w:szCs w:val="12"/>
                <w:b w:val="1"/>
                <w:bCs w:val="1"/>
                <w:color w:val="auto"/>
              </w:rPr>
              <w:t>Date</w:t>
            </w:r>
          </w:p>
        </w:tc>
        <w:tc>
          <w:tcPr>
            <w:tcW w:w="140" w:type="dxa"/>
            <w:vAlign w:val="bottom"/>
          </w:tcPr>
          <w:p>
            <w:pPr>
              <w:spacing w:after="0"/>
              <w:rPr>
                <w:sz w:val="13"/>
                <w:szCs w:val="13"/>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6"/>
              </w:rPr>
              <w:t>Vested</w:t>
            </w:r>
          </w:p>
        </w:tc>
        <w:tc>
          <w:tcPr>
            <w:tcW w:w="160" w:type="dxa"/>
            <w:vAlign w:val="bottom"/>
          </w:tcPr>
          <w:p>
            <w:pPr>
              <w:spacing w:after="0"/>
              <w:rPr>
                <w:sz w:val="13"/>
                <w:szCs w:val="13"/>
                <w:color w:val="auto"/>
              </w:rPr>
            </w:pPr>
          </w:p>
        </w:tc>
        <w:tc>
          <w:tcPr>
            <w:tcW w:w="600" w:type="dxa"/>
            <w:vAlign w:val="bottom"/>
            <w:tcBorders>
              <w:bottom w:val="single" w:sz="8" w:color="auto"/>
            </w:tcBorders>
          </w:tcPr>
          <w:p>
            <w:pPr>
              <w:jc w:val="center"/>
              <w:spacing w:after="0" w:line="160" w:lineRule="exact"/>
              <w:rPr>
                <w:sz w:val="20"/>
                <w:szCs w:val="20"/>
                <w:color w:val="auto"/>
              </w:rPr>
            </w:pPr>
            <w:r>
              <w:rPr>
                <w:rFonts w:ascii="Arial" w:cs="Arial" w:eastAsia="Arial" w:hAnsi="Arial"/>
                <w:sz w:val="11"/>
                <w:szCs w:val="11"/>
                <w:b w:val="1"/>
                <w:bCs w:val="1"/>
                <w:color w:val="auto"/>
                <w:w w:val="90"/>
              </w:rPr>
              <w:t>Vested</w:t>
            </w:r>
            <w:r>
              <w:rPr>
                <w:rFonts w:ascii="Arial" w:cs="Arial" w:eastAsia="Arial" w:hAnsi="Arial"/>
                <w:sz w:val="18"/>
                <w:szCs w:val="18"/>
                <w:b w:val="1"/>
                <w:bCs w:val="1"/>
                <w:color w:val="auto"/>
                <w:w w:val="90"/>
                <w:vertAlign w:val="superscript"/>
              </w:rPr>
              <w:t>(1)</w:t>
            </w:r>
          </w:p>
        </w:tc>
        <w:tc>
          <w:tcPr>
            <w:tcW w:w="140" w:type="dxa"/>
            <w:vAlign w:val="bottom"/>
          </w:tcPr>
          <w:p>
            <w:pPr>
              <w:spacing w:after="0"/>
              <w:rPr>
                <w:sz w:val="13"/>
                <w:szCs w:val="13"/>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Not Vested</w:t>
            </w:r>
          </w:p>
        </w:tc>
        <w:tc>
          <w:tcPr>
            <w:tcW w:w="1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spacing w:after="0" w:line="160" w:lineRule="exact"/>
              <w:rPr>
                <w:sz w:val="20"/>
                <w:szCs w:val="20"/>
                <w:color w:val="auto"/>
              </w:rPr>
            </w:pPr>
            <w:r>
              <w:rPr>
                <w:rFonts w:ascii="Arial" w:cs="Arial" w:eastAsia="Arial" w:hAnsi="Arial"/>
                <w:sz w:val="11"/>
                <w:szCs w:val="11"/>
                <w:b w:val="1"/>
                <w:bCs w:val="1"/>
                <w:color w:val="auto"/>
                <w:w w:val="94"/>
              </w:rPr>
              <w:t>Vested</w:t>
            </w:r>
            <w:r>
              <w:rPr>
                <w:rFonts w:ascii="Arial" w:cs="Arial" w:eastAsia="Arial" w:hAnsi="Arial"/>
                <w:sz w:val="18"/>
                <w:szCs w:val="18"/>
                <w:b w:val="1"/>
                <w:bCs w:val="1"/>
                <w:color w:val="auto"/>
                <w:w w:val="94"/>
                <w:vertAlign w:val="superscript"/>
              </w:rPr>
              <w:t>(1)</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17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Michael J. Kasbar</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38,431</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$39.58</w:t>
            </w:r>
          </w:p>
        </w:tc>
        <w:tc>
          <w:tcPr>
            <w:tcW w:w="780" w:type="dxa"/>
            <w:vAlign w:val="bottom"/>
            <w:gridSpan w:val="2"/>
            <w:shd w:val="clear" w:color="auto" w:fill="CCEEFF"/>
          </w:tcPr>
          <w:p>
            <w:pPr>
              <w:ind w:left="340"/>
              <w:spacing w:after="0"/>
              <w:rPr>
                <w:sz w:val="20"/>
                <w:szCs w:val="20"/>
                <w:color w:val="auto"/>
              </w:rPr>
            </w:pPr>
            <w:r>
              <w:rPr>
                <w:rFonts w:ascii="Arial" w:cs="Arial" w:eastAsia="Arial" w:hAnsi="Arial"/>
                <w:sz w:val="12"/>
                <w:szCs w:val="12"/>
                <w:color w:val="auto"/>
                <w:w w:val="89"/>
              </w:rPr>
              <w:t>03/15/18</w:t>
            </w:r>
          </w:p>
        </w:tc>
        <w:tc>
          <w:tcPr>
            <w:tcW w:w="800" w:type="dxa"/>
            <w:vAlign w:val="bottom"/>
            <w:gridSpan w:val="2"/>
            <w:shd w:val="clear" w:color="auto" w:fill="CCEEFF"/>
          </w:tcPr>
          <w:p>
            <w:pPr>
              <w:jc w:val="right"/>
              <w:spacing w:after="0" w:line="139" w:lineRule="exact"/>
              <w:rPr>
                <w:sz w:val="20"/>
                <w:szCs w:val="20"/>
                <w:color w:val="auto"/>
              </w:rPr>
            </w:pPr>
            <w:r>
              <w:rPr>
                <w:rFonts w:ascii="Arial" w:cs="Arial" w:eastAsia="Arial" w:hAnsi="Arial"/>
                <w:sz w:val="10"/>
                <w:szCs w:val="10"/>
                <w:color w:val="auto"/>
              </w:rPr>
              <w:t>2,688</w:t>
            </w:r>
            <w:r>
              <w:rPr>
                <w:rFonts w:ascii="Arial" w:cs="Arial" w:eastAsia="Arial" w:hAnsi="Arial"/>
                <w:sz w:val="16"/>
                <w:szCs w:val="16"/>
                <w:color w:val="auto"/>
                <w:vertAlign w:val="superscript"/>
              </w:rPr>
              <w:t>(2)</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$75,640</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39" w:lineRule="exact"/>
              <w:rPr>
                <w:sz w:val="20"/>
                <w:szCs w:val="20"/>
                <w:color w:val="auto"/>
              </w:rPr>
            </w:pPr>
            <w:r>
              <w:rPr>
                <w:rFonts w:ascii="Arial" w:cs="Arial" w:eastAsia="Arial" w:hAnsi="Arial"/>
                <w:sz w:val="10"/>
                <w:szCs w:val="10"/>
                <w:color w:val="auto"/>
              </w:rPr>
              <w:t>10,292</w:t>
            </w:r>
            <w:r>
              <w:rPr>
                <w:rFonts w:ascii="Arial" w:cs="Arial" w:eastAsia="Arial" w:hAnsi="Arial"/>
                <w:sz w:val="16"/>
                <w:szCs w:val="16"/>
                <w:color w:val="auto"/>
                <w:vertAlign w:val="superscript"/>
              </w:rPr>
              <w:t>(4)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289,624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760" w:type="dxa"/>
            <w:vAlign w:val="bottom"/>
            <w:gridSpan w:val="2"/>
            <w:shd w:val="clear" w:color="auto" w:fill="CCEEFF"/>
          </w:tcPr>
          <w:p>
            <w:pPr>
              <w:ind w:left="120"/>
              <w:spacing w:after="0"/>
              <w:rPr>
                <w:sz w:val="20"/>
                <w:szCs w:val="20"/>
                <w:color w:val="auto"/>
              </w:rPr>
            </w:pPr>
            <w:r>
              <w:rPr>
                <w:rFonts w:ascii="Arial" w:cs="Arial" w:eastAsia="Arial" w:hAnsi="Arial"/>
                <w:sz w:val="12"/>
                <w:szCs w:val="12"/>
                <w:i w:val="1"/>
                <w:iCs w:val="1"/>
                <w:color w:val="auto"/>
              </w:rPr>
              <w:t>Chairman,</w:t>
            </w: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29,991</w:t>
            </w:r>
          </w:p>
        </w:tc>
        <w:tc>
          <w:tcPr>
            <w:tcW w:w="960" w:type="dxa"/>
            <w:vAlign w:val="bottom"/>
            <w:gridSpan w:val="3"/>
            <w:vMerge w:val="restart"/>
            <w:shd w:val="clear" w:color="auto" w:fill="CCEEFF"/>
          </w:tcPr>
          <w:p>
            <w:pPr>
              <w:jc w:val="right"/>
              <w:spacing w:after="0"/>
              <w:rPr>
                <w:sz w:val="20"/>
                <w:szCs w:val="20"/>
                <w:color w:val="auto"/>
              </w:rPr>
            </w:pPr>
            <w:r>
              <w:rPr>
                <w:rFonts w:ascii="Arial" w:cs="Arial" w:eastAsia="Arial" w:hAnsi="Arial"/>
                <w:sz w:val="12"/>
                <w:szCs w:val="12"/>
                <w:color w:val="auto"/>
              </w:rPr>
              <w:t>5,000</w:t>
            </w:r>
            <w:r>
              <w:rPr>
                <w:rFonts w:ascii="Arial" w:cs="Arial" w:eastAsia="Arial" w:hAnsi="Arial"/>
                <w:sz w:val="20"/>
                <w:szCs w:val="20"/>
                <w:color w:val="auto"/>
                <w:vertAlign w:val="superscript"/>
              </w:rPr>
              <w:t>(6)</w:t>
            </w: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45.517</w:t>
            </w:r>
          </w:p>
        </w:tc>
        <w:tc>
          <w:tcPr>
            <w:tcW w:w="780" w:type="dxa"/>
            <w:vAlign w:val="bottom"/>
            <w:gridSpan w:val="2"/>
            <w:shd w:val="clear" w:color="auto" w:fill="CCEEFF"/>
          </w:tcPr>
          <w:p>
            <w:pPr>
              <w:ind w:left="340"/>
              <w:spacing w:after="0"/>
              <w:rPr>
                <w:sz w:val="20"/>
                <w:szCs w:val="20"/>
                <w:color w:val="auto"/>
              </w:rPr>
            </w:pPr>
            <w:r>
              <w:rPr>
                <w:rFonts w:ascii="Arial" w:cs="Arial" w:eastAsia="Arial" w:hAnsi="Arial"/>
                <w:sz w:val="12"/>
                <w:szCs w:val="12"/>
                <w:color w:val="auto"/>
                <w:w w:val="89"/>
              </w:rPr>
              <w:t>03/15/18</w:t>
            </w:r>
          </w:p>
        </w:tc>
        <w:tc>
          <w:tcPr>
            <w:tcW w:w="800" w:type="dxa"/>
            <w:vAlign w:val="bottom"/>
            <w:gridSpan w:val="2"/>
            <w:shd w:val="clear" w:color="auto" w:fill="CCEEFF"/>
          </w:tcPr>
          <w:p>
            <w:pPr>
              <w:jc w:val="right"/>
              <w:spacing w:after="0" w:line="174" w:lineRule="exact"/>
              <w:rPr>
                <w:sz w:val="20"/>
                <w:szCs w:val="20"/>
                <w:color w:val="auto"/>
              </w:rPr>
            </w:pPr>
            <w:r>
              <w:rPr>
                <w:rFonts w:ascii="Arial" w:cs="Arial" w:eastAsia="Arial" w:hAnsi="Arial"/>
                <w:sz w:val="12"/>
                <w:szCs w:val="12"/>
                <w:color w:val="auto"/>
              </w:rPr>
              <w:t>45,137</w:t>
            </w:r>
            <w:r>
              <w:rPr>
                <w:rFonts w:ascii="Arial" w:cs="Arial" w:eastAsia="Arial" w:hAnsi="Arial"/>
                <w:sz w:val="20"/>
                <w:szCs w:val="20"/>
                <w:color w:val="auto"/>
                <w:vertAlign w:val="superscript"/>
              </w:rPr>
              <w:t>(3)</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1,270,155</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74" w:lineRule="exact"/>
              <w:rPr>
                <w:sz w:val="20"/>
                <w:szCs w:val="20"/>
                <w:color w:val="auto"/>
              </w:rPr>
            </w:pPr>
            <w:r>
              <w:rPr>
                <w:rFonts w:ascii="Arial" w:cs="Arial" w:eastAsia="Arial" w:hAnsi="Arial"/>
                <w:sz w:val="12"/>
                <w:szCs w:val="12"/>
                <w:color w:val="auto"/>
              </w:rPr>
              <w:t>27,586</w:t>
            </w:r>
            <w:r>
              <w:rPr>
                <w:rFonts w:ascii="Arial" w:cs="Arial" w:eastAsia="Arial" w:hAnsi="Arial"/>
                <w:sz w:val="20"/>
                <w:szCs w:val="20"/>
                <w:color w:val="auto"/>
                <w:vertAlign w:val="superscript"/>
              </w:rPr>
              <w:t>(5)</w:t>
            </w: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776,270</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1760" w:type="dxa"/>
            <w:vAlign w:val="bottom"/>
            <w:gridSpan w:val="2"/>
            <w:shd w:val="clear" w:color="auto" w:fill="CCEEFF"/>
          </w:tcPr>
          <w:p>
            <w:pPr>
              <w:ind w:left="120"/>
              <w:spacing w:after="0"/>
              <w:rPr>
                <w:sz w:val="20"/>
                <w:szCs w:val="20"/>
                <w:color w:val="auto"/>
              </w:rPr>
            </w:pPr>
            <w:r>
              <w:rPr>
                <w:rFonts w:ascii="Arial" w:cs="Arial" w:eastAsia="Arial" w:hAnsi="Arial"/>
                <w:sz w:val="12"/>
                <w:szCs w:val="12"/>
                <w:i w:val="1"/>
                <w:iCs w:val="1"/>
                <w:color w:val="auto"/>
              </w:rPr>
              <w:t>President and Chief</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10,000</w:t>
            </w:r>
          </w:p>
        </w:tc>
        <w:tc>
          <w:tcPr>
            <w:tcW w:w="960" w:type="dxa"/>
            <w:vAlign w:val="bottom"/>
            <w:gridSpan w:val="3"/>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57.48</w:t>
            </w:r>
          </w:p>
        </w:tc>
        <w:tc>
          <w:tcPr>
            <w:tcW w:w="780" w:type="dxa"/>
            <w:vAlign w:val="bottom"/>
            <w:gridSpan w:val="2"/>
            <w:shd w:val="clear" w:color="auto" w:fill="CCEEFF"/>
          </w:tcPr>
          <w:p>
            <w:pPr>
              <w:ind w:left="340"/>
              <w:spacing w:after="0"/>
              <w:rPr>
                <w:sz w:val="20"/>
                <w:szCs w:val="20"/>
                <w:color w:val="auto"/>
              </w:rPr>
            </w:pPr>
            <w:r>
              <w:rPr>
                <w:rFonts w:ascii="Arial" w:cs="Arial" w:eastAsia="Arial" w:hAnsi="Arial"/>
                <w:sz w:val="12"/>
                <w:szCs w:val="12"/>
                <w:color w:val="auto"/>
                <w:w w:val="89"/>
              </w:rPr>
              <w:t>03/31/20</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760" w:type="dxa"/>
            <w:vAlign w:val="bottom"/>
            <w:gridSpan w:val="2"/>
            <w:shd w:val="clear" w:color="auto" w:fill="CCEEFF"/>
          </w:tcPr>
          <w:p>
            <w:pPr>
              <w:ind w:left="120"/>
              <w:spacing w:after="0"/>
              <w:rPr>
                <w:sz w:val="20"/>
                <w:szCs w:val="20"/>
                <w:color w:val="auto"/>
              </w:rPr>
            </w:pPr>
            <w:r>
              <w:rPr>
                <w:rFonts w:ascii="Arial" w:cs="Arial" w:eastAsia="Arial" w:hAnsi="Arial"/>
                <w:sz w:val="12"/>
                <w:szCs w:val="12"/>
                <w:i w:val="1"/>
                <w:iCs w:val="1"/>
                <w:color w:val="auto"/>
              </w:rPr>
              <w:t>Executive Officer</w:t>
            </w: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960" w:type="dxa"/>
            <w:vAlign w:val="bottom"/>
            <w:gridSpan w:val="3"/>
            <w:shd w:val="clear" w:color="auto" w:fill="CCEEFF"/>
          </w:tcPr>
          <w:p>
            <w:pPr>
              <w:jc w:val="right"/>
              <w:spacing w:after="0" w:line="174" w:lineRule="exact"/>
              <w:rPr>
                <w:sz w:val="20"/>
                <w:szCs w:val="20"/>
                <w:color w:val="auto"/>
              </w:rPr>
            </w:pPr>
            <w:r>
              <w:rPr>
                <w:rFonts w:ascii="Arial" w:cs="Arial" w:eastAsia="Arial" w:hAnsi="Arial"/>
                <w:sz w:val="12"/>
                <w:szCs w:val="12"/>
                <w:color w:val="auto"/>
              </w:rPr>
              <w:t>100,000</w:t>
            </w:r>
            <w:r>
              <w:rPr>
                <w:rFonts w:ascii="Arial" w:cs="Arial" w:eastAsia="Arial" w:hAnsi="Arial"/>
                <w:sz w:val="20"/>
                <w:szCs w:val="20"/>
                <w:color w:val="auto"/>
                <w:vertAlign w:val="superscript"/>
              </w:rPr>
              <w:t>(7)</w:t>
            </w: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48.58</w:t>
            </w:r>
          </w:p>
        </w:tc>
        <w:tc>
          <w:tcPr>
            <w:tcW w:w="780" w:type="dxa"/>
            <w:vAlign w:val="bottom"/>
            <w:gridSpan w:val="2"/>
            <w:shd w:val="clear" w:color="auto" w:fill="CCEEFF"/>
          </w:tcPr>
          <w:p>
            <w:pPr>
              <w:ind w:left="340"/>
              <w:spacing w:after="0"/>
              <w:rPr>
                <w:sz w:val="20"/>
                <w:szCs w:val="20"/>
                <w:color w:val="auto"/>
              </w:rPr>
            </w:pPr>
            <w:r>
              <w:rPr>
                <w:rFonts w:ascii="Arial" w:cs="Arial" w:eastAsia="Arial" w:hAnsi="Arial"/>
                <w:sz w:val="12"/>
                <w:szCs w:val="12"/>
                <w:color w:val="auto"/>
                <w:w w:val="89"/>
              </w:rPr>
              <w:t>03/31/21</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197" w:lineRule="exact"/>
              <w:rPr>
                <w:sz w:val="20"/>
                <w:szCs w:val="20"/>
                <w:color w:val="auto"/>
              </w:rPr>
            </w:pPr>
            <w:r>
              <w:rPr>
                <w:rFonts w:ascii="Arial" w:cs="Arial" w:eastAsia="Arial" w:hAnsi="Arial"/>
                <w:sz w:val="12"/>
                <w:szCs w:val="12"/>
                <w:color w:val="auto"/>
              </w:rPr>
              <w:t>113,507</w:t>
            </w:r>
            <w:r>
              <w:rPr>
                <w:rFonts w:ascii="Arial" w:cs="Arial" w:eastAsia="Arial" w:hAnsi="Arial"/>
                <w:sz w:val="20"/>
                <w:szCs w:val="20"/>
                <w:color w:val="auto"/>
                <w:vertAlign w:val="superscript"/>
              </w:rPr>
              <w:t>(8)</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36.25</w:t>
            </w:r>
          </w:p>
        </w:tc>
        <w:tc>
          <w:tcPr>
            <w:tcW w:w="780" w:type="dxa"/>
            <w:vAlign w:val="bottom"/>
            <w:gridSpan w:val="2"/>
            <w:shd w:val="clear" w:color="auto" w:fill="CCEEFF"/>
          </w:tcPr>
          <w:p>
            <w:pPr>
              <w:ind w:left="340"/>
              <w:spacing w:after="0"/>
              <w:rPr>
                <w:sz w:val="20"/>
                <w:szCs w:val="20"/>
                <w:color w:val="auto"/>
              </w:rPr>
            </w:pPr>
            <w:r>
              <w:rPr>
                <w:rFonts w:ascii="Arial" w:cs="Arial" w:eastAsia="Arial" w:hAnsi="Arial"/>
                <w:sz w:val="12"/>
                <w:szCs w:val="12"/>
                <w:color w:val="auto"/>
                <w:w w:val="89"/>
              </w:rPr>
              <w:t>03/31/22</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197" w:lineRule="exact"/>
              <w:rPr>
                <w:sz w:val="20"/>
                <w:szCs w:val="20"/>
                <w:color w:val="auto"/>
              </w:rPr>
            </w:pPr>
            <w:r>
              <w:rPr>
                <w:rFonts w:ascii="Arial" w:cs="Arial" w:eastAsia="Arial" w:hAnsi="Arial"/>
                <w:sz w:val="12"/>
                <w:szCs w:val="12"/>
                <w:color w:val="auto"/>
              </w:rPr>
              <w:t>113,507</w:t>
            </w:r>
            <w:r>
              <w:rPr>
                <w:rFonts w:ascii="Arial" w:cs="Arial" w:eastAsia="Arial" w:hAnsi="Arial"/>
                <w:sz w:val="20"/>
                <w:szCs w:val="20"/>
                <w:color w:val="auto"/>
                <w:vertAlign w:val="superscript"/>
              </w:rPr>
              <w:t>(9)</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36.25</w:t>
            </w:r>
          </w:p>
        </w:tc>
        <w:tc>
          <w:tcPr>
            <w:tcW w:w="780" w:type="dxa"/>
            <w:vAlign w:val="bottom"/>
            <w:gridSpan w:val="2"/>
            <w:shd w:val="clear" w:color="auto" w:fill="CCEEFF"/>
          </w:tcPr>
          <w:p>
            <w:pPr>
              <w:ind w:left="340"/>
              <w:spacing w:after="0"/>
              <w:rPr>
                <w:sz w:val="20"/>
                <w:szCs w:val="20"/>
                <w:color w:val="auto"/>
              </w:rPr>
            </w:pPr>
            <w:r>
              <w:rPr>
                <w:rFonts w:ascii="Arial" w:cs="Arial" w:eastAsia="Arial" w:hAnsi="Arial"/>
                <w:sz w:val="12"/>
                <w:szCs w:val="12"/>
                <w:color w:val="auto"/>
                <w:w w:val="89"/>
              </w:rPr>
              <w:t>03/31/22</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1760" w:type="dxa"/>
            <w:vAlign w:val="bottom"/>
            <w:gridSpan w:val="2"/>
          </w:tcPr>
          <w:p>
            <w:pPr>
              <w:spacing w:after="0"/>
              <w:rPr>
                <w:sz w:val="20"/>
                <w:szCs w:val="20"/>
                <w:color w:val="auto"/>
              </w:rPr>
            </w:pPr>
            <w:r>
              <w:rPr>
                <w:rFonts w:ascii="Arial" w:cs="Arial" w:eastAsia="Arial" w:hAnsi="Arial"/>
                <w:sz w:val="12"/>
                <w:szCs w:val="12"/>
                <w:color w:val="auto"/>
              </w:rPr>
              <w:t>Ira M. Birns</w:t>
            </w:r>
          </w:p>
        </w:tc>
        <w:tc>
          <w:tcPr>
            <w:tcW w:w="820" w:type="dxa"/>
            <w:vAlign w:val="bottom"/>
            <w:gridSpan w:val="2"/>
          </w:tcPr>
          <w:p>
            <w:pPr>
              <w:jc w:val="right"/>
              <w:spacing w:after="0"/>
              <w:rPr>
                <w:sz w:val="20"/>
                <w:szCs w:val="20"/>
                <w:color w:val="auto"/>
              </w:rPr>
            </w:pPr>
            <w:r>
              <w:rPr>
                <w:rFonts w:ascii="Arial" w:cs="Arial" w:eastAsia="Arial" w:hAnsi="Arial"/>
                <w:sz w:val="12"/>
                <w:szCs w:val="12"/>
                <w:color w:val="auto"/>
              </w:rPr>
              <w:t>21,083</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gridSpan w:val="2"/>
          </w:tcPr>
          <w:p>
            <w:pPr>
              <w:jc w:val="right"/>
              <w:spacing w:after="0"/>
              <w:rPr>
                <w:sz w:val="20"/>
                <w:szCs w:val="20"/>
                <w:color w:val="auto"/>
              </w:rPr>
            </w:pPr>
            <w:r>
              <w:rPr>
                <w:rFonts w:ascii="Arial" w:cs="Arial" w:eastAsia="Arial" w:hAnsi="Arial"/>
                <w:sz w:val="12"/>
                <w:szCs w:val="12"/>
                <w:color w:val="auto"/>
              </w:rPr>
              <w:t>39.58</w:t>
            </w:r>
          </w:p>
        </w:tc>
        <w:tc>
          <w:tcPr>
            <w:tcW w:w="780" w:type="dxa"/>
            <w:vAlign w:val="bottom"/>
            <w:gridSpan w:val="2"/>
          </w:tcPr>
          <w:p>
            <w:pPr>
              <w:ind w:left="340"/>
              <w:spacing w:after="0"/>
              <w:rPr>
                <w:sz w:val="20"/>
                <w:szCs w:val="20"/>
                <w:color w:val="auto"/>
              </w:rPr>
            </w:pPr>
            <w:r>
              <w:rPr>
                <w:rFonts w:ascii="Arial" w:cs="Arial" w:eastAsia="Arial" w:hAnsi="Arial"/>
                <w:sz w:val="12"/>
                <w:szCs w:val="12"/>
                <w:color w:val="auto"/>
                <w:w w:val="89"/>
              </w:rPr>
              <w:t>03/15/18</w:t>
            </w:r>
          </w:p>
        </w:tc>
        <w:tc>
          <w:tcPr>
            <w:tcW w:w="800" w:type="dxa"/>
            <w:vAlign w:val="bottom"/>
            <w:gridSpan w:val="2"/>
          </w:tcPr>
          <w:p>
            <w:pPr>
              <w:jc w:val="right"/>
              <w:spacing w:after="0" w:line="147" w:lineRule="exact"/>
              <w:rPr>
                <w:sz w:val="20"/>
                <w:szCs w:val="20"/>
                <w:color w:val="auto"/>
              </w:rPr>
            </w:pPr>
            <w:r>
              <w:rPr>
                <w:rFonts w:ascii="Arial" w:cs="Arial" w:eastAsia="Arial" w:hAnsi="Arial"/>
                <w:sz w:val="11"/>
                <w:szCs w:val="11"/>
                <w:color w:val="auto"/>
              </w:rPr>
              <w:t>1,134</w:t>
            </w:r>
            <w:r>
              <w:rPr>
                <w:rFonts w:ascii="Arial" w:cs="Arial" w:eastAsia="Arial" w:hAnsi="Arial"/>
                <w:sz w:val="17"/>
                <w:szCs w:val="17"/>
                <w:color w:val="auto"/>
                <w:vertAlign w:val="superscript"/>
              </w:rPr>
              <w:t>(2)</w:t>
            </w:r>
          </w:p>
        </w:tc>
        <w:tc>
          <w:tcPr>
            <w:tcW w:w="760" w:type="dxa"/>
            <w:vAlign w:val="bottom"/>
            <w:gridSpan w:val="2"/>
          </w:tcPr>
          <w:p>
            <w:pPr>
              <w:jc w:val="right"/>
              <w:spacing w:after="0"/>
              <w:rPr>
                <w:sz w:val="20"/>
                <w:szCs w:val="20"/>
                <w:color w:val="auto"/>
              </w:rPr>
            </w:pPr>
            <w:r>
              <w:rPr>
                <w:rFonts w:ascii="Arial" w:cs="Arial" w:eastAsia="Arial" w:hAnsi="Arial"/>
                <w:sz w:val="12"/>
                <w:szCs w:val="12"/>
                <w:color w:val="auto"/>
              </w:rPr>
              <w:t>31,911</w:t>
            </w:r>
          </w:p>
        </w:tc>
        <w:tc>
          <w:tcPr>
            <w:tcW w:w="140" w:type="dxa"/>
            <w:vAlign w:val="bottom"/>
          </w:tcPr>
          <w:p>
            <w:pPr>
              <w:spacing w:after="0"/>
              <w:rPr>
                <w:sz w:val="12"/>
                <w:szCs w:val="12"/>
                <w:color w:val="auto"/>
              </w:rPr>
            </w:pPr>
          </w:p>
        </w:tc>
        <w:tc>
          <w:tcPr>
            <w:tcW w:w="660" w:type="dxa"/>
            <w:vAlign w:val="bottom"/>
          </w:tcPr>
          <w:p>
            <w:pPr>
              <w:jc w:val="right"/>
              <w:spacing w:after="0" w:line="147" w:lineRule="exact"/>
              <w:rPr>
                <w:sz w:val="20"/>
                <w:szCs w:val="20"/>
                <w:color w:val="auto"/>
              </w:rPr>
            </w:pPr>
            <w:r>
              <w:rPr>
                <w:rFonts w:ascii="Arial" w:cs="Arial" w:eastAsia="Arial" w:hAnsi="Arial"/>
                <w:sz w:val="11"/>
                <w:szCs w:val="11"/>
                <w:color w:val="auto"/>
              </w:rPr>
              <w:t>5,146</w:t>
            </w:r>
            <w:r>
              <w:rPr>
                <w:rFonts w:ascii="Arial" w:cs="Arial" w:eastAsia="Arial" w:hAnsi="Arial"/>
                <w:sz w:val="17"/>
                <w:szCs w:val="17"/>
                <w:color w:val="auto"/>
                <w:vertAlign w:val="superscript"/>
              </w:rPr>
              <w:t>(4)</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144,816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760" w:type="dxa"/>
            <w:vAlign w:val="bottom"/>
            <w:gridSpan w:val="2"/>
          </w:tcPr>
          <w:p>
            <w:pPr>
              <w:ind w:left="120"/>
              <w:spacing w:after="0"/>
              <w:rPr>
                <w:sz w:val="20"/>
                <w:szCs w:val="20"/>
                <w:color w:val="auto"/>
              </w:rPr>
            </w:pPr>
            <w:r>
              <w:rPr>
                <w:rFonts w:ascii="Arial" w:cs="Arial" w:eastAsia="Arial" w:hAnsi="Arial"/>
                <w:sz w:val="12"/>
                <w:szCs w:val="12"/>
                <w:i w:val="1"/>
                <w:iCs w:val="1"/>
                <w:color w:val="auto"/>
              </w:rPr>
              <w:t>Executive Vice</w:t>
            </w:r>
          </w:p>
        </w:tc>
        <w:tc>
          <w:tcPr>
            <w:tcW w:w="820" w:type="dxa"/>
            <w:vAlign w:val="bottom"/>
            <w:gridSpan w:val="2"/>
          </w:tcPr>
          <w:p>
            <w:pPr>
              <w:jc w:val="right"/>
              <w:spacing w:after="0"/>
              <w:rPr>
                <w:sz w:val="20"/>
                <w:szCs w:val="20"/>
                <w:color w:val="auto"/>
              </w:rPr>
            </w:pPr>
            <w:r>
              <w:rPr>
                <w:rFonts w:ascii="Arial" w:cs="Arial" w:eastAsia="Arial" w:hAnsi="Arial"/>
                <w:sz w:val="12"/>
                <w:szCs w:val="12"/>
                <w:color w:val="auto"/>
              </w:rPr>
              <w:t>12,811</w:t>
            </w:r>
          </w:p>
        </w:tc>
        <w:tc>
          <w:tcPr>
            <w:tcW w:w="960" w:type="dxa"/>
            <w:vAlign w:val="bottom"/>
            <w:gridSpan w:val="3"/>
            <w:vMerge w:val="restart"/>
          </w:tcPr>
          <w:p>
            <w:pPr>
              <w:jc w:val="right"/>
              <w:spacing w:after="0"/>
              <w:rPr>
                <w:sz w:val="20"/>
                <w:szCs w:val="20"/>
                <w:color w:val="auto"/>
              </w:rPr>
            </w:pPr>
            <w:r>
              <w:rPr>
                <w:rFonts w:ascii="Arial" w:cs="Arial" w:eastAsia="Arial" w:hAnsi="Arial"/>
                <w:sz w:val="12"/>
                <w:szCs w:val="12"/>
                <w:color w:val="auto"/>
              </w:rPr>
              <w:t>2,000</w:t>
            </w:r>
            <w:r>
              <w:rPr>
                <w:rFonts w:ascii="Arial" w:cs="Arial" w:eastAsia="Arial" w:hAnsi="Arial"/>
                <w:sz w:val="20"/>
                <w:szCs w:val="20"/>
                <w:color w:val="auto"/>
                <w:vertAlign w:val="superscript"/>
              </w:rPr>
              <w:t>(6)</w:t>
            </w: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20" w:type="dxa"/>
            <w:vAlign w:val="bottom"/>
            <w:gridSpan w:val="2"/>
          </w:tcPr>
          <w:p>
            <w:pPr>
              <w:jc w:val="right"/>
              <w:spacing w:after="0"/>
              <w:rPr>
                <w:sz w:val="20"/>
                <w:szCs w:val="20"/>
                <w:color w:val="auto"/>
              </w:rPr>
            </w:pPr>
            <w:r>
              <w:rPr>
                <w:rFonts w:ascii="Arial" w:cs="Arial" w:eastAsia="Arial" w:hAnsi="Arial"/>
                <w:sz w:val="12"/>
                <w:szCs w:val="12"/>
                <w:color w:val="auto"/>
              </w:rPr>
              <w:t>45.517</w:t>
            </w:r>
          </w:p>
        </w:tc>
        <w:tc>
          <w:tcPr>
            <w:tcW w:w="780" w:type="dxa"/>
            <w:vAlign w:val="bottom"/>
            <w:gridSpan w:val="2"/>
          </w:tcPr>
          <w:p>
            <w:pPr>
              <w:ind w:left="340"/>
              <w:spacing w:after="0"/>
              <w:rPr>
                <w:sz w:val="20"/>
                <w:szCs w:val="20"/>
                <w:color w:val="auto"/>
              </w:rPr>
            </w:pPr>
            <w:r>
              <w:rPr>
                <w:rFonts w:ascii="Arial" w:cs="Arial" w:eastAsia="Arial" w:hAnsi="Arial"/>
                <w:sz w:val="12"/>
                <w:szCs w:val="12"/>
                <w:color w:val="auto"/>
                <w:w w:val="89"/>
              </w:rPr>
              <w:t>03/15/18</w:t>
            </w:r>
          </w:p>
        </w:tc>
        <w:tc>
          <w:tcPr>
            <w:tcW w:w="800" w:type="dxa"/>
            <w:vAlign w:val="bottom"/>
            <w:gridSpan w:val="2"/>
          </w:tcPr>
          <w:p>
            <w:pPr>
              <w:jc w:val="right"/>
              <w:spacing w:after="0" w:line="189" w:lineRule="exact"/>
              <w:rPr>
                <w:sz w:val="20"/>
                <w:szCs w:val="20"/>
                <w:color w:val="auto"/>
              </w:rPr>
            </w:pPr>
            <w:r>
              <w:rPr>
                <w:rFonts w:ascii="Arial" w:cs="Arial" w:eastAsia="Arial" w:hAnsi="Arial"/>
                <w:sz w:val="12"/>
                <w:szCs w:val="12"/>
                <w:color w:val="auto"/>
              </w:rPr>
              <w:t>18,055</w:t>
            </w:r>
            <w:r>
              <w:rPr>
                <w:rFonts w:ascii="Arial" w:cs="Arial" w:eastAsia="Arial" w:hAnsi="Arial"/>
                <w:sz w:val="20"/>
                <w:szCs w:val="20"/>
                <w:color w:val="auto"/>
                <w:vertAlign w:val="superscript"/>
              </w:rPr>
              <w:t>(3)</w:t>
            </w:r>
          </w:p>
        </w:tc>
        <w:tc>
          <w:tcPr>
            <w:tcW w:w="760" w:type="dxa"/>
            <w:vAlign w:val="bottom"/>
            <w:gridSpan w:val="2"/>
          </w:tcPr>
          <w:p>
            <w:pPr>
              <w:jc w:val="right"/>
              <w:spacing w:after="0"/>
              <w:rPr>
                <w:sz w:val="20"/>
                <w:szCs w:val="20"/>
                <w:color w:val="auto"/>
              </w:rPr>
            </w:pPr>
            <w:r>
              <w:rPr>
                <w:rFonts w:ascii="Arial" w:cs="Arial" w:eastAsia="Arial" w:hAnsi="Arial"/>
                <w:sz w:val="12"/>
                <w:szCs w:val="12"/>
                <w:color w:val="auto"/>
              </w:rPr>
              <w:t>508,068</w:t>
            </w:r>
          </w:p>
        </w:tc>
        <w:tc>
          <w:tcPr>
            <w:tcW w:w="140" w:type="dxa"/>
            <w:vAlign w:val="bottom"/>
          </w:tcPr>
          <w:p>
            <w:pPr>
              <w:spacing w:after="0"/>
              <w:rPr>
                <w:sz w:val="16"/>
                <w:szCs w:val="16"/>
                <w:color w:val="auto"/>
              </w:rPr>
            </w:pPr>
          </w:p>
        </w:tc>
        <w:tc>
          <w:tcPr>
            <w:tcW w:w="660" w:type="dxa"/>
            <w:vAlign w:val="bottom"/>
          </w:tcPr>
          <w:p>
            <w:pPr>
              <w:jc w:val="right"/>
              <w:spacing w:after="0" w:line="189" w:lineRule="exact"/>
              <w:rPr>
                <w:sz w:val="20"/>
                <w:szCs w:val="20"/>
                <w:color w:val="auto"/>
              </w:rPr>
            </w:pPr>
            <w:r>
              <w:rPr>
                <w:rFonts w:ascii="Arial" w:cs="Arial" w:eastAsia="Arial" w:hAnsi="Arial"/>
                <w:sz w:val="12"/>
                <w:szCs w:val="12"/>
                <w:color w:val="auto"/>
              </w:rPr>
              <w:t>10,345</w:t>
            </w:r>
            <w:r>
              <w:rPr>
                <w:rFonts w:ascii="Arial" w:cs="Arial" w:eastAsia="Arial" w:hAnsi="Arial"/>
                <w:sz w:val="20"/>
                <w:szCs w:val="20"/>
                <w:color w:val="auto"/>
                <w:vertAlign w:val="superscript"/>
              </w:rPr>
              <w:t>(5)</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291,108</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1760" w:type="dxa"/>
            <w:vAlign w:val="bottom"/>
            <w:gridSpan w:val="2"/>
          </w:tcPr>
          <w:p>
            <w:pPr>
              <w:ind w:left="120"/>
              <w:spacing w:after="0"/>
              <w:rPr>
                <w:sz w:val="20"/>
                <w:szCs w:val="20"/>
                <w:color w:val="auto"/>
              </w:rPr>
            </w:pPr>
            <w:r>
              <w:rPr>
                <w:rFonts w:ascii="Arial" w:cs="Arial" w:eastAsia="Arial" w:hAnsi="Arial"/>
                <w:sz w:val="12"/>
                <w:szCs w:val="12"/>
                <w:i w:val="1"/>
                <w:iCs w:val="1"/>
                <w:color w:val="auto"/>
              </w:rPr>
              <w:t>President and Chief</w:t>
            </w:r>
          </w:p>
        </w:tc>
        <w:tc>
          <w:tcPr>
            <w:tcW w:w="820" w:type="dxa"/>
            <w:vAlign w:val="bottom"/>
            <w:gridSpan w:val="2"/>
          </w:tcPr>
          <w:p>
            <w:pPr>
              <w:jc w:val="right"/>
              <w:spacing w:after="0"/>
              <w:rPr>
                <w:sz w:val="20"/>
                <w:szCs w:val="20"/>
                <w:color w:val="auto"/>
              </w:rPr>
            </w:pPr>
            <w:r>
              <w:rPr>
                <w:rFonts w:ascii="Arial" w:cs="Arial" w:eastAsia="Arial" w:hAnsi="Arial"/>
                <w:sz w:val="12"/>
                <w:szCs w:val="12"/>
                <w:color w:val="auto"/>
              </w:rPr>
              <w:t>4,000</w:t>
            </w:r>
          </w:p>
        </w:tc>
        <w:tc>
          <w:tcPr>
            <w:tcW w:w="96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rPr>
              <w:t>45,403</w:t>
            </w:r>
            <w:r>
              <w:rPr>
                <w:rFonts w:ascii="Arial" w:cs="Arial" w:eastAsia="Arial" w:hAnsi="Arial"/>
                <w:sz w:val="20"/>
                <w:szCs w:val="20"/>
                <w:color w:val="auto"/>
                <w:vertAlign w:val="superscript"/>
              </w:rPr>
              <w:t>(9)</w:t>
            </w:r>
          </w:p>
        </w:tc>
        <w:tc>
          <w:tcPr>
            <w:tcW w:w="620" w:type="dxa"/>
            <w:vAlign w:val="bottom"/>
            <w:gridSpan w:val="2"/>
          </w:tcPr>
          <w:p>
            <w:pPr>
              <w:jc w:val="right"/>
              <w:spacing w:after="0"/>
              <w:rPr>
                <w:sz w:val="20"/>
                <w:szCs w:val="20"/>
                <w:color w:val="auto"/>
              </w:rPr>
            </w:pPr>
            <w:r>
              <w:rPr>
                <w:rFonts w:ascii="Arial" w:cs="Arial" w:eastAsia="Arial" w:hAnsi="Arial"/>
                <w:sz w:val="12"/>
                <w:szCs w:val="12"/>
                <w:color w:val="auto"/>
              </w:rPr>
              <w:t>57.48</w:t>
            </w:r>
          </w:p>
        </w:tc>
        <w:tc>
          <w:tcPr>
            <w:tcW w:w="780" w:type="dxa"/>
            <w:vAlign w:val="bottom"/>
            <w:gridSpan w:val="2"/>
          </w:tcPr>
          <w:p>
            <w:pPr>
              <w:ind w:left="340"/>
              <w:spacing w:after="0"/>
              <w:rPr>
                <w:sz w:val="20"/>
                <w:szCs w:val="20"/>
                <w:color w:val="auto"/>
              </w:rPr>
            </w:pPr>
            <w:r>
              <w:rPr>
                <w:rFonts w:ascii="Arial" w:cs="Arial" w:eastAsia="Arial" w:hAnsi="Arial"/>
                <w:sz w:val="12"/>
                <w:szCs w:val="12"/>
                <w:color w:val="auto"/>
                <w:w w:val="89"/>
              </w:rPr>
              <w:t>03/31/20</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1760" w:type="dxa"/>
            <w:vAlign w:val="bottom"/>
            <w:gridSpan w:val="2"/>
          </w:tcPr>
          <w:p>
            <w:pPr>
              <w:ind w:left="120"/>
              <w:spacing w:after="0"/>
              <w:rPr>
                <w:sz w:val="20"/>
                <w:szCs w:val="20"/>
                <w:color w:val="auto"/>
              </w:rPr>
            </w:pPr>
            <w:r>
              <w:rPr>
                <w:rFonts w:ascii="Arial" w:cs="Arial" w:eastAsia="Arial" w:hAnsi="Arial"/>
                <w:sz w:val="12"/>
                <w:szCs w:val="12"/>
                <w:i w:val="1"/>
                <w:iCs w:val="1"/>
                <w:color w:val="auto"/>
              </w:rPr>
              <w:t>Financial Officer</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20" w:type="dxa"/>
            <w:vAlign w:val="bottom"/>
            <w:gridSpan w:val="2"/>
          </w:tcPr>
          <w:p>
            <w:pPr>
              <w:jc w:val="right"/>
              <w:spacing w:after="0"/>
              <w:rPr>
                <w:sz w:val="20"/>
                <w:szCs w:val="20"/>
                <w:color w:val="auto"/>
              </w:rPr>
            </w:pPr>
            <w:r>
              <w:rPr>
                <w:rFonts w:ascii="Arial" w:cs="Arial" w:eastAsia="Arial" w:hAnsi="Arial"/>
                <w:sz w:val="12"/>
                <w:szCs w:val="12"/>
                <w:color w:val="auto"/>
              </w:rPr>
              <w:t>36.25</w:t>
            </w:r>
          </w:p>
        </w:tc>
        <w:tc>
          <w:tcPr>
            <w:tcW w:w="780" w:type="dxa"/>
            <w:vAlign w:val="bottom"/>
            <w:gridSpan w:val="2"/>
          </w:tcPr>
          <w:p>
            <w:pPr>
              <w:ind w:left="340"/>
              <w:spacing w:after="0"/>
              <w:rPr>
                <w:sz w:val="20"/>
                <w:szCs w:val="20"/>
                <w:color w:val="auto"/>
              </w:rPr>
            </w:pPr>
            <w:r>
              <w:rPr>
                <w:rFonts w:ascii="Arial" w:cs="Arial" w:eastAsia="Arial" w:hAnsi="Arial"/>
                <w:sz w:val="12"/>
                <w:szCs w:val="12"/>
                <w:color w:val="auto"/>
                <w:w w:val="89"/>
              </w:rPr>
              <w:t>03/31/22</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7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Jeffrey P. Smith</w:t>
            </w: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spacing w:after="0" w:line="160" w:lineRule="exact"/>
              <w:rPr>
                <w:sz w:val="20"/>
                <w:szCs w:val="20"/>
                <w:color w:val="auto"/>
              </w:rPr>
            </w:pPr>
            <w:r>
              <w:rPr>
                <w:rFonts w:ascii="Arial" w:cs="Arial" w:eastAsia="Arial" w:hAnsi="Arial"/>
                <w:sz w:val="11"/>
                <w:szCs w:val="11"/>
                <w:color w:val="auto"/>
              </w:rPr>
              <w:t>55,949</w:t>
            </w:r>
            <w:r>
              <w:rPr>
                <w:rFonts w:ascii="Arial" w:cs="Arial" w:eastAsia="Arial" w:hAnsi="Arial"/>
                <w:sz w:val="18"/>
                <w:szCs w:val="18"/>
                <w:color w:val="auto"/>
                <w:vertAlign w:val="superscript"/>
              </w:rPr>
              <w:t>(10)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1,574,405</w:t>
            </w: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60" w:lineRule="exact"/>
              <w:rPr>
                <w:sz w:val="20"/>
                <w:szCs w:val="20"/>
                <w:color w:val="auto"/>
              </w:rPr>
            </w:pPr>
            <w:r>
              <w:rPr>
                <w:rFonts w:ascii="Arial" w:cs="Arial" w:eastAsia="Arial" w:hAnsi="Arial"/>
                <w:sz w:val="11"/>
                <w:szCs w:val="11"/>
                <w:color w:val="auto"/>
              </w:rPr>
              <w:t>27,975</w:t>
            </w:r>
            <w:r>
              <w:rPr>
                <w:rFonts w:ascii="Arial" w:cs="Arial" w:eastAsia="Arial" w:hAnsi="Arial"/>
                <w:sz w:val="18"/>
                <w:szCs w:val="18"/>
                <w:color w:val="auto"/>
                <w:vertAlign w:val="superscript"/>
              </w:rPr>
              <w:t>(11)</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787,202</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1760" w:type="dxa"/>
            <w:vAlign w:val="bottom"/>
            <w:gridSpan w:val="2"/>
            <w:shd w:val="clear" w:color="auto" w:fill="CCEEFF"/>
          </w:tcPr>
          <w:p>
            <w:pPr>
              <w:ind w:left="120"/>
              <w:spacing w:after="0" w:line="127" w:lineRule="exact"/>
              <w:rPr>
                <w:sz w:val="20"/>
                <w:szCs w:val="20"/>
                <w:color w:val="auto"/>
              </w:rPr>
            </w:pPr>
            <w:r>
              <w:rPr>
                <w:rFonts w:ascii="Arial" w:cs="Arial" w:eastAsia="Arial" w:hAnsi="Arial"/>
                <w:sz w:val="12"/>
                <w:szCs w:val="12"/>
                <w:i w:val="1"/>
                <w:iCs w:val="1"/>
                <w:color w:val="auto"/>
              </w:rPr>
              <w:t>Executive Vice President and</w:t>
            </w: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760" w:type="dxa"/>
            <w:vAlign w:val="bottom"/>
            <w:gridSpan w:val="2"/>
            <w:shd w:val="clear" w:color="auto" w:fill="CCEEFF"/>
          </w:tcPr>
          <w:p>
            <w:pPr>
              <w:ind w:left="120"/>
              <w:spacing w:after="0"/>
              <w:rPr>
                <w:sz w:val="20"/>
                <w:szCs w:val="20"/>
                <w:color w:val="auto"/>
              </w:rPr>
            </w:pPr>
            <w:r>
              <w:rPr>
                <w:rFonts w:ascii="Arial" w:cs="Arial" w:eastAsia="Arial" w:hAnsi="Arial"/>
                <w:sz w:val="12"/>
                <w:szCs w:val="12"/>
                <w:i w:val="1"/>
                <w:iCs w:val="1"/>
                <w:color w:val="auto"/>
              </w:rPr>
              <w:t>Chief Operating Officer</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760" w:type="dxa"/>
            <w:vAlign w:val="bottom"/>
            <w:gridSpan w:val="2"/>
          </w:tcPr>
          <w:p>
            <w:pPr>
              <w:spacing w:after="0"/>
              <w:rPr>
                <w:sz w:val="20"/>
                <w:szCs w:val="20"/>
                <w:color w:val="auto"/>
              </w:rPr>
            </w:pPr>
            <w:r>
              <w:rPr>
                <w:rFonts w:ascii="Arial" w:cs="Arial" w:eastAsia="Arial" w:hAnsi="Arial"/>
                <w:sz w:val="12"/>
                <w:szCs w:val="12"/>
                <w:color w:val="auto"/>
              </w:rPr>
              <w:t>Michael J. Crosby</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7" w:lineRule="exact"/>
              <w:rPr>
                <w:sz w:val="20"/>
                <w:szCs w:val="20"/>
                <w:color w:val="auto"/>
              </w:rPr>
            </w:pPr>
            <w:r>
              <w:rPr>
                <w:rFonts w:ascii="Arial" w:cs="Arial" w:eastAsia="Arial" w:hAnsi="Arial"/>
                <w:sz w:val="11"/>
                <w:szCs w:val="11"/>
                <w:color w:val="auto"/>
              </w:rPr>
              <w:t>28,377</w:t>
            </w:r>
            <w:r>
              <w:rPr>
                <w:rFonts w:ascii="Arial" w:cs="Arial" w:eastAsia="Arial" w:hAnsi="Arial"/>
                <w:sz w:val="17"/>
                <w:szCs w:val="17"/>
                <w:color w:val="auto"/>
                <w:vertAlign w:val="superscript"/>
              </w:rPr>
              <w:t>(9)</w:t>
            </w:r>
          </w:p>
        </w:tc>
        <w:tc>
          <w:tcPr>
            <w:tcW w:w="620" w:type="dxa"/>
            <w:vAlign w:val="bottom"/>
            <w:gridSpan w:val="2"/>
          </w:tcPr>
          <w:p>
            <w:pPr>
              <w:jc w:val="right"/>
              <w:spacing w:after="0"/>
              <w:rPr>
                <w:sz w:val="20"/>
                <w:szCs w:val="20"/>
                <w:color w:val="auto"/>
              </w:rPr>
            </w:pPr>
            <w:r>
              <w:rPr>
                <w:rFonts w:ascii="Arial" w:cs="Arial" w:eastAsia="Arial" w:hAnsi="Arial"/>
                <w:sz w:val="12"/>
                <w:szCs w:val="12"/>
                <w:color w:val="auto"/>
              </w:rPr>
              <w:t>36.25</w:t>
            </w:r>
          </w:p>
        </w:tc>
        <w:tc>
          <w:tcPr>
            <w:tcW w:w="780" w:type="dxa"/>
            <w:vAlign w:val="bottom"/>
            <w:gridSpan w:val="2"/>
          </w:tcPr>
          <w:p>
            <w:pPr>
              <w:ind w:left="340"/>
              <w:spacing w:after="0"/>
              <w:rPr>
                <w:sz w:val="20"/>
                <w:szCs w:val="20"/>
                <w:color w:val="auto"/>
              </w:rPr>
            </w:pPr>
            <w:r>
              <w:rPr>
                <w:rFonts w:ascii="Arial" w:cs="Arial" w:eastAsia="Arial" w:hAnsi="Arial"/>
                <w:sz w:val="12"/>
                <w:szCs w:val="12"/>
                <w:color w:val="auto"/>
                <w:w w:val="89"/>
              </w:rPr>
              <w:t>03/31/22</w:t>
            </w:r>
          </w:p>
        </w:tc>
        <w:tc>
          <w:tcPr>
            <w:tcW w:w="800" w:type="dxa"/>
            <w:vAlign w:val="bottom"/>
            <w:gridSpan w:val="2"/>
          </w:tcPr>
          <w:p>
            <w:pPr>
              <w:jc w:val="right"/>
              <w:spacing w:after="0" w:line="147" w:lineRule="exact"/>
              <w:rPr>
                <w:sz w:val="20"/>
                <w:szCs w:val="20"/>
                <w:color w:val="auto"/>
              </w:rPr>
            </w:pPr>
            <w:r>
              <w:rPr>
                <w:rFonts w:ascii="Arial" w:cs="Arial" w:eastAsia="Arial" w:hAnsi="Arial"/>
                <w:sz w:val="11"/>
                <w:szCs w:val="11"/>
                <w:color w:val="auto"/>
              </w:rPr>
              <w:t>2,915</w:t>
            </w:r>
            <w:r>
              <w:rPr>
                <w:rFonts w:ascii="Arial" w:cs="Arial" w:eastAsia="Arial" w:hAnsi="Arial"/>
                <w:sz w:val="17"/>
                <w:szCs w:val="17"/>
                <w:color w:val="auto"/>
                <w:vertAlign w:val="superscript"/>
              </w:rPr>
              <w:t>(2)</w:t>
            </w:r>
          </w:p>
        </w:tc>
        <w:tc>
          <w:tcPr>
            <w:tcW w:w="760" w:type="dxa"/>
            <w:vAlign w:val="bottom"/>
            <w:gridSpan w:val="2"/>
          </w:tcPr>
          <w:p>
            <w:pPr>
              <w:jc w:val="right"/>
              <w:spacing w:after="0"/>
              <w:rPr>
                <w:sz w:val="20"/>
                <w:szCs w:val="20"/>
                <w:color w:val="auto"/>
              </w:rPr>
            </w:pPr>
            <w:r>
              <w:rPr>
                <w:rFonts w:ascii="Arial" w:cs="Arial" w:eastAsia="Arial" w:hAnsi="Arial"/>
                <w:sz w:val="12"/>
                <w:szCs w:val="12"/>
                <w:color w:val="auto"/>
              </w:rPr>
              <w:t>82,028</w:t>
            </w:r>
          </w:p>
        </w:tc>
        <w:tc>
          <w:tcPr>
            <w:tcW w:w="140" w:type="dxa"/>
            <w:vAlign w:val="bottom"/>
          </w:tcPr>
          <w:p>
            <w:pPr>
              <w:spacing w:after="0"/>
              <w:rPr>
                <w:sz w:val="12"/>
                <w:szCs w:val="12"/>
                <w:color w:val="auto"/>
              </w:rPr>
            </w:pPr>
          </w:p>
        </w:tc>
        <w:tc>
          <w:tcPr>
            <w:tcW w:w="660" w:type="dxa"/>
            <w:vAlign w:val="bottom"/>
          </w:tcPr>
          <w:p>
            <w:pPr>
              <w:jc w:val="right"/>
              <w:spacing w:after="0" w:line="147" w:lineRule="exact"/>
              <w:rPr>
                <w:sz w:val="20"/>
                <w:szCs w:val="20"/>
                <w:color w:val="auto"/>
              </w:rPr>
            </w:pPr>
            <w:r>
              <w:rPr>
                <w:rFonts w:ascii="Arial" w:cs="Arial" w:eastAsia="Arial" w:hAnsi="Arial"/>
                <w:sz w:val="11"/>
                <w:szCs w:val="11"/>
                <w:color w:val="auto"/>
              </w:rPr>
              <w:t>2,573</w:t>
            </w:r>
            <w:r>
              <w:rPr>
                <w:rFonts w:ascii="Arial" w:cs="Arial" w:eastAsia="Arial" w:hAnsi="Arial"/>
                <w:sz w:val="17"/>
                <w:szCs w:val="17"/>
                <w:color w:val="auto"/>
                <w:vertAlign w:val="superscript"/>
              </w:rPr>
              <w:t>(4)</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72,404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760" w:type="dxa"/>
            <w:vAlign w:val="bottom"/>
            <w:gridSpan w:val="2"/>
          </w:tcPr>
          <w:p>
            <w:pPr>
              <w:ind w:left="120"/>
              <w:spacing w:after="0"/>
              <w:rPr>
                <w:sz w:val="20"/>
                <w:szCs w:val="20"/>
                <w:color w:val="auto"/>
              </w:rPr>
            </w:pPr>
            <w:r>
              <w:rPr>
                <w:rFonts w:ascii="Arial" w:cs="Arial" w:eastAsia="Arial" w:hAnsi="Arial"/>
                <w:sz w:val="12"/>
                <w:szCs w:val="12"/>
                <w:i w:val="1"/>
                <w:iCs w:val="1"/>
                <w:color w:val="auto"/>
              </w:rPr>
              <w:t>Executive Vice</w:t>
            </w: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gridSpan w:val="2"/>
          </w:tcPr>
          <w:p>
            <w:pPr>
              <w:jc w:val="right"/>
              <w:spacing w:after="0" w:line="160" w:lineRule="exact"/>
              <w:rPr>
                <w:sz w:val="20"/>
                <w:szCs w:val="20"/>
                <w:color w:val="auto"/>
              </w:rPr>
            </w:pPr>
            <w:r>
              <w:rPr>
                <w:rFonts w:ascii="Arial" w:cs="Arial" w:eastAsia="Arial" w:hAnsi="Arial"/>
                <w:sz w:val="11"/>
                <w:szCs w:val="11"/>
                <w:color w:val="auto"/>
              </w:rPr>
              <w:t>20,585</w:t>
            </w:r>
            <w:r>
              <w:rPr>
                <w:rFonts w:ascii="Arial" w:cs="Arial" w:eastAsia="Arial" w:hAnsi="Arial"/>
                <w:sz w:val="18"/>
                <w:szCs w:val="18"/>
                <w:color w:val="auto"/>
                <w:vertAlign w:val="superscript"/>
              </w:rPr>
              <w:t>(3)</w:t>
            </w:r>
          </w:p>
        </w:tc>
        <w:tc>
          <w:tcPr>
            <w:tcW w:w="760" w:type="dxa"/>
            <w:vAlign w:val="bottom"/>
            <w:gridSpan w:val="2"/>
          </w:tcPr>
          <w:p>
            <w:pPr>
              <w:jc w:val="right"/>
              <w:spacing w:after="0"/>
              <w:rPr>
                <w:sz w:val="20"/>
                <w:szCs w:val="20"/>
                <w:color w:val="auto"/>
              </w:rPr>
            </w:pPr>
            <w:r>
              <w:rPr>
                <w:rFonts w:ascii="Arial" w:cs="Arial" w:eastAsia="Arial" w:hAnsi="Arial"/>
                <w:sz w:val="12"/>
                <w:szCs w:val="12"/>
                <w:color w:val="auto"/>
              </w:rPr>
              <w:t>579,262</w:t>
            </w:r>
          </w:p>
        </w:tc>
        <w:tc>
          <w:tcPr>
            <w:tcW w:w="140" w:type="dxa"/>
            <w:vAlign w:val="bottom"/>
          </w:tcPr>
          <w:p>
            <w:pPr>
              <w:spacing w:after="0"/>
              <w:rPr>
                <w:sz w:val="13"/>
                <w:szCs w:val="13"/>
                <w:color w:val="auto"/>
              </w:rPr>
            </w:pPr>
          </w:p>
        </w:tc>
        <w:tc>
          <w:tcPr>
            <w:tcW w:w="660" w:type="dxa"/>
            <w:vAlign w:val="bottom"/>
          </w:tcPr>
          <w:p>
            <w:pPr>
              <w:jc w:val="right"/>
              <w:spacing w:after="0" w:line="160" w:lineRule="exact"/>
              <w:rPr>
                <w:sz w:val="20"/>
                <w:szCs w:val="20"/>
                <w:color w:val="auto"/>
              </w:rPr>
            </w:pPr>
            <w:r>
              <w:rPr>
                <w:rFonts w:ascii="Arial" w:cs="Arial" w:eastAsia="Arial" w:hAnsi="Arial"/>
                <w:sz w:val="11"/>
                <w:szCs w:val="11"/>
                <w:color w:val="auto"/>
              </w:rPr>
              <w:t>1,214</w:t>
            </w:r>
            <w:r>
              <w:rPr>
                <w:rFonts w:ascii="Arial" w:cs="Arial" w:eastAsia="Arial" w:hAnsi="Arial"/>
                <w:sz w:val="18"/>
                <w:szCs w:val="18"/>
                <w:color w:val="auto"/>
                <w:vertAlign w:val="superscript"/>
              </w:rPr>
              <w:t>(13)</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34,169</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1760" w:type="dxa"/>
            <w:vAlign w:val="bottom"/>
            <w:gridSpan w:val="2"/>
          </w:tcPr>
          <w:p>
            <w:pPr>
              <w:ind w:left="120"/>
              <w:spacing w:after="0"/>
              <w:rPr>
                <w:sz w:val="20"/>
                <w:szCs w:val="20"/>
                <w:color w:val="auto"/>
              </w:rPr>
            </w:pPr>
            <w:r>
              <w:rPr>
                <w:rFonts w:ascii="Arial" w:cs="Arial" w:eastAsia="Arial" w:hAnsi="Arial"/>
                <w:sz w:val="12"/>
                <w:szCs w:val="12"/>
                <w:i w:val="1"/>
                <w:iCs w:val="1"/>
                <w:color w:val="auto"/>
              </w:rPr>
              <w:t>President, Global Land</w:t>
            </w: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0" w:type="dxa"/>
            <w:vAlign w:val="bottom"/>
            <w:gridSpan w:val="2"/>
          </w:tcPr>
          <w:p>
            <w:pPr>
              <w:jc w:val="right"/>
              <w:spacing w:after="0" w:line="174" w:lineRule="exact"/>
              <w:rPr>
                <w:sz w:val="20"/>
                <w:szCs w:val="20"/>
                <w:color w:val="auto"/>
              </w:rPr>
            </w:pPr>
            <w:r>
              <w:rPr>
                <w:rFonts w:ascii="Arial" w:cs="Arial" w:eastAsia="Arial" w:hAnsi="Arial"/>
                <w:sz w:val="12"/>
                <w:szCs w:val="12"/>
                <w:color w:val="auto"/>
              </w:rPr>
              <w:t>13,793</w:t>
            </w:r>
            <w:r>
              <w:rPr>
                <w:rFonts w:ascii="Arial" w:cs="Arial" w:eastAsia="Arial" w:hAnsi="Arial"/>
                <w:sz w:val="20"/>
                <w:szCs w:val="20"/>
                <w:color w:val="auto"/>
                <w:vertAlign w:val="superscript"/>
              </w:rPr>
              <w:t>(12)</w:t>
            </w:r>
          </w:p>
        </w:tc>
        <w:tc>
          <w:tcPr>
            <w:tcW w:w="760" w:type="dxa"/>
            <w:vAlign w:val="bottom"/>
            <w:gridSpan w:val="2"/>
          </w:tcPr>
          <w:p>
            <w:pPr>
              <w:jc w:val="right"/>
              <w:spacing w:after="0"/>
              <w:rPr>
                <w:sz w:val="20"/>
                <w:szCs w:val="20"/>
                <w:color w:val="auto"/>
              </w:rPr>
            </w:pPr>
            <w:r>
              <w:rPr>
                <w:rFonts w:ascii="Arial" w:cs="Arial" w:eastAsia="Arial" w:hAnsi="Arial"/>
                <w:sz w:val="12"/>
                <w:szCs w:val="12"/>
                <w:color w:val="auto"/>
              </w:rPr>
              <w:t>388,135</w:t>
            </w:r>
          </w:p>
        </w:tc>
        <w:tc>
          <w:tcPr>
            <w:tcW w:w="140" w:type="dxa"/>
            <w:vAlign w:val="bottom"/>
          </w:tcPr>
          <w:p>
            <w:pPr>
              <w:spacing w:after="0"/>
              <w:rPr>
                <w:sz w:val="15"/>
                <w:szCs w:val="15"/>
                <w:color w:val="auto"/>
              </w:rPr>
            </w:pPr>
          </w:p>
        </w:tc>
        <w:tc>
          <w:tcPr>
            <w:tcW w:w="660" w:type="dxa"/>
            <w:vAlign w:val="bottom"/>
          </w:tcPr>
          <w:p>
            <w:pPr>
              <w:jc w:val="right"/>
              <w:spacing w:after="0" w:line="174" w:lineRule="exact"/>
              <w:rPr>
                <w:sz w:val="20"/>
                <w:szCs w:val="20"/>
                <w:color w:val="auto"/>
              </w:rPr>
            </w:pPr>
            <w:r>
              <w:rPr>
                <w:rFonts w:ascii="Arial" w:cs="Arial" w:eastAsia="Arial" w:hAnsi="Arial"/>
                <w:sz w:val="12"/>
                <w:szCs w:val="12"/>
                <w:color w:val="auto"/>
              </w:rPr>
              <w:t>6,897</w:t>
            </w:r>
            <w:r>
              <w:rPr>
                <w:rFonts w:ascii="Arial" w:cs="Arial" w:eastAsia="Arial" w:hAnsi="Arial"/>
                <w:sz w:val="20"/>
                <w:szCs w:val="20"/>
                <w:color w:val="auto"/>
                <w:vertAlign w:val="superscript"/>
              </w:rPr>
              <w:t>(5)</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194,068</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17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John P. Rau</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7" w:lineRule="exact"/>
              <w:rPr>
                <w:sz w:val="20"/>
                <w:szCs w:val="20"/>
                <w:color w:val="auto"/>
              </w:rPr>
            </w:pPr>
            <w:r>
              <w:rPr>
                <w:rFonts w:ascii="Arial" w:cs="Arial" w:eastAsia="Arial" w:hAnsi="Arial"/>
                <w:sz w:val="11"/>
                <w:szCs w:val="11"/>
                <w:color w:val="auto"/>
              </w:rPr>
              <w:t>28,377</w:t>
            </w:r>
            <w:r>
              <w:rPr>
                <w:rFonts w:ascii="Arial" w:cs="Arial" w:eastAsia="Arial" w:hAnsi="Arial"/>
                <w:sz w:val="17"/>
                <w:szCs w:val="17"/>
                <w:color w:val="auto"/>
                <w:vertAlign w:val="superscript"/>
              </w:rPr>
              <w:t>(9)</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36.25</w:t>
            </w:r>
          </w:p>
        </w:tc>
        <w:tc>
          <w:tcPr>
            <w:tcW w:w="780" w:type="dxa"/>
            <w:vAlign w:val="bottom"/>
            <w:gridSpan w:val="2"/>
            <w:shd w:val="clear" w:color="auto" w:fill="CCEEFF"/>
          </w:tcPr>
          <w:p>
            <w:pPr>
              <w:ind w:left="340"/>
              <w:spacing w:after="0"/>
              <w:rPr>
                <w:sz w:val="20"/>
                <w:szCs w:val="20"/>
                <w:color w:val="auto"/>
              </w:rPr>
            </w:pPr>
            <w:r>
              <w:rPr>
                <w:rFonts w:ascii="Arial" w:cs="Arial" w:eastAsia="Arial" w:hAnsi="Arial"/>
                <w:sz w:val="12"/>
                <w:szCs w:val="12"/>
                <w:color w:val="auto"/>
                <w:w w:val="89"/>
              </w:rPr>
              <w:t>03/31/22</w:t>
            </w:r>
          </w:p>
        </w:tc>
        <w:tc>
          <w:tcPr>
            <w:tcW w:w="80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1"/>
                <w:szCs w:val="11"/>
                <w:color w:val="auto"/>
              </w:rPr>
              <w:t>3,610</w:t>
            </w:r>
            <w:r>
              <w:rPr>
                <w:rFonts w:ascii="Arial" w:cs="Arial" w:eastAsia="Arial" w:hAnsi="Arial"/>
                <w:sz w:val="17"/>
                <w:szCs w:val="17"/>
                <w:color w:val="auto"/>
                <w:vertAlign w:val="superscript"/>
              </w:rPr>
              <w:t>(14)</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101,585</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7" w:lineRule="exact"/>
              <w:rPr>
                <w:sz w:val="20"/>
                <w:szCs w:val="20"/>
                <w:color w:val="auto"/>
              </w:rPr>
            </w:pPr>
            <w:r>
              <w:rPr>
                <w:rFonts w:ascii="Arial" w:cs="Arial" w:eastAsia="Arial" w:hAnsi="Arial"/>
                <w:sz w:val="11"/>
                <w:szCs w:val="11"/>
                <w:color w:val="auto"/>
              </w:rPr>
              <w:t>2,573</w:t>
            </w:r>
            <w:r>
              <w:rPr>
                <w:rFonts w:ascii="Arial" w:cs="Arial" w:eastAsia="Arial" w:hAnsi="Arial"/>
                <w:sz w:val="17"/>
                <w:szCs w:val="17"/>
                <w:color w:val="auto"/>
                <w:vertAlign w:val="superscript"/>
              </w:rPr>
              <w:t>(4)</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72,404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760" w:type="dxa"/>
            <w:vAlign w:val="bottom"/>
            <w:gridSpan w:val="2"/>
            <w:shd w:val="clear" w:color="auto" w:fill="CCEEFF"/>
          </w:tcPr>
          <w:p>
            <w:pPr>
              <w:ind w:left="120"/>
              <w:spacing w:after="0"/>
              <w:rPr>
                <w:sz w:val="20"/>
                <w:szCs w:val="20"/>
                <w:color w:val="auto"/>
              </w:rPr>
            </w:pPr>
            <w:r>
              <w:rPr>
                <w:rFonts w:ascii="Arial" w:cs="Arial" w:eastAsia="Arial" w:hAnsi="Arial"/>
                <w:sz w:val="12"/>
                <w:szCs w:val="12"/>
                <w:i w:val="1"/>
                <w:iCs w:val="1"/>
                <w:color w:val="auto"/>
              </w:rPr>
              <w:t>Executive Vice</w:t>
            </w: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spacing w:after="0" w:line="160" w:lineRule="exact"/>
              <w:rPr>
                <w:sz w:val="20"/>
                <w:szCs w:val="20"/>
                <w:color w:val="auto"/>
              </w:rPr>
            </w:pPr>
            <w:r>
              <w:rPr>
                <w:rFonts w:ascii="Arial" w:cs="Arial" w:eastAsia="Arial" w:hAnsi="Arial"/>
                <w:sz w:val="11"/>
                <w:szCs w:val="11"/>
                <w:color w:val="auto"/>
              </w:rPr>
              <w:t>9,714</w:t>
            </w:r>
            <w:r>
              <w:rPr>
                <w:rFonts w:ascii="Arial" w:cs="Arial" w:eastAsia="Arial" w:hAnsi="Arial"/>
                <w:sz w:val="18"/>
                <w:szCs w:val="18"/>
                <w:color w:val="auto"/>
                <w:vertAlign w:val="superscript"/>
              </w:rPr>
              <w:t>(2)</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273,352</w:t>
            </w: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60" w:lineRule="exact"/>
              <w:rPr>
                <w:sz w:val="20"/>
                <w:szCs w:val="20"/>
                <w:color w:val="auto"/>
              </w:rPr>
            </w:pPr>
            <w:r>
              <w:rPr>
                <w:rFonts w:ascii="Arial" w:cs="Arial" w:eastAsia="Arial" w:hAnsi="Arial"/>
                <w:sz w:val="11"/>
                <w:szCs w:val="11"/>
                <w:color w:val="auto"/>
              </w:rPr>
              <w:t>1,214</w:t>
            </w:r>
            <w:r>
              <w:rPr>
                <w:rFonts w:ascii="Arial" w:cs="Arial" w:eastAsia="Arial" w:hAnsi="Arial"/>
                <w:sz w:val="18"/>
                <w:szCs w:val="18"/>
                <w:color w:val="auto"/>
                <w:vertAlign w:val="superscript"/>
              </w:rPr>
              <w:t>(13)</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34,169</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760" w:type="dxa"/>
            <w:vAlign w:val="bottom"/>
            <w:gridSpan w:val="2"/>
            <w:shd w:val="clear" w:color="auto" w:fill="CCEEFF"/>
          </w:tcPr>
          <w:p>
            <w:pPr>
              <w:ind w:left="120"/>
              <w:spacing w:after="0"/>
              <w:rPr>
                <w:sz w:val="20"/>
                <w:szCs w:val="20"/>
                <w:color w:val="auto"/>
              </w:rPr>
            </w:pPr>
            <w:r>
              <w:rPr>
                <w:rFonts w:ascii="Arial" w:cs="Arial" w:eastAsia="Arial" w:hAnsi="Arial"/>
                <w:sz w:val="12"/>
                <w:szCs w:val="12"/>
                <w:i w:val="1"/>
                <w:iCs w:val="1"/>
                <w:color w:val="auto"/>
              </w:rPr>
              <w:t>President, Global</w:t>
            </w: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spacing w:after="0" w:line="160" w:lineRule="exact"/>
              <w:rPr>
                <w:sz w:val="20"/>
                <w:szCs w:val="20"/>
                <w:color w:val="auto"/>
              </w:rPr>
            </w:pPr>
            <w:r>
              <w:rPr>
                <w:rFonts w:ascii="Arial" w:cs="Arial" w:eastAsia="Arial" w:hAnsi="Arial"/>
                <w:sz w:val="11"/>
                <w:szCs w:val="11"/>
                <w:color w:val="auto"/>
              </w:rPr>
              <w:t>20,585</w:t>
            </w:r>
            <w:r>
              <w:rPr>
                <w:rFonts w:ascii="Arial" w:cs="Arial" w:eastAsia="Arial" w:hAnsi="Arial"/>
                <w:sz w:val="18"/>
                <w:szCs w:val="18"/>
                <w:color w:val="auto"/>
                <w:vertAlign w:val="superscript"/>
              </w:rPr>
              <w:t>(3)</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579,262</w:t>
            </w: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60" w:lineRule="exact"/>
              <w:rPr>
                <w:sz w:val="20"/>
                <w:szCs w:val="20"/>
                <w:color w:val="auto"/>
              </w:rPr>
            </w:pPr>
            <w:r>
              <w:rPr>
                <w:rFonts w:ascii="Arial" w:cs="Arial" w:eastAsia="Arial" w:hAnsi="Arial"/>
                <w:sz w:val="11"/>
                <w:szCs w:val="11"/>
                <w:color w:val="auto"/>
              </w:rPr>
              <w:t>6,897</w:t>
            </w:r>
            <w:r>
              <w:rPr>
                <w:rFonts w:ascii="Arial" w:cs="Arial" w:eastAsia="Arial" w:hAnsi="Arial"/>
                <w:sz w:val="18"/>
                <w:szCs w:val="18"/>
                <w:color w:val="auto"/>
                <w:vertAlign w:val="superscript"/>
              </w:rPr>
              <w:t>(5)</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194,068</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1760" w:type="dxa"/>
            <w:vAlign w:val="bottom"/>
            <w:gridSpan w:val="2"/>
            <w:shd w:val="clear" w:color="auto" w:fill="CCEEFF"/>
          </w:tcPr>
          <w:p>
            <w:pPr>
              <w:ind w:left="120"/>
              <w:spacing w:after="0"/>
              <w:rPr>
                <w:sz w:val="20"/>
                <w:szCs w:val="20"/>
                <w:color w:val="auto"/>
              </w:rPr>
            </w:pPr>
            <w:r>
              <w:rPr>
                <w:rFonts w:ascii="Arial" w:cs="Arial" w:eastAsia="Arial" w:hAnsi="Arial"/>
                <w:sz w:val="12"/>
                <w:szCs w:val="12"/>
                <w:i w:val="1"/>
                <w:iCs w:val="1"/>
                <w:color w:val="auto"/>
              </w:rPr>
              <w:t>Aviation and Marine</w:t>
            </w: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spacing w:after="0" w:line="174" w:lineRule="exact"/>
              <w:rPr>
                <w:sz w:val="20"/>
                <w:szCs w:val="20"/>
                <w:color w:val="auto"/>
              </w:rPr>
            </w:pPr>
            <w:r>
              <w:rPr>
                <w:rFonts w:ascii="Arial" w:cs="Arial" w:eastAsia="Arial" w:hAnsi="Arial"/>
                <w:sz w:val="12"/>
                <w:szCs w:val="12"/>
                <w:color w:val="auto"/>
              </w:rPr>
              <w:t>13,793</w:t>
            </w:r>
            <w:r>
              <w:rPr>
                <w:rFonts w:ascii="Arial" w:cs="Arial" w:eastAsia="Arial" w:hAnsi="Arial"/>
                <w:sz w:val="20"/>
                <w:szCs w:val="20"/>
                <w:color w:val="auto"/>
                <w:vertAlign w:val="superscript"/>
              </w:rPr>
              <w:t>(12)</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388,135</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9"/>
        </w:trPr>
        <w:tc>
          <w:tcPr>
            <w:tcW w:w="32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1640" w:hanging="498"/>
        <w:spacing w:after="0"/>
        <w:tabs>
          <w:tab w:leader="none" w:pos="1640" w:val="left"/>
        </w:tabs>
        <w:numPr>
          <w:ilvl w:val="0"/>
          <w:numId w:val="57"/>
        </w:numPr>
        <w:rPr>
          <w:rFonts w:ascii="Arial" w:cs="Arial" w:eastAsia="Arial" w:hAnsi="Arial"/>
          <w:sz w:val="12"/>
          <w:szCs w:val="12"/>
          <w:color w:val="auto"/>
        </w:rPr>
      </w:pPr>
      <w:r>
        <w:rPr>
          <w:rFonts w:ascii="Arial" w:cs="Arial" w:eastAsia="Arial" w:hAnsi="Arial"/>
          <w:sz w:val="12"/>
          <w:szCs w:val="12"/>
          <w:color w:val="auto"/>
        </w:rPr>
        <w:t>The amounts in this column are based on the closing price of our common stock on December 29, 2017 of $28.14.</w:t>
      </w:r>
    </w:p>
    <w:p>
      <w:pPr>
        <w:spacing w:after="0" w:line="120" w:lineRule="exact"/>
        <w:rPr>
          <w:rFonts w:ascii="Arial" w:cs="Arial" w:eastAsia="Arial" w:hAnsi="Arial"/>
          <w:sz w:val="12"/>
          <w:szCs w:val="12"/>
          <w:color w:val="auto"/>
        </w:rPr>
      </w:pPr>
    </w:p>
    <w:p>
      <w:pPr>
        <w:ind w:left="1640" w:right="420" w:hanging="498"/>
        <w:spacing w:after="0" w:line="267" w:lineRule="auto"/>
        <w:tabs>
          <w:tab w:leader="none" w:pos="1640" w:val="left"/>
        </w:tabs>
        <w:numPr>
          <w:ilvl w:val="0"/>
          <w:numId w:val="57"/>
        </w:numPr>
        <w:rPr>
          <w:rFonts w:ascii="Arial" w:cs="Arial" w:eastAsia="Arial" w:hAnsi="Arial"/>
          <w:sz w:val="12"/>
          <w:szCs w:val="12"/>
          <w:color w:val="auto"/>
        </w:rPr>
      </w:pPr>
      <w:r>
        <w:rPr>
          <w:rFonts w:ascii="Arial" w:cs="Arial" w:eastAsia="Arial" w:hAnsi="Arial"/>
          <w:sz w:val="12"/>
          <w:szCs w:val="12"/>
          <w:color w:val="auto"/>
        </w:rPr>
        <w:t>This amount reflects RSUs (in the case of Messrs. Kasbar and Birns) that vest in March 2018 or shares of restricted stock (in the case of Messrs. Crosby and Rau) that vest one-third annually beginning May 2018, subject to earlier vesting upon a change of control or qualifying termination of employment.</w:t>
      </w:r>
    </w:p>
    <w:p>
      <w:pPr>
        <w:spacing w:after="0" w:line="87" w:lineRule="exact"/>
        <w:rPr>
          <w:rFonts w:ascii="Arial" w:cs="Arial" w:eastAsia="Arial" w:hAnsi="Arial"/>
          <w:sz w:val="12"/>
          <w:szCs w:val="12"/>
          <w:color w:val="auto"/>
        </w:rPr>
      </w:pPr>
    </w:p>
    <w:p>
      <w:pPr>
        <w:ind w:left="1640" w:right="380" w:hanging="498"/>
        <w:spacing w:after="0" w:line="267" w:lineRule="auto"/>
        <w:tabs>
          <w:tab w:leader="none" w:pos="1640" w:val="left"/>
        </w:tabs>
        <w:numPr>
          <w:ilvl w:val="0"/>
          <w:numId w:val="57"/>
        </w:numPr>
        <w:rPr>
          <w:rFonts w:ascii="Arial" w:cs="Arial" w:eastAsia="Arial" w:hAnsi="Arial"/>
          <w:sz w:val="12"/>
          <w:szCs w:val="12"/>
          <w:color w:val="auto"/>
        </w:rPr>
      </w:pPr>
      <w:r>
        <w:rPr>
          <w:rFonts w:ascii="Arial" w:cs="Arial" w:eastAsia="Arial" w:hAnsi="Arial"/>
          <w:sz w:val="12"/>
          <w:szCs w:val="12"/>
          <w:color w:val="auto"/>
        </w:rPr>
        <w:t>This amount reflects RSUs (in the case of Messrs. Kasbar and Birns) that vest one-half annually beginning March 2018 or (in the case of Messrs. Crosby and Rau) that vest one-third annually beginning May 2019, subject to earlier vesting upon a change of control or qualifying termination of employment.</w:t>
      </w:r>
    </w:p>
    <w:p>
      <w:pPr>
        <w:spacing w:after="0" w:line="87" w:lineRule="exact"/>
        <w:rPr>
          <w:rFonts w:ascii="Arial" w:cs="Arial" w:eastAsia="Arial" w:hAnsi="Arial"/>
          <w:sz w:val="12"/>
          <w:szCs w:val="12"/>
          <w:color w:val="auto"/>
        </w:rPr>
      </w:pPr>
    </w:p>
    <w:p>
      <w:pPr>
        <w:ind w:left="1640" w:right="220" w:hanging="498"/>
        <w:spacing w:after="0" w:line="251" w:lineRule="auto"/>
        <w:tabs>
          <w:tab w:leader="none" w:pos="1640" w:val="left"/>
        </w:tabs>
        <w:numPr>
          <w:ilvl w:val="0"/>
          <w:numId w:val="57"/>
        </w:numPr>
        <w:rPr>
          <w:rFonts w:ascii="Arial" w:cs="Arial" w:eastAsia="Arial" w:hAnsi="Arial"/>
          <w:sz w:val="12"/>
          <w:szCs w:val="12"/>
          <w:color w:val="auto"/>
        </w:rPr>
      </w:pPr>
      <w:r>
        <w:rPr>
          <w:rFonts w:ascii="Arial" w:cs="Arial" w:eastAsia="Arial" w:hAnsi="Arial"/>
          <w:sz w:val="12"/>
          <w:szCs w:val="12"/>
          <w:color w:val="auto"/>
        </w:rPr>
        <w:t>This amount reflects the threshold amount of RSUs that would be earned by the NEO in 2019 under the PSP assuming a minimum CAGR in EPS of 3%. Any earned portion will vest on the date after December 31, 2018 on which the Committee certifies in writing, based upon our audited financial statements, the extent to which the requisite CAGR in EPS has been achieved for the performance period but in no event later than March 15, 2019.</w:t>
      </w:r>
    </w:p>
    <w:p>
      <w:pPr>
        <w:spacing w:after="0" w:line="97" w:lineRule="exact"/>
        <w:rPr>
          <w:rFonts w:ascii="Arial" w:cs="Arial" w:eastAsia="Arial" w:hAnsi="Arial"/>
          <w:sz w:val="12"/>
          <w:szCs w:val="12"/>
          <w:color w:val="auto"/>
        </w:rPr>
      </w:pPr>
    </w:p>
    <w:p>
      <w:pPr>
        <w:ind w:left="1640" w:right="220" w:hanging="498"/>
        <w:spacing w:after="0" w:line="251" w:lineRule="auto"/>
        <w:tabs>
          <w:tab w:leader="none" w:pos="1640" w:val="left"/>
        </w:tabs>
        <w:numPr>
          <w:ilvl w:val="0"/>
          <w:numId w:val="57"/>
        </w:numPr>
        <w:rPr>
          <w:rFonts w:ascii="Arial" w:cs="Arial" w:eastAsia="Arial" w:hAnsi="Arial"/>
          <w:sz w:val="12"/>
          <w:szCs w:val="12"/>
          <w:color w:val="auto"/>
        </w:rPr>
      </w:pPr>
      <w:r>
        <w:rPr>
          <w:rFonts w:ascii="Arial" w:cs="Arial" w:eastAsia="Arial" w:hAnsi="Arial"/>
          <w:sz w:val="12"/>
          <w:szCs w:val="12"/>
          <w:color w:val="auto"/>
        </w:rPr>
        <w:t>This amount reflects the threshold amount of RSUs that would be earned by the NEO in 2020 under the PSP assuming a minimum CAGR in EPS of 3%. Any earned portion will vest on the date after December 31, 2019 on which the Committee certifies in writing, based upon our audited financial statements, the extent to which the requisite CAGR in EPS has been achieved for the performance period but in no event later than March 15, 2020.</w:t>
      </w:r>
    </w:p>
    <w:p>
      <w:pPr>
        <w:spacing w:after="0" w:line="97" w:lineRule="exact"/>
        <w:rPr>
          <w:rFonts w:ascii="Arial" w:cs="Arial" w:eastAsia="Arial" w:hAnsi="Arial"/>
          <w:sz w:val="12"/>
          <w:szCs w:val="12"/>
          <w:color w:val="auto"/>
        </w:rPr>
      </w:pPr>
    </w:p>
    <w:p>
      <w:pPr>
        <w:ind w:left="1640" w:hanging="498"/>
        <w:spacing w:after="0"/>
        <w:tabs>
          <w:tab w:leader="none" w:pos="1640" w:val="left"/>
        </w:tabs>
        <w:numPr>
          <w:ilvl w:val="0"/>
          <w:numId w:val="57"/>
        </w:numPr>
        <w:rPr>
          <w:rFonts w:ascii="Arial" w:cs="Arial" w:eastAsia="Arial" w:hAnsi="Arial"/>
          <w:sz w:val="12"/>
          <w:szCs w:val="12"/>
          <w:color w:val="auto"/>
        </w:rPr>
      </w:pPr>
      <w:r>
        <w:rPr>
          <w:rFonts w:ascii="Arial" w:cs="Arial" w:eastAsia="Arial" w:hAnsi="Arial"/>
          <w:sz w:val="12"/>
          <w:szCs w:val="12"/>
          <w:color w:val="auto"/>
        </w:rPr>
        <w:t>This amount reflects SSARs that vest in March 2018, subject to earlier vesting upon a change of control or qualifying termination of employment.</w:t>
      </w:r>
    </w:p>
    <w:p>
      <w:pPr>
        <w:spacing w:after="0" w:line="120" w:lineRule="exact"/>
        <w:rPr>
          <w:rFonts w:ascii="Arial" w:cs="Arial" w:eastAsia="Arial" w:hAnsi="Arial"/>
          <w:sz w:val="12"/>
          <w:szCs w:val="12"/>
          <w:color w:val="auto"/>
        </w:rPr>
      </w:pPr>
    </w:p>
    <w:p>
      <w:pPr>
        <w:ind w:left="1640" w:hanging="498"/>
        <w:spacing w:after="0"/>
        <w:tabs>
          <w:tab w:leader="none" w:pos="1640" w:val="left"/>
        </w:tabs>
        <w:numPr>
          <w:ilvl w:val="0"/>
          <w:numId w:val="57"/>
        </w:numPr>
        <w:rPr>
          <w:rFonts w:ascii="Arial" w:cs="Arial" w:eastAsia="Arial" w:hAnsi="Arial"/>
          <w:sz w:val="12"/>
          <w:szCs w:val="12"/>
          <w:color w:val="auto"/>
        </w:rPr>
      </w:pPr>
      <w:r>
        <w:rPr>
          <w:rFonts w:ascii="Arial" w:cs="Arial" w:eastAsia="Arial" w:hAnsi="Arial"/>
          <w:sz w:val="12"/>
          <w:szCs w:val="12"/>
          <w:color w:val="auto"/>
        </w:rPr>
        <w:t>This amount reflects SSARs that vest in March 2019, subject to earlier vesting upon a change of control or qualifying termination of employment.</w:t>
      </w:r>
    </w:p>
    <w:p>
      <w:pPr>
        <w:spacing w:after="0" w:line="30" w:lineRule="exact"/>
        <w:rPr>
          <w:sz w:val="20"/>
          <w:szCs w:val="20"/>
          <w:color w:val="auto"/>
        </w:rPr>
      </w:pPr>
    </w:p>
    <w:p>
      <w:pPr>
        <w:jc w:val="right"/>
        <w:spacing w:after="0"/>
        <w:tabs>
          <w:tab w:leader="none" w:pos="1960" w:val="left"/>
          <w:tab w:leader="none" w:pos="1720" w:val="left"/>
          <w:tab w:leader="none" w:pos="14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3"/>
          <w:szCs w:val="33"/>
          <w:b w:val="1"/>
          <w:bCs w:val="1"/>
          <w:color w:val="auto"/>
          <w:vertAlign w:val="subscript"/>
        </w:rPr>
        <w:t>|</w:t>
      </w:r>
      <w:r>
        <w:rPr>
          <w:sz w:val="20"/>
          <w:szCs w:val="20"/>
          <w:color w:val="auto"/>
        </w:rPr>
        <w:tab/>
      </w:r>
      <w:r>
        <w:rPr>
          <w:rFonts w:ascii="Arial" w:cs="Arial" w:eastAsia="Arial" w:hAnsi="Arial"/>
          <w:sz w:val="16"/>
          <w:szCs w:val="16"/>
          <w:color w:val="auto"/>
        </w:rPr>
        <w:t>2018 Proxy Statement</w:t>
      </w:r>
      <w:r>
        <w:rPr>
          <w:sz w:val="20"/>
          <w:szCs w:val="20"/>
          <w:color w:val="auto"/>
        </w:rPr>
        <w:tab/>
      </w: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117475</wp:posOffset>
            </wp:positionV>
            <wp:extent cx="7263130" cy="203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6" w:name="page57"/>
    <w:bookmarkEnd w:id="56"/>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198" w:lineRule="exact"/>
        <w:rPr>
          <w:sz w:val="20"/>
          <w:szCs w:val="20"/>
          <w:color w:val="auto"/>
        </w:rPr>
      </w:pPr>
    </w:p>
    <w:p>
      <w:pPr>
        <w:ind w:left="1640" w:hanging="498"/>
        <w:spacing w:after="0"/>
        <w:tabs>
          <w:tab w:leader="none" w:pos="1640" w:val="left"/>
        </w:tabs>
        <w:numPr>
          <w:ilvl w:val="0"/>
          <w:numId w:val="58"/>
        </w:numPr>
        <w:rPr>
          <w:rFonts w:ascii="Arial" w:cs="Arial" w:eastAsia="Arial" w:hAnsi="Arial"/>
          <w:sz w:val="12"/>
          <w:szCs w:val="12"/>
          <w:color w:val="auto"/>
        </w:rPr>
      </w:pPr>
      <w:r>
        <w:rPr>
          <w:rFonts w:ascii="Arial" w:cs="Arial" w:eastAsia="Arial" w:hAnsi="Arial"/>
          <w:sz w:val="12"/>
          <w:szCs w:val="12"/>
          <w:color w:val="auto"/>
        </w:rPr>
        <w:t>This amount reflects SSARs that vest in March 2020, subject to earlier vesting upon a change of control or qualifying termination of employment.</w:t>
      </w:r>
    </w:p>
    <w:p>
      <w:pPr>
        <w:spacing w:after="0" w:line="120" w:lineRule="exact"/>
        <w:rPr>
          <w:rFonts w:ascii="Arial" w:cs="Arial" w:eastAsia="Arial" w:hAnsi="Arial"/>
          <w:sz w:val="12"/>
          <w:szCs w:val="12"/>
          <w:color w:val="auto"/>
        </w:rPr>
      </w:pPr>
    </w:p>
    <w:p>
      <w:pPr>
        <w:ind w:left="1640" w:right="160" w:hanging="498"/>
        <w:spacing w:after="0" w:line="313" w:lineRule="auto"/>
        <w:tabs>
          <w:tab w:leader="none" w:pos="1640" w:val="left"/>
        </w:tabs>
        <w:numPr>
          <w:ilvl w:val="0"/>
          <w:numId w:val="58"/>
        </w:numPr>
        <w:rPr>
          <w:rFonts w:ascii="Arial" w:cs="Arial" w:eastAsia="Arial" w:hAnsi="Arial"/>
          <w:sz w:val="11"/>
          <w:szCs w:val="11"/>
          <w:color w:val="auto"/>
        </w:rPr>
      </w:pPr>
      <w:r>
        <w:rPr>
          <w:rFonts w:ascii="Arial" w:cs="Arial" w:eastAsia="Arial" w:hAnsi="Arial"/>
          <w:sz w:val="11"/>
          <w:szCs w:val="11"/>
          <w:color w:val="auto"/>
        </w:rPr>
        <w:t>This amount reflects the Performance SSARs which could be earned by the NEO based on achieving the Performance SSAR Threshold. Based on the actual EPS for 2017, the Performance SSAR Threshold was not met and therefore all of these Performance SSARs were forfeited. See "Grants of Plan-Based Awards Table" for more information on the Performance SSARs.</w:t>
      </w:r>
    </w:p>
    <w:p>
      <w:pPr>
        <w:spacing w:after="0" w:line="64" w:lineRule="exact"/>
        <w:rPr>
          <w:rFonts w:ascii="Arial" w:cs="Arial" w:eastAsia="Arial" w:hAnsi="Arial"/>
          <w:sz w:val="11"/>
          <w:szCs w:val="11"/>
          <w:color w:val="auto"/>
        </w:rPr>
      </w:pPr>
    </w:p>
    <w:p>
      <w:pPr>
        <w:ind w:left="1640" w:hanging="498"/>
        <w:spacing w:after="0"/>
        <w:tabs>
          <w:tab w:leader="none" w:pos="1640" w:val="left"/>
        </w:tabs>
        <w:numPr>
          <w:ilvl w:val="0"/>
          <w:numId w:val="58"/>
        </w:numPr>
        <w:rPr>
          <w:rFonts w:ascii="Arial" w:cs="Arial" w:eastAsia="Arial" w:hAnsi="Arial"/>
          <w:sz w:val="12"/>
          <w:szCs w:val="12"/>
          <w:color w:val="auto"/>
        </w:rPr>
      </w:pPr>
      <w:r>
        <w:rPr>
          <w:rFonts w:ascii="Arial" w:cs="Arial" w:eastAsia="Arial" w:hAnsi="Arial"/>
          <w:sz w:val="12"/>
          <w:szCs w:val="12"/>
          <w:color w:val="auto"/>
        </w:rPr>
        <w:t>This amount reflects RSUs that vest one-third annually beginning March 2020, subject to earlier vesting upon a change of control or qualifying termination of employment.</w:t>
      </w:r>
    </w:p>
    <w:p>
      <w:pPr>
        <w:spacing w:after="0" w:line="120" w:lineRule="exact"/>
        <w:rPr>
          <w:rFonts w:ascii="Arial" w:cs="Arial" w:eastAsia="Arial" w:hAnsi="Arial"/>
          <w:sz w:val="12"/>
          <w:szCs w:val="12"/>
          <w:color w:val="auto"/>
        </w:rPr>
      </w:pPr>
    </w:p>
    <w:p>
      <w:pPr>
        <w:ind w:left="1640" w:right="60" w:hanging="498"/>
        <w:spacing w:after="0" w:line="285" w:lineRule="auto"/>
        <w:tabs>
          <w:tab w:leader="none" w:pos="1640" w:val="left"/>
        </w:tabs>
        <w:numPr>
          <w:ilvl w:val="0"/>
          <w:numId w:val="58"/>
        </w:numPr>
        <w:rPr>
          <w:rFonts w:ascii="Arial" w:cs="Arial" w:eastAsia="Arial" w:hAnsi="Arial"/>
          <w:sz w:val="11"/>
          <w:szCs w:val="11"/>
          <w:color w:val="auto"/>
        </w:rPr>
      </w:pPr>
      <w:r>
        <w:rPr>
          <w:rFonts w:ascii="Arial" w:cs="Arial" w:eastAsia="Arial" w:hAnsi="Arial"/>
          <w:sz w:val="11"/>
          <w:szCs w:val="11"/>
          <w:color w:val="auto"/>
        </w:rPr>
        <w:t>This amount reflects the threshold amount of RSUs that would be earned by Mr. Smith in 2021 under his performance-based equity grant assuming the threshold level of performance established by the Committee for the 2018 annual incentive compensation program. Any earned portion will vest on the date after December 31, 2020 on which the Committee certifies in writing, based upon our audited financial statements, the extent to which the requisite performance goal has been achieved for the performance period but in no event later than March 15, 2021.</w:t>
      </w:r>
    </w:p>
    <w:p>
      <w:pPr>
        <w:spacing w:after="0" w:line="79" w:lineRule="exact"/>
        <w:rPr>
          <w:rFonts w:ascii="Arial" w:cs="Arial" w:eastAsia="Arial" w:hAnsi="Arial"/>
          <w:sz w:val="11"/>
          <w:szCs w:val="11"/>
          <w:color w:val="auto"/>
        </w:rPr>
      </w:pPr>
    </w:p>
    <w:p>
      <w:pPr>
        <w:ind w:left="1640" w:hanging="498"/>
        <w:spacing w:after="0"/>
        <w:tabs>
          <w:tab w:leader="none" w:pos="1640" w:val="left"/>
        </w:tabs>
        <w:numPr>
          <w:ilvl w:val="0"/>
          <w:numId w:val="58"/>
        </w:numPr>
        <w:rPr>
          <w:rFonts w:ascii="Arial" w:cs="Arial" w:eastAsia="Arial" w:hAnsi="Arial"/>
          <w:sz w:val="12"/>
          <w:szCs w:val="12"/>
          <w:color w:val="auto"/>
        </w:rPr>
      </w:pPr>
      <w:r>
        <w:rPr>
          <w:rFonts w:ascii="Arial" w:cs="Arial" w:eastAsia="Arial" w:hAnsi="Arial"/>
          <w:sz w:val="12"/>
          <w:szCs w:val="12"/>
          <w:color w:val="auto"/>
        </w:rPr>
        <w:t>This amount reflects RSUs that vest one-third annually beginning March 2018, subject to earlier vesting upon a change of control or qualifying termination of employment.</w:t>
      </w:r>
    </w:p>
    <w:p>
      <w:pPr>
        <w:spacing w:after="0" w:line="120" w:lineRule="exact"/>
        <w:rPr>
          <w:rFonts w:ascii="Arial" w:cs="Arial" w:eastAsia="Arial" w:hAnsi="Arial"/>
          <w:sz w:val="12"/>
          <w:szCs w:val="12"/>
          <w:color w:val="auto"/>
        </w:rPr>
      </w:pPr>
    </w:p>
    <w:p>
      <w:pPr>
        <w:ind w:left="1640" w:right="260" w:hanging="498"/>
        <w:spacing w:after="0" w:line="267" w:lineRule="auto"/>
        <w:tabs>
          <w:tab w:leader="none" w:pos="1640" w:val="left"/>
        </w:tabs>
        <w:numPr>
          <w:ilvl w:val="0"/>
          <w:numId w:val="58"/>
        </w:numPr>
        <w:rPr>
          <w:rFonts w:ascii="Arial" w:cs="Arial" w:eastAsia="Arial" w:hAnsi="Arial"/>
          <w:sz w:val="12"/>
          <w:szCs w:val="12"/>
          <w:color w:val="auto"/>
        </w:rPr>
      </w:pPr>
      <w:r>
        <w:rPr>
          <w:rFonts w:ascii="Arial" w:cs="Arial" w:eastAsia="Arial" w:hAnsi="Arial"/>
          <w:sz w:val="12"/>
          <w:szCs w:val="12"/>
          <w:color w:val="auto"/>
        </w:rPr>
        <w:t>This amount reflects the threshold amount of RSUs that would be earned by the NEO in 2018 under a three-year performance equity award, assuming a minimum EPS threshold with a modifier based on the three-year average of the difference between the percentage return on invested capital and weighted average cost of capital.</w:t>
      </w:r>
    </w:p>
    <w:p>
      <w:pPr>
        <w:spacing w:after="0" w:line="87" w:lineRule="exact"/>
        <w:rPr>
          <w:rFonts w:ascii="Arial" w:cs="Arial" w:eastAsia="Arial" w:hAnsi="Arial"/>
          <w:sz w:val="12"/>
          <w:szCs w:val="12"/>
          <w:color w:val="auto"/>
        </w:rPr>
      </w:pPr>
    </w:p>
    <w:p>
      <w:pPr>
        <w:ind w:left="1640" w:hanging="498"/>
        <w:spacing w:after="0"/>
        <w:tabs>
          <w:tab w:leader="none" w:pos="1640" w:val="left"/>
        </w:tabs>
        <w:numPr>
          <w:ilvl w:val="0"/>
          <w:numId w:val="58"/>
        </w:numPr>
        <w:rPr>
          <w:rFonts w:ascii="Arial" w:cs="Arial" w:eastAsia="Arial" w:hAnsi="Arial"/>
          <w:sz w:val="11"/>
          <w:szCs w:val="11"/>
          <w:color w:val="auto"/>
        </w:rPr>
      </w:pPr>
      <w:r>
        <w:rPr>
          <w:rFonts w:ascii="Arial" w:cs="Arial" w:eastAsia="Arial" w:hAnsi="Arial"/>
          <w:sz w:val="11"/>
          <w:szCs w:val="11"/>
          <w:color w:val="auto"/>
        </w:rPr>
        <w:t>This amount reflects shares of restricted stock that vest one-half annually beginning March 2018, subject to earlier vesting upon a change of control or qualifying termination of employment.</w:t>
      </w:r>
    </w:p>
    <w:p>
      <w:pPr>
        <w:spacing w:after="0" w:line="42" w:lineRule="exact"/>
        <w:rPr>
          <w:sz w:val="20"/>
          <w:szCs w:val="20"/>
          <w:color w:val="auto"/>
        </w:rPr>
      </w:pPr>
    </w:p>
    <w:p>
      <w:pPr>
        <w:jc w:val="right"/>
        <w:spacing w:after="0"/>
        <w:tabs>
          <w:tab w:leader="none" w:pos="1960" w:val="left"/>
          <w:tab w:leader="none" w:pos="1720" w:val="left"/>
          <w:tab w:leader="none" w:pos="14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3"/>
          <w:szCs w:val="33"/>
          <w:b w:val="1"/>
          <w:bCs w:val="1"/>
          <w:color w:val="auto"/>
          <w:vertAlign w:val="subscript"/>
        </w:rPr>
        <w:t>|</w:t>
      </w:r>
      <w:r>
        <w:rPr>
          <w:sz w:val="20"/>
          <w:szCs w:val="20"/>
          <w:color w:val="auto"/>
        </w:rPr>
        <w:tab/>
      </w:r>
      <w:r>
        <w:rPr>
          <w:rFonts w:ascii="Arial" w:cs="Arial" w:eastAsia="Arial" w:hAnsi="Arial"/>
          <w:sz w:val="16"/>
          <w:szCs w:val="16"/>
          <w:color w:val="auto"/>
        </w:rPr>
        <w:t>2018 Proxy Statement</w:t>
      </w:r>
      <w:r>
        <w:rPr>
          <w:sz w:val="20"/>
          <w:szCs w:val="20"/>
          <w:color w:val="auto"/>
        </w:rPr>
        <w:tab/>
      </w: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117475</wp:posOffset>
            </wp:positionV>
            <wp:extent cx="7263130" cy="203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7" w:name="page58"/>
    <w:bookmarkEnd w:id="57"/>
    <w:p>
      <w:pPr>
        <w:ind w:left="1"/>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7"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Option Exercises and Stock Vested</w:t>
      </w:r>
    </w:p>
    <w:p>
      <w:pPr>
        <w:spacing w:after="0" w:line="215" w:lineRule="exact"/>
        <w:rPr>
          <w:sz w:val="20"/>
          <w:szCs w:val="20"/>
          <w:color w:val="auto"/>
        </w:rPr>
      </w:pPr>
    </w:p>
    <w:p>
      <w:pPr>
        <w:ind w:left="561"/>
        <w:spacing w:after="0"/>
        <w:rPr>
          <w:sz w:val="20"/>
          <w:szCs w:val="20"/>
          <w:color w:val="auto"/>
        </w:rPr>
      </w:pPr>
      <w:r>
        <w:rPr>
          <w:rFonts w:ascii="Arial" w:cs="Arial" w:eastAsia="Arial" w:hAnsi="Arial"/>
          <w:sz w:val="16"/>
          <w:szCs w:val="16"/>
          <w:color w:val="auto"/>
        </w:rPr>
        <w:t>The following table sets forth the stock vested during the year ended December 31, 2017 for our NEOs.</w:t>
      </w:r>
    </w:p>
    <w:p>
      <w:pPr>
        <w:spacing w:after="0" w:line="256" w:lineRule="exact"/>
        <w:rPr>
          <w:sz w:val="20"/>
          <w:szCs w:val="20"/>
          <w:color w:val="auto"/>
        </w:rPr>
      </w:pPr>
    </w:p>
    <w:tbl>
      <w:tblPr>
        <w:tblLayout w:type="fixed"/>
        <w:tblInd w:w="1" w:type="dxa"/>
        <w:tblCellMar>
          <w:top w:w="0" w:type="dxa"/>
          <w:left w:w="0" w:type="dxa"/>
          <w:bottom w:w="0" w:type="dxa"/>
          <w:right w:w="0" w:type="dxa"/>
        </w:tblCellMar>
      </w:tblPr>
      <w:tr>
        <w:trPr>
          <w:trHeight w:val="149"/>
        </w:trPr>
        <w:tc>
          <w:tcPr>
            <w:tcW w:w="17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0" w:type="dxa"/>
            <w:vAlign w:val="bottom"/>
            <w:tcBorders>
              <w:bottom w:val="single" w:sz="8" w:color="auto"/>
            </w:tcBorders>
            <w:gridSpan w:val="3"/>
          </w:tcPr>
          <w:p>
            <w:pPr>
              <w:ind w:left="540"/>
              <w:spacing w:after="0"/>
              <w:rPr>
                <w:sz w:val="20"/>
                <w:szCs w:val="20"/>
                <w:color w:val="auto"/>
              </w:rPr>
            </w:pPr>
            <w:r>
              <w:rPr>
                <w:rFonts w:ascii="Arial" w:cs="Arial" w:eastAsia="Arial" w:hAnsi="Arial"/>
                <w:sz w:val="12"/>
                <w:szCs w:val="12"/>
                <w:b w:val="1"/>
                <w:bCs w:val="1"/>
                <w:color w:val="auto"/>
              </w:rPr>
              <w:t>Stock Awards</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17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4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tcPr>
          <w:p>
            <w:pPr>
              <w:jc w:val="center"/>
              <w:ind w:right="140"/>
              <w:spacing w:after="0" w:line="115" w:lineRule="exact"/>
              <w:rPr>
                <w:sz w:val="20"/>
                <w:szCs w:val="20"/>
                <w:color w:val="auto"/>
              </w:rPr>
            </w:pPr>
            <w:r>
              <w:rPr>
                <w:rFonts w:ascii="Arial" w:cs="Arial" w:eastAsia="Arial" w:hAnsi="Arial"/>
                <w:sz w:val="12"/>
                <w:szCs w:val="12"/>
                <w:b w:val="1"/>
                <w:bCs w:val="1"/>
                <w:color w:val="auto"/>
                <w:w w:val="96"/>
              </w:rPr>
              <w:t>Number of</w:t>
            </w:r>
          </w:p>
        </w:tc>
        <w:tc>
          <w:tcPr>
            <w:tcW w:w="980" w:type="dxa"/>
            <w:vAlign w:val="bottom"/>
            <w:gridSpan w:val="2"/>
            <w:vMerge w:val="restart"/>
          </w:tcPr>
          <w:p>
            <w:pPr>
              <w:jc w:val="center"/>
              <w:ind w:right="120"/>
              <w:spacing w:after="0"/>
              <w:rPr>
                <w:sz w:val="20"/>
                <w:szCs w:val="20"/>
                <w:color w:val="auto"/>
              </w:rPr>
            </w:pPr>
            <w:r>
              <w:rPr>
                <w:rFonts w:ascii="Arial" w:cs="Arial" w:eastAsia="Arial" w:hAnsi="Arial"/>
                <w:sz w:val="12"/>
                <w:szCs w:val="12"/>
                <w:b w:val="1"/>
                <w:bCs w:val="1"/>
                <w:color w:val="auto"/>
                <w:w w:val="93"/>
              </w:rPr>
              <w:t>Value</w:t>
            </w:r>
          </w:p>
        </w:tc>
        <w:tc>
          <w:tcPr>
            <w:tcW w:w="0" w:type="dxa"/>
            <w:vAlign w:val="bottom"/>
          </w:tcPr>
          <w:p>
            <w:pPr>
              <w:spacing w:after="0"/>
              <w:rPr>
                <w:sz w:val="1"/>
                <w:szCs w:val="1"/>
                <w:color w:val="auto"/>
              </w:rPr>
            </w:pPr>
          </w:p>
        </w:tc>
      </w:tr>
      <w:tr>
        <w:trPr>
          <w:trHeight w:val="124"/>
        </w:trPr>
        <w:tc>
          <w:tcPr>
            <w:tcW w:w="17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4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tcPr>
          <w:p>
            <w:pPr>
              <w:jc w:val="center"/>
              <w:ind w:right="120"/>
              <w:spacing w:after="0" w:line="124" w:lineRule="exact"/>
              <w:rPr>
                <w:sz w:val="20"/>
                <w:szCs w:val="20"/>
                <w:color w:val="auto"/>
              </w:rPr>
            </w:pPr>
            <w:r>
              <w:rPr>
                <w:rFonts w:ascii="Arial" w:cs="Arial" w:eastAsia="Arial" w:hAnsi="Arial"/>
                <w:sz w:val="12"/>
                <w:szCs w:val="12"/>
                <w:b w:val="1"/>
                <w:bCs w:val="1"/>
                <w:color w:val="auto"/>
                <w:w w:val="89"/>
              </w:rPr>
              <w:t>Shares</w:t>
            </w:r>
          </w:p>
        </w:tc>
        <w:tc>
          <w:tcPr>
            <w:tcW w:w="9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7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center"/>
              <w:ind w:right="140"/>
              <w:spacing w:after="0" w:line="136" w:lineRule="exact"/>
              <w:rPr>
                <w:sz w:val="20"/>
                <w:szCs w:val="20"/>
                <w:color w:val="auto"/>
              </w:rPr>
            </w:pPr>
            <w:r>
              <w:rPr>
                <w:rFonts w:ascii="Arial" w:cs="Arial" w:eastAsia="Arial" w:hAnsi="Arial"/>
                <w:sz w:val="12"/>
                <w:szCs w:val="12"/>
                <w:b w:val="1"/>
                <w:bCs w:val="1"/>
                <w:color w:val="auto"/>
                <w:w w:val="94"/>
              </w:rPr>
              <w:t>Acquired on</w:t>
            </w:r>
          </w:p>
        </w:tc>
        <w:tc>
          <w:tcPr>
            <w:tcW w:w="980" w:type="dxa"/>
            <w:vAlign w:val="bottom"/>
            <w:gridSpan w:val="2"/>
          </w:tcPr>
          <w:p>
            <w:pPr>
              <w:jc w:val="center"/>
              <w:ind w:right="140"/>
              <w:spacing w:after="0" w:line="136" w:lineRule="exact"/>
              <w:rPr>
                <w:sz w:val="20"/>
                <w:szCs w:val="20"/>
                <w:color w:val="auto"/>
              </w:rPr>
            </w:pPr>
            <w:r>
              <w:rPr>
                <w:rFonts w:ascii="Arial" w:cs="Arial" w:eastAsia="Arial" w:hAnsi="Arial"/>
                <w:sz w:val="12"/>
                <w:szCs w:val="12"/>
                <w:b w:val="1"/>
                <w:bCs w:val="1"/>
                <w:color w:val="auto"/>
                <w:w w:val="89"/>
              </w:rPr>
              <w:t>Realized on</w:t>
            </w:r>
          </w:p>
        </w:tc>
        <w:tc>
          <w:tcPr>
            <w:tcW w:w="0" w:type="dxa"/>
            <w:vAlign w:val="bottom"/>
          </w:tcPr>
          <w:p>
            <w:pPr>
              <w:spacing w:after="0"/>
              <w:rPr>
                <w:sz w:val="1"/>
                <w:szCs w:val="1"/>
                <w:color w:val="auto"/>
              </w:rPr>
            </w:pPr>
          </w:p>
        </w:tc>
      </w:tr>
      <w:tr>
        <w:trPr>
          <w:trHeight w:val="160"/>
        </w:trPr>
        <w:tc>
          <w:tcPr>
            <w:tcW w:w="1720" w:type="dxa"/>
            <w:vAlign w:val="bottom"/>
          </w:tcPr>
          <w:p>
            <w:pPr>
              <w:spacing w:after="0"/>
              <w:rPr>
                <w:sz w:val="13"/>
                <w:szCs w:val="13"/>
                <w:color w:val="auto"/>
              </w:rPr>
            </w:pPr>
          </w:p>
        </w:tc>
        <w:tc>
          <w:tcPr>
            <w:tcW w:w="590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rPr>
              <w:t>Name</w:t>
            </w:r>
          </w:p>
        </w:tc>
        <w:tc>
          <w:tcPr>
            <w:tcW w:w="140" w:type="dxa"/>
            <w:vAlign w:val="bottom"/>
          </w:tcPr>
          <w:p>
            <w:pPr>
              <w:spacing w:after="0"/>
              <w:rPr>
                <w:sz w:val="13"/>
                <w:szCs w:val="13"/>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7"/>
              </w:rPr>
              <w:t>Vesting</w:t>
            </w:r>
          </w:p>
        </w:tc>
        <w:tc>
          <w:tcPr>
            <w:tcW w:w="160" w:type="dxa"/>
            <w:vAlign w:val="bottom"/>
          </w:tcPr>
          <w:p>
            <w:pPr>
              <w:spacing w:after="0"/>
              <w:rPr>
                <w:sz w:val="13"/>
                <w:szCs w:val="13"/>
                <w:color w:val="auto"/>
              </w:rPr>
            </w:pPr>
          </w:p>
        </w:tc>
        <w:tc>
          <w:tcPr>
            <w:tcW w:w="840" w:type="dxa"/>
            <w:vAlign w:val="bottom"/>
            <w:tcBorders>
              <w:bottom w:val="single" w:sz="8" w:color="auto"/>
            </w:tcBorders>
          </w:tcPr>
          <w:p>
            <w:pPr>
              <w:jc w:val="center"/>
              <w:spacing w:after="0" w:line="160" w:lineRule="exact"/>
              <w:rPr>
                <w:sz w:val="20"/>
                <w:szCs w:val="20"/>
                <w:color w:val="auto"/>
              </w:rPr>
            </w:pPr>
            <w:r>
              <w:rPr>
                <w:rFonts w:ascii="Arial" w:cs="Arial" w:eastAsia="Arial" w:hAnsi="Arial"/>
                <w:sz w:val="11"/>
                <w:szCs w:val="11"/>
                <w:b w:val="1"/>
                <w:bCs w:val="1"/>
                <w:color w:val="auto"/>
                <w:w w:val="95"/>
              </w:rPr>
              <w:t>Vesting</w:t>
            </w:r>
            <w:r>
              <w:rPr>
                <w:rFonts w:ascii="Arial" w:cs="Arial" w:eastAsia="Arial" w:hAnsi="Arial"/>
                <w:sz w:val="18"/>
                <w:szCs w:val="18"/>
                <w:b w:val="1"/>
                <w:bCs w:val="1"/>
                <w:color w:val="auto"/>
                <w:w w:val="95"/>
                <w:vertAlign w:val="superscript"/>
              </w:rPr>
              <w:t>(1)</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1720" w:type="dxa"/>
            <w:vAlign w:val="bottom"/>
          </w:tcPr>
          <w:p>
            <w:pPr>
              <w:spacing w:after="0"/>
              <w:rPr>
                <w:sz w:val="15"/>
                <w:szCs w:val="15"/>
                <w:color w:val="auto"/>
              </w:rPr>
            </w:pPr>
          </w:p>
        </w:tc>
        <w:tc>
          <w:tcPr>
            <w:tcW w:w="6040" w:type="dxa"/>
            <w:vAlign w:val="bottom"/>
            <w:gridSpan w:val="3"/>
            <w:shd w:val="clear" w:color="auto" w:fill="CCEEFF"/>
          </w:tcPr>
          <w:p>
            <w:pPr>
              <w:spacing w:after="0" w:line="181" w:lineRule="exact"/>
              <w:rPr>
                <w:sz w:val="20"/>
                <w:szCs w:val="20"/>
                <w:color w:val="auto"/>
              </w:rPr>
            </w:pPr>
            <w:r>
              <w:rPr>
                <w:rFonts w:ascii="Arial" w:cs="Arial" w:eastAsia="Arial" w:hAnsi="Arial"/>
                <w:sz w:val="16"/>
                <w:szCs w:val="16"/>
                <w:color w:val="auto"/>
              </w:rPr>
              <w:t>Michael J. Kasbar</w:t>
            </w:r>
          </w:p>
        </w:tc>
        <w:tc>
          <w:tcPr>
            <w:tcW w:w="960" w:type="dxa"/>
            <w:vAlign w:val="bottom"/>
            <w:gridSpan w:val="2"/>
            <w:shd w:val="clear" w:color="auto" w:fill="CCEEFF"/>
          </w:tcPr>
          <w:p>
            <w:pPr>
              <w:jc w:val="right"/>
              <w:ind w:right="140"/>
              <w:spacing w:after="0" w:line="181" w:lineRule="exact"/>
              <w:rPr>
                <w:sz w:val="20"/>
                <w:szCs w:val="20"/>
                <w:color w:val="auto"/>
              </w:rPr>
            </w:pPr>
            <w:r>
              <w:rPr>
                <w:rFonts w:ascii="Arial" w:cs="Arial" w:eastAsia="Arial" w:hAnsi="Arial"/>
                <w:sz w:val="16"/>
                <w:szCs w:val="16"/>
                <w:color w:val="auto"/>
              </w:rPr>
              <w:t>29,389</w:t>
            </w:r>
          </w:p>
        </w:tc>
        <w:tc>
          <w:tcPr>
            <w:tcW w:w="980" w:type="dxa"/>
            <w:vAlign w:val="bottom"/>
            <w:gridSpan w:val="2"/>
            <w:shd w:val="clear" w:color="auto" w:fill="CCEEFF"/>
          </w:tcPr>
          <w:p>
            <w:pPr>
              <w:jc w:val="right"/>
              <w:ind w:right="140"/>
              <w:spacing w:after="0" w:line="181" w:lineRule="exact"/>
              <w:rPr>
                <w:sz w:val="20"/>
                <w:szCs w:val="20"/>
                <w:color w:val="auto"/>
              </w:rPr>
            </w:pPr>
            <w:r>
              <w:rPr>
                <w:rFonts w:ascii="Arial" w:cs="Arial" w:eastAsia="Arial" w:hAnsi="Arial"/>
                <w:sz w:val="16"/>
                <w:szCs w:val="16"/>
                <w:color w:val="auto"/>
                <w:w w:val="92"/>
              </w:rPr>
              <w:t>$  1,089,156</w:t>
            </w:r>
          </w:p>
        </w:tc>
        <w:tc>
          <w:tcPr>
            <w:tcW w:w="0" w:type="dxa"/>
            <w:vAlign w:val="bottom"/>
          </w:tcPr>
          <w:p>
            <w:pPr>
              <w:spacing w:after="0"/>
              <w:rPr>
                <w:sz w:val="1"/>
                <w:szCs w:val="1"/>
                <w:color w:val="auto"/>
              </w:rPr>
            </w:pPr>
          </w:p>
        </w:tc>
      </w:tr>
      <w:tr>
        <w:trPr>
          <w:trHeight w:val="206"/>
        </w:trPr>
        <w:tc>
          <w:tcPr>
            <w:tcW w:w="1720" w:type="dxa"/>
            <w:vAlign w:val="bottom"/>
          </w:tcPr>
          <w:p>
            <w:pPr>
              <w:spacing w:after="0"/>
              <w:rPr>
                <w:sz w:val="17"/>
                <w:szCs w:val="17"/>
                <w:color w:val="auto"/>
              </w:rPr>
            </w:pPr>
          </w:p>
        </w:tc>
        <w:tc>
          <w:tcPr>
            <w:tcW w:w="6040" w:type="dxa"/>
            <w:vAlign w:val="bottom"/>
            <w:gridSpan w:val="3"/>
            <w:shd w:val="clear" w:color="auto" w:fill="CCEEFF"/>
          </w:tcPr>
          <w:p>
            <w:pPr>
              <w:ind w:left="160"/>
              <w:spacing w:after="0"/>
              <w:rPr>
                <w:sz w:val="20"/>
                <w:szCs w:val="20"/>
                <w:color w:val="auto"/>
              </w:rPr>
            </w:pPr>
            <w:r>
              <w:rPr>
                <w:rFonts w:ascii="Arial" w:cs="Arial" w:eastAsia="Arial" w:hAnsi="Arial"/>
                <w:sz w:val="16"/>
                <w:szCs w:val="16"/>
                <w:i w:val="1"/>
                <w:iCs w:val="1"/>
                <w:color w:val="auto"/>
              </w:rPr>
              <w:t>Chairman, President and Chief Executive Officer</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1720" w:type="dxa"/>
            <w:vAlign w:val="bottom"/>
          </w:tcPr>
          <w:p>
            <w:pPr>
              <w:spacing w:after="0"/>
              <w:rPr>
                <w:sz w:val="16"/>
                <w:szCs w:val="16"/>
                <w:color w:val="auto"/>
              </w:rPr>
            </w:pPr>
          </w:p>
        </w:tc>
        <w:tc>
          <w:tcPr>
            <w:tcW w:w="6040" w:type="dxa"/>
            <w:vAlign w:val="bottom"/>
            <w:gridSpan w:val="3"/>
          </w:tcPr>
          <w:p>
            <w:pPr>
              <w:spacing w:after="0"/>
              <w:rPr>
                <w:sz w:val="20"/>
                <w:szCs w:val="20"/>
                <w:color w:val="auto"/>
              </w:rPr>
            </w:pPr>
            <w:r>
              <w:rPr>
                <w:rFonts w:ascii="Arial" w:cs="Arial" w:eastAsia="Arial" w:hAnsi="Arial"/>
                <w:sz w:val="16"/>
                <w:szCs w:val="16"/>
                <w:color w:val="auto"/>
              </w:rPr>
              <w:t>Ira M. Birns</w:t>
            </w: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10,740</w:t>
            </w: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398,024</w:t>
            </w:r>
          </w:p>
        </w:tc>
        <w:tc>
          <w:tcPr>
            <w:tcW w:w="0" w:type="dxa"/>
            <w:vAlign w:val="bottom"/>
          </w:tcPr>
          <w:p>
            <w:pPr>
              <w:spacing w:after="0"/>
              <w:rPr>
                <w:sz w:val="1"/>
                <w:szCs w:val="1"/>
                <w:color w:val="auto"/>
              </w:rPr>
            </w:pPr>
          </w:p>
        </w:tc>
      </w:tr>
      <w:tr>
        <w:trPr>
          <w:trHeight w:val="205"/>
        </w:trPr>
        <w:tc>
          <w:tcPr>
            <w:tcW w:w="1720" w:type="dxa"/>
            <w:vAlign w:val="bottom"/>
          </w:tcPr>
          <w:p>
            <w:pPr>
              <w:spacing w:after="0"/>
              <w:rPr>
                <w:sz w:val="17"/>
                <w:szCs w:val="17"/>
                <w:color w:val="auto"/>
              </w:rPr>
            </w:pPr>
          </w:p>
        </w:tc>
        <w:tc>
          <w:tcPr>
            <w:tcW w:w="6040" w:type="dxa"/>
            <w:vAlign w:val="bottom"/>
            <w:gridSpan w:val="3"/>
          </w:tcPr>
          <w:p>
            <w:pPr>
              <w:ind w:left="160"/>
              <w:spacing w:after="0"/>
              <w:rPr>
                <w:sz w:val="20"/>
                <w:szCs w:val="20"/>
                <w:color w:val="auto"/>
              </w:rPr>
            </w:pPr>
            <w:r>
              <w:rPr>
                <w:rFonts w:ascii="Arial" w:cs="Arial" w:eastAsia="Arial" w:hAnsi="Arial"/>
                <w:sz w:val="16"/>
                <w:szCs w:val="16"/>
                <w:i w:val="1"/>
                <w:iCs w:val="1"/>
                <w:color w:val="auto"/>
              </w:rPr>
              <w:t>Executive Vice President and Chief Financial Officer</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720" w:type="dxa"/>
            <w:vAlign w:val="bottom"/>
          </w:tcPr>
          <w:p>
            <w:pPr>
              <w:spacing w:after="0"/>
              <w:rPr>
                <w:sz w:val="16"/>
                <w:szCs w:val="16"/>
                <w:color w:val="auto"/>
              </w:rPr>
            </w:pPr>
          </w:p>
        </w:tc>
        <w:tc>
          <w:tcPr>
            <w:tcW w:w="60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Michael J. Crosby</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971</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37,296</w:t>
            </w:r>
          </w:p>
        </w:tc>
        <w:tc>
          <w:tcPr>
            <w:tcW w:w="0" w:type="dxa"/>
            <w:vAlign w:val="bottom"/>
          </w:tcPr>
          <w:p>
            <w:pPr>
              <w:spacing w:after="0"/>
              <w:rPr>
                <w:sz w:val="1"/>
                <w:szCs w:val="1"/>
                <w:color w:val="auto"/>
              </w:rPr>
            </w:pPr>
          </w:p>
        </w:tc>
      </w:tr>
      <w:tr>
        <w:trPr>
          <w:trHeight w:val="206"/>
        </w:trPr>
        <w:tc>
          <w:tcPr>
            <w:tcW w:w="1720" w:type="dxa"/>
            <w:vAlign w:val="bottom"/>
          </w:tcPr>
          <w:p>
            <w:pPr>
              <w:spacing w:after="0"/>
              <w:rPr>
                <w:sz w:val="17"/>
                <w:szCs w:val="17"/>
                <w:color w:val="auto"/>
              </w:rPr>
            </w:pPr>
          </w:p>
        </w:tc>
        <w:tc>
          <w:tcPr>
            <w:tcW w:w="6040" w:type="dxa"/>
            <w:vAlign w:val="bottom"/>
            <w:gridSpan w:val="3"/>
            <w:shd w:val="clear" w:color="auto" w:fill="CCEEFF"/>
          </w:tcPr>
          <w:p>
            <w:pPr>
              <w:ind w:left="160"/>
              <w:spacing w:after="0"/>
              <w:rPr>
                <w:sz w:val="20"/>
                <w:szCs w:val="20"/>
                <w:color w:val="auto"/>
              </w:rPr>
            </w:pPr>
            <w:r>
              <w:rPr>
                <w:rFonts w:ascii="Arial" w:cs="Arial" w:eastAsia="Arial" w:hAnsi="Arial"/>
                <w:sz w:val="16"/>
                <w:szCs w:val="16"/>
                <w:i w:val="1"/>
                <w:iCs w:val="1"/>
                <w:color w:val="auto"/>
              </w:rPr>
              <w:t>Executive Vice President, Global Land</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1720" w:type="dxa"/>
            <w:vAlign w:val="bottom"/>
          </w:tcPr>
          <w:p>
            <w:pPr>
              <w:spacing w:after="0"/>
              <w:rPr>
                <w:sz w:val="16"/>
                <w:szCs w:val="16"/>
                <w:color w:val="auto"/>
              </w:rPr>
            </w:pPr>
          </w:p>
        </w:tc>
        <w:tc>
          <w:tcPr>
            <w:tcW w:w="6040" w:type="dxa"/>
            <w:vAlign w:val="bottom"/>
            <w:gridSpan w:val="3"/>
          </w:tcPr>
          <w:p>
            <w:pPr>
              <w:spacing w:after="0"/>
              <w:rPr>
                <w:sz w:val="20"/>
                <w:szCs w:val="20"/>
                <w:color w:val="auto"/>
              </w:rPr>
            </w:pPr>
            <w:r>
              <w:rPr>
                <w:rFonts w:ascii="Arial" w:cs="Arial" w:eastAsia="Arial" w:hAnsi="Arial"/>
                <w:sz w:val="16"/>
                <w:szCs w:val="16"/>
                <w:color w:val="auto"/>
              </w:rPr>
              <w:t>John P. Rau</w:t>
            </w: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8,682</w:t>
            </w: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333,476</w:t>
            </w:r>
          </w:p>
        </w:tc>
        <w:tc>
          <w:tcPr>
            <w:tcW w:w="0" w:type="dxa"/>
            <w:vAlign w:val="bottom"/>
          </w:tcPr>
          <w:p>
            <w:pPr>
              <w:spacing w:after="0"/>
              <w:rPr>
                <w:sz w:val="1"/>
                <w:szCs w:val="1"/>
                <w:color w:val="auto"/>
              </w:rPr>
            </w:pPr>
          </w:p>
        </w:tc>
      </w:tr>
      <w:tr>
        <w:trPr>
          <w:trHeight w:val="205"/>
        </w:trPr>
        <w:tc>
          <w:tcPr>
            <w:tcW w:w="1720" w:type="dxa"/>
            <w:vAlign w:val="bottom"/>
          </w:tcPr>
          <w:p>
            <w:pPr>
              <w:spacing w:after="0"/>
              <w:rPr>
                <w:sz w:val="17"/>
                <w:szCs w:val="17"/>
                <w:color w:val="auto"/>
              </w:rPr>
            </w:pPr>
          </w:p>
        </w:tc>
        <w:tc>
          <w:tcPr>
            <w:tcW w:w="6040" w:type="dxa"/>
            <w:vAlign w:val="bottom"/>
            <w:gridSpan w:val="3"/>
          </w:tcPr>
          <w:p>
            <w:pPr>
              <w:ind w:left="160"/>
              <w:spacing w:after="0"/>
              <w:rPr>
                <w:sz w:val="20"/>
                <w:szCs w:val="20"/>
                <w:color w:val="auto"/>
              </w:rPr>
            </w:pPr>
            <w:r>
              <w:rPr>
                <w:rFonts w:ascii="Arial" w:cs="Arial" w:eastAsia="Arial" w:hAnsi="Arial"/>
                <w:sz w:val="16"/>
                <w:szCs w:val="16"/>
                <w:i w:val="1"/>
                <w:iCs w:val="1"/>
                <w:color w:val="auto"/>
              </w:rPr>
              <w:t>Executive Vice President, Global Aviation and Marine</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0"/>
        </w:trPr>
        <w:tc>
          <w:tcPr>
            <w:tcW w:w="172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4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501" w:right="20" w:hanging="501"/>
        <w:spacing w:after="0" w:line="260" w:lineRule="auto"/>
        <w:tabs>
          <w:tab w:leader="none" w:pos="501"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amount shown in this column reflects the value realized upon vesting which is calculated by multiplying (a) the closing price of our common stock on the vesting date by (b) the number of shares of restricted stock or RSUs that vested. The value realized does not represent cash received by the NEO which may differ based on when the acquired shares are ultimately disposed of by the NEO.</w:t>
      </w:r>
    </w:p>
    <w:p>
      <w:pPr>
        <w:spacing w:after="0" w:line="1" w:lineRule="exact"/>
        <w:rPr>
          <w:sz w:val="20"/>
          <w:szCs w:val="20"/>
          <w:color w:val="auto"/>
        </w:rPr>
      </w:pPr>
    </w:p>
    <w:p>
      <w:pPr>
        <w:jc w:val="right"/>
        <w:spacing w:after="0"/>
        <w:tabs>
          <w:tab w:leader="none" w:pos="1960" w:val="left"/>
          <w:tab w:leader="none" w:pos="1720" w:val="left"/>
          <w:tab w:leader="none" w:pos="14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3"/>
          <w:szCs w:val="33"/>
          <w:b w:val="1"/>
          <w:bCs w:val="1"/>
          <w:color w:val="auto"/>
          <w:vertAlign w:val="subscript"/>
        </w:rPr>
        <w:t>|</w:t>
      </w:r>
      <w:r>
        <w:rPr>
          <w:sz w:val="20"/>
          <w:szCs w:val="20"/>
          <w:color w:val="auto"/>
        </w:rPr>
        <w:tab/>
      </w:r>
      <w:r>
        <w:rPr>
          <w:rFonts w:ascii="Arial" w:cs="Arial" w:eastAsia="Arial" w:hAnsi="Arial"/>
          <w:sz w:val="16"/>
          <w:szCs w:val="16"/>
          <w:color w:val="auto"/>
        </w:rPr>
        <w:t>2018 Proxy Statement</w:t>
      </w:r>
      <w:r>
        <w:rPr>
          <w:sz w:val="20"/>
          <w:szCs w:val="20"/>
          <w:color w:val="auto"/>
        </w:rPr>
        <w:tab/>
      </w: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7263130" cy="203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1"/>
          </w:cols>
          <w:pgMar w:left="239" w:top="131" w:right="239" w:bottom="1440" w:gutter="0" w:footer="0" w:header="0"/>
        </w:sectPr>
      </w:pPr>
    </w:p>
    <w:bookmarkStart w:id="58" w:name="page59"/>
    <w:bookmarkEnd w:id="58"/>
    <w:p>
      <w:pPr>
        <w:ind w:left="1"/>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7"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Non-Qualified Deferred Compensation</w:t>
      </w:r>
    </w:p>
    <w:p>
      <w:pPr>
        <w:spacing w:after="0" w:line="215" w:lineRule="exact"/>
        <w:rPr>
          <w:sz w:val="20"/>
          <w:szCs w:val="20"/>
          <w:color w:val="auto"/>
        </w:rPr>
      </w:pPr>
    </w:p>
    <w:p>
      <w:pPr>
        <w:ind w:left="561"/>
        <w:spacing w:after="0"/>
        <w:rPr>
          <w:sz w:val="20"/>
          <w:szCs w:val="20"/>
          <w:color w:val="auto"/>
        </w:rPr>
      </w:pPr>
      <w:r>
        <w:rPr>
          <w:rFonts w:ascii="Arial" w:cs="Arial" w:eastAsia="Arial" w:hAnsi="Arial"/>
          <w:sz w:val="16"/>
          <w:szCs w:val="16"/>
          <w:color w:val="auto"/>
        </w:rPr>
        <w:t>The following table sets forth non-qualified deferred compensation during the year ended December 31, 2017 for Mr. Kasbar.</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NON-QUALIFIED DEFERRED COMPENSATION</w:t>
      </w:r>
    </w:p>
    <w:p>
      <w:pPr>
        <w:spacing w:after="0" w:line="208" w:lineRule="exact"/>
        <w:rPr>
          <w:sz w:val="20"/>
          <w:szCs w:val="20"/>
          <w:color w:val="auto"/>
        </w:rPr>
      </w:pPr>
    </w:p>
    <w:tbl>
      <w:tblPr>
        <w:tblLayout w:type="fixed"/>
        <w:tblInd w:w="1141"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center"/>
              <w:spacing w:after="0"/>
              <w:rPr>
                <w:sz w:val="20"/>
                <w:szCs w:val="20"/>
                <w:color w:val="auto"/>
              </w:rPr>
            </w:pPr>
            <w:r>
              <w:rPr>
                <w:rFonts w:ascii="Arial" w:cs="Arial" w:eastAsia="Arial" w:hAnsi="Arial"/>
                <w:sz w:val="12"/>
                <w:szCs w:val="12"/>
                <w:b w:val="1"/>
                <w:bCs w:val="1"/>
                <w:color w:val="auto"/>
                <w:w w:val="92"/>
              </w:rPr>
              <w:t>Aggregate Earnings in</w:t>
            </w:r>
          </w:p>
        </w:tc>
        <w:tc>
          <w:tcPr>
            <w:tcW w:w="160" w:type="dxa"/>
            <w:vAlign w:val="bottom"/>
          </w:tcPr>
          <w:p>
            <w:pPr>
              <w:spacing w:after="0"/>
              <w:rPr>
                <w:sz w:val="12"/>
                <w:szCs w:val="12"/>
                <w:color w:val="auto"/>
              </w:rPr>
            </w:pPr>
          </w:p>
        </w:tc>
        <w:tc>
          <w:tcPr>
            <w:tcW w:w="1200" w:type="dxa"/>
            <w:vAlign w:val="bottom"/>
          </w:tcPr>
          <w:p>
            <w:pPr>
              <w:jc w:val="center"/>
              <w:spacing w:after="0"/>
              <w:rPr>
                <w:sz w:val="20"/>
                <w:szCs w:val="20"/>
                <w:color w:val="auto"/>
              </w:rPr>
            </w:pPr>
            <w:r>
              <w:rPr>
                <w:rFonts w:ascii="Arial" w:cs="Arial" w:eastAsia="Arial" w:hAnsi="Arial"/>
                <w:sz w:val="12"/>
                <w:szCs w:val="12"/>
                <w:b w:val="1"/>
                <w:bCs w:val="1"/>
                <w:color w:val="auto"/>
                <w:w w:val="91"/>
              </w:rPr>
              <w:t>Aggregate Balance at</w:t>
            </w:r>
          </w:p>
        </w:tc>
      </w:tr>
      <w:tr>
        <w:trPr>
          <w:trHeight w:val="149"/>
        </w:trPr>
        <w:tc>
          <w:tcPr>
            <w:tcW w:w="6360" w:type="dxa"/>
            <w:vAlign w:val="bottom"/>
            <w:gridSpan w:val="3"/>
          </w:tcPr>
          <w:p>
            <w:pPr>
              <w:spacing w:after="0"/>
              <w:rPr>
                <w:sz w:val="20"/>
                <w:szCs w:val="20"/>
                <w:color w:val="auto"/>
              </w:rPr>
            </w:pPr>
            <w:r>
              <w:rPr>
                <w:rFonts w:ascii="Arial" w:cs="Arial" w:eastAsia="Arial" w:hAnsi="Arial"/>
                <w:sz w:val="12"/>
                <w:szCs w:val="12"/>
                <w:b w:val="1"/>
                <w:bCs w:val="1"/>
                <w:color w:val="auto"/>
              </w:rPr>
              <w:t>Name</w:t>
            </w:r>
          </w:p>
        </w:tc>
        <w:tc>
          <w:tcPr>
            <w:tcW w:w="160" w:type="dxa"/>
            <w:vAlign w:val="bottom"/>
          </w:tcPr>
          <w:p>
            <w:pPr>
              <w:spacing w:after="0"/>
              <w:rPr>
                <w:sz w:val="12"/>
                <w:szCs w:val="12"/>
                <w:color w:val="auto"/>
              </w:rPr>
            </w:pPr>
          </w:p>
        </w:tc>
        <w:tc>
          <w:tcPr>
            <w:tcW w:w="1260" w:type="dxa"/>
            <w:vAlign w:val="bottom"/>
          </w:tcPr>
          <w:p>
            <w:pPr>
              <w:jc w:val="center"/>
              <w:spacing w:after="0"/>
              <w:rPr>
                <w:sz w:val="20"/>
                <w:szCs w:val="20"/>
                <w:color w:val="auto"/>
              </w:rPr>
            </w:pPr>
            <w:r>
              <w:rPr>
                <w:rFonts w:ascii="Arial" w:cs="Arial" w:eastAsia="Arial" w:hAnsi="Arial"/>
                <w:sz w:val="12"/>
                <w:szCs w:val="12"/>
                <w:b w:val="1"/>
                <w:bCs w:val="1"/>
                <w:color w:val="auto"/>
                <w:w w:val="94"/>
              </w:rPr>
              <w:t>Last Fiscal Year</w:t>
            </w:r>
          </w:p>
        </w:tc>
        <w:tc>
          <w:tcPr>
            <w:tcW w:w="160" w:type="dxa"/>
            <w:vAlign w:val="bottom"/>
          </w:tcPr>
          <w:p>
            <w:pPr>
              <w:spacing w:after="0"/>
              <w:rPr>
                <w:sz w:val="12"/>
                <w:szCs w:val="12"/>
                <w:color w:val="auto"/>
              </w:rPr>
            </w:pPr>
          </w:p>
        </w:tc>
        <w:tc>
          <w:tcPr>
            <w:tcW w:w="1200" w:type="dxa"/>
            <w:vAlign w:val="bottom"/>
          </w:tcPr>
          <w:p>
            <w:pPr>
              <w:jc w:val="center"/>
              <w:spacing w:after="0"/>
              <w:rPr>
                <w:sz w:val="20"/>
                <w:szCs w:val="20"/>
                <w:color w:val="auto"/>
              </w:rPr>
            </w:pPr>
            <w:r>
              <w:rPr>
                <w:rFonts w:ascii="Arial" w:cs="Arial" w:eastAsia="Arial" w:hAnsi="Arial"/>
                <w:sz w:val="12"/>
                <w:szCs w:val="12"/>
                <w:b w:val="1"/>
                <w:bCs w:val="1"/>
                <w:color w:val="auto"/>
                <w:w w:val="94"/>
              </w:rPr>
              <w:t>Last Fiscal Year-End</w:t>
            </w:r>
          </w:p>
        </w:tc>
      </w:tr>
      <w:tr>
        <w:trPr>
          <w:trHeight w:val="218"/>
        </w:trPr>
        <w:tc>
          <w:tcPr>
            <w:tcW w:w="20" w:type="dxa"/>
            <w:vAlign w:val="bottom"/>
          </w:tcPr>
          <w:p>
            <w:pPr>
              <w:spacing w:after="0"/>
              <w:rPr>
                <w:sz w:val="18"/>
                <w:szCs w:val="18"/>
                <w:color w:val="auto"/>
              </w:rPr>
            </w:pPr>
          </w:p>
        </w:tc>
        <w:tc>
          <w:tcPr>
            <w:tcW w:w="6340" w:type="dxa"/>
            <w:vAlign w:val="bottom"/>
            <w:tcBorders>
              <w:top w:val="single" w:sz="8" w:color="auto"/>
            </w:tcBorders>
            <w:gridSpan w:val="2"/>
            <w:shd w:val="clear" w:color="auto" w:fill="CCEEFF"/>
          </w:tcPr>
          <w:p>
            <w:pPr>
              <w:spacing w:after="0" w:line="217" w:lineRule="exact"/>
              <w:rPr>
                <w:sz w:val="20"/>
                <w:szCs w:val="20"/>
                <w:color w:val="auto"/>
              </w:rPr>
            </w:pPr>
            <w:r>
              <w:rPr>
                <w:rFonts w:ascii="Arial" w:cs="Arial" w:eastAsia="Arial" w:hAnsi="Arial"/>
                <w:sz w:val="16"/>
                <w:szCs w:val="16"/>
                <w:color w:val="auto"/>
              </w:rPr>
              <w:t>Michael J. Kasbar</w:t>
            </w:r>
            <w:r>
              <w:rPr>
                <w:rFonts w:ascii="Arial" w:cs="Arial" w:eastAsia="Arial" w:hAnsi="Arial"/>
                <w:sz w:val="25"/>
                <w:szCs w:val="25"/>
                <w:color w:val="auto"/>
                <w:vertAlign w:val="superscript"/>
              </w:rPr>
              <w:t>(1)</w:t>
            </w:r>
          </w:p>
        </w:tc>
        <w:tc>
          <w:tcPr>
            <w:tcW w:w="160" w:type="dxa"/>
            <w:vAlign w:val="bottom"/>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$8,027</w:t>
            </w:r>
          </w:p>
        </w:tc>
        <w:tc>
          <w:tcPr>
            <w:tcW w:w="160" w:type="dxa"/>
            <w:vAlign w:val="bottom"/>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$218,415</w:t>
            </w:r>
          </w:p>
        </w:tc>
      </w:tr>
      <w:tr>
        <w:trPr>
          <w:trHeight w:val="206"/>
        </w:trPr>
        <w:tc>
          <w:tcPr>
            <w:tcW w:w="20" w:type="dxa"/>
            <w:vAlign w:val="bottom"/>
          </w:tcPr>
          <w:p>
            <w:pPr>
              <w:spacing w:after="0"/>
              <w:rPr>
                <w:sz w:val="17"/>
                <w:szCs w:val="17"/>
                <w:color w:val="auto"/>
              </w:rPr>
            </w:pPr>
          </w:p>
        </w:tc>
        <w:tc>
          <w:tcPr>
            <w:tcW w:w="6340" w:type="dxa"/>
            <w:vAlign w:val="bottom"/>
            <w:gridSpan w:val="2"/>
            <w:shd w:val="clear" w:color="auto" w:fill="CCEEFF"/>
          </w:tcPr>
          <w:p>
            <w:pPr>
              <w:ind w:left="140"/>
              <w:spacing w:after="0"/>
              <w:rPr>
                <w:sz w:val="20"/>
                <w:szCs w:val="20"/>
                <w:color w:val="auto"/>
              </w:rPr>
            </w:pPr>
            <w:r>
              <w:rPr>
                <w:rFonts w:ascii="Arial" w:cs="Arial" w:eastAsia="Arial" w:hAnsi="Arial"/>
                <w:sz w:val="16"/>
                <w:szCs w:val="16"/>
                <w:i w:val="1"/>
                <w:iCs w:val="1"/>
                <w:color w:val="auto"/>
              </w:rPr>
              <w:t>Chairman, President and Chief Executive Officer</w:t>
            </w: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99"/>
        </w:trPr>
        <w:tc>
          <w:tcPr>
            <w:tcW w:w="20" w:type="dxa"/>
            <w:vAlign w:val="bottom"/>
          </w:tcPr>
          <w:p>
            <w:pPr>
              <w:spacing w:after="0"/>
              <w:rPr>
                <w:sz w:val="8"/>
                <w:szCs w:val="8"/>
                <w:color w:val="auto"/>
              </w:rPr>
            </w:pPr>
          </w:p>
        </w:tc>
        <w:tc>
          <w:tcPr>
            <w:tcW w:w="2680" w:type="dxa"/>
            <w:vAlign w:val="bottom"/>
            <w:tcBorders>
              <w:bottom w:val="single" w:sz="8" w:color="auto"/>
            </w:tcBorders>
          </w:tcPr>
          <w:p>
            <w:pPr>
              <w:spacing w:after="0"/>
              <w:rPr>
                <w:sz w:val="8"/>
                <w:szCs w:val="8"/>
                <w:color w:val="auto"/>
              </w:rPr>
            </w:pPr>
          </w:p>
        </w:tc>
        <w:tc>
          <w:tcPr>
            <w:tcW w:w="3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tcPr>
          <w:p>
            <w:pPr>
              <w:spacing w:after="0"/>
              <w:rPr>
                <w:sz w:val="8"/>
                <w:szCs w:val="8"/>
                <w:color w:val="auto"/>
              </w:rPr>
            </w:pPr>
          </w:p>
        </w:tc>
      </w:tr>
    </w:tbl>
    <w:p>
      <w:pPr>
        <w:spacing w:after="0" w:line="201" w:lineRule="exact"/>
        <w:rPr>
          <w:sz w:val="20"/>
          <w:szCs w:val="20"/>
          <w:color w:val="auto"/>
        </w:rPr>
      </w:pPr>
    </w:p>
    <w:p>
      <w:pPr>
        <w:ind w:left="1641" w:right="60" w:hanging="498"/>
        <w:spacing w:after="0" w:line="283" w:lineRule="auto"/>
        <w:tabs>
          <w:tab w:leader="none" w:pos="1641" w:val="left"/>
        </w:tabs>
        <w:numPr>
          <w:ilvl w:val="0"/>
          <w:numId w:val="60"/>
        </w:numPr>
        <w:rPr>
          <w:rFonts w:ascii="Arial" w:cs="Arial" w:eastAsia="Arial" w:hAnsi="Arial"/>
          <w:sz w:val="15"/>
          <w:szCs w:val="15"/>
          <w:color w:val="auto"/>
        </w:rPr>
      </w:pPr>
      <w:r>
        <w:rPr>
          <w:rFonts w:ascii="Arial" w:cs="Arial" w:eastAsia="Arial" w:hAnsi="Arial"/>
          <w:sz w:val="15"/>
          <w:szCs w:val="15"/>
          <w:color w:val="auto"/>
        </w:rPr>
        <w:t>Mr. Kasbar's prior employment agreement provided that any bonuses payable to him that would not be deductible under Section 162(m) for the year earned would be deferred until a fiscal year in which it would be deductible (or until the year in which Mr. Kasbar's employment terminates or the employment agreement expires), and that any amount so deferred would be credited with interest at the prime rate as published in the Wall Street Journal. A portion of the bonus earned by Mr. Kasbar for the 2002 fiscal year, equal to $109,375, was deferred pursuant to that provision of his employment agreement and remains unpaid. Because the aggregate earnings in the last fiscal year did not constitute "above market earnings" within the meaning of the applicable SEC rules, this amount is not reflected in the Summary Compensation Table.</w:t>
      </w:r>
    </w:p>
    <w:p>
      <w:pPr>
        <w:spacing w:after="0" w:line="157"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Potential Payments upon Termination of Employment or Change of Control</w:t>
      </w:r>
    </w:p>
    <w:p>
      <w:pPr>
        <w:spacing w:after="0" w:line="215" w:lineRule="exact"/>
        <w:rPr>
          <w:sz w:val="20"/>
          <w:szCs w:val="20"/>
          <w:color w:val="auto"/>
        </w:rPr>
      </w:pPr>
    </w:p>
    <w:p>
      <w:pPr>
        <w:ind w:left="1" w:right="80" w:firstLine="561"/>
        <w:spacing w:after="0" w:line="261" w:lineRule="auto"/>
        <w:rPr>
          <w:sz w:val="20"/>
          <w:szCs w:val="20"/>
          <w:color w:val="auto"/>
        </w:rPr>
      </w:pPr>
      <w:r>
        <w:rPr>
          <w:rFonts w:ascii="Arial" w:cs="Arial" w:eastAsia="Arial" w:hAnsi="Arial"/>
          <w:sz w:val="16"/>
          <w:szCs w:val="16"/>
          <w:color w:val="auto"/>
        </w:rPr>
        <w:t>Our employment agreement with Mr. Kasbar (the "Kasbar Agreement") and executive severance agreement with Mr. Birns (the "Birns Agreement") each provides for the payment of certain compensation and benefits in the event of the termination of the executive's employment, the amount of which varies depending upon the reason for such termination. In lieu of entering into separate executive severance agreements with each of Messrs. Crosby and Rau in connection with their promotions to executive officers, our Board adopted an Executive Severance Policy ("ESP") applicable to Messrs. Crosby and Rau and other executives that the Committee may subsequently designate as participating executives. Upon his appointment as our Executive Vice President and Chief Operating Officer in October 2017, Mr. Smith was designated a participating executive. The ESP provides for the payment of certain severance payments and benefits in the event of a termination of such executives' employment in certain specified circumstances.</w:t>
      </w:r>
    </w:p>
    <w:p>
      <w:pPr>
        <w:spacing w:after="0" w:line="178" w:lineRule="exact"/>
        <w:rPr>
          <w:sz w:val="20"/>
          <w:szCs w:val="20"/>
          <w:color w:val="auto"/>
        </w:rPr>
      </w:pPr>
    </w:p>
    <w:p>
      <w:pPr>
        <w:ind w:left="561"/>
        <w:spacing w:after="0"/>
        <w:rPr>
          <w:sz w:val="20"/>
          <w:szCs w:val="20"/>
          <w:color w:val="auto"/>
        </w:rPr>
      </w:pPr>
      <w:r>
        <w:rPr>
          <w:rFonts w:ascii="Arial" w:cs="Arial" w:eastAsia="Arial" w:hAnsi="Arial"/>
          <w:sz w:val="15"/>
          <w:szCs w:val="15"/>
          <w:color w:val="auto"/>
        </w:rPr>
        <w:t>Each of the Kasbar Agreement, the Birns Agreement and the ESP provides for certain benefits (1) if the NEO's employment is terminated due to Death or Disability,</w:t>
      </w:r>
    </w:p>
    <w:p>
      <w:pPr>
        <w:spacing w:after="0" w:line="32" w:lineRule="exact"/>
        <w:rPr>
          <w:sz w:val="20"/>
          <w:szCs w:val="20"/>
          <w:color w:val="auto"/>
        </w:rPr>
      </w:pPr>
    </w:p>
    <w:p>
      <w:pPr>
        <w:ind w:left="1" w:right="60" w:hanging="1"/>
        <w:spacing w:after="0" w:line="286" w:lineRule="auto"/>
        <w:tabs>
          <w:tab w:leader="none" w:pos="228" w:val="left"/>
        </w:tabs>
        <w:numPr>
          <w:ilvl w:val="0"/>
          <w:numId w:val="61"/>
        </w:numPr>
        <w:rPr>
          <w:rFonts w:ascii="Arial" w:cs="Arial" w:eastAsia="Arial" w:hAnsi="Arial"/>
          <w:sz w:val="15"/>
          <w:szCs w:val="15"/>
          <w:color w:val="auto"/>
        </w:rPr>
      </w:pPr>
      <w:r>
        <w:rPr>
          <w:rFonts w:ascii="Arial" w:cs="Arial" w:eastAsia="Arial" w:hAnsi="Arial"/>
          <w:sz w:val="15"/>
          <w:szCs w:val="15"/>
          <w:color w:val="auto"/>
        </w:rPr>
        <w:t>if the NEO's employment is terminated by the Company without "Cause" (as that term is defined in the relevant agreement or arrangement) or (3) if the NEO terminates his employment with "Good Reason" (as that term is defined in the relevant agreement or arrangement, which for Messrs. Crosby, Rau and Smith is within two (2) years after a Change of Control has occurred). If the employment of any of the NEOs is terminated without Cause or for Good Reason within two (2) years after a Change of Control then the severance benefits are slightly higher. The actual amounts of such payments are set forth in the table below the relevant definitions.</w:t>
      </w:r>
    </w:p>
    <w:p>
      <w:pPr>
        <w:spacing w:after="0" w:line="157" w:lineRule="exact"/>
        <w:rPr>
          <w:sz w:val="20"/>
          <w:szCs w:val="20"/>
          <w:color w:val="auto"/>
        </w:rPr>
      </w:pPr>
    </w:p>
    <w:p>
      <w:pPr>
        <w:ind w:left="1"/>
        <w:spacing w:after="0"/>
        <w:rPr>
          <w:sz w:val="20"/>
          <w:szCs w:val="20"/>
          <w:color w:val="auto"/>
        </w:rPr>
      </w:pPr>
      <w:r>
        <w:rPr>
          <w:rFonts w:ascii="Arial" w:cs="Arial" w:eastAsia="Arial" w:hAnsi="Arial"/>
          <w:sz w:val="16"/>
          <w:szCs w:val="16"/>
          <w:i w:val="1"/>
          <w:iCs w:val="1"/>
          <w:color w:val="auto"/>
        </w:rPr>
        <w:t>Termination Without Cause</w:t>
      </w:r>
    </w:p>
    <w:p>
      <w:pPr>
        <w:spacing w:after="0" w:line="211" w:lineRule="exact"/>
        <w:rPr>
          <w:sz w:val="20"/>
          <w:szCs w:val="20"/>
          <w:color w:val="auto"/>
        </w:rPr>
      </w:pPr>
    </w:p>
    <w:p>
      <w:pPr>
        <w:ind w:left="1" w:right="40" w:firstLine="561"/>
        <w:spacing w:after="0" w:line="278" w:lineRule="auto"/>
        <w:rPr>
          <w:sz w:val="20"/>
          <w:szCs w:val="20"/>
          <w:color w:val="auto"/>
        </w:rPr>
      </w:pPr>
      <w:r>
        <w:rPr>
          <w:rFonts w:ascii="Arial" w:cs="Arial" w:eastAsia="Arial" w:hAnsi="Arial"/>
          <w:sz w:val="15"/>
          <w:szCs w:val="15"/>
          <w:u w:val="single" w:color="auto"/>
          <w:color w:val="auto"/>
        </w:rPr>
        <w:t>Kasbar Agreement</w:t>
      </w:r>
      <w:r>
        <w:rPr>
          <w:rFonts w:ascii="Arial" w:cs="Arial" w:eastAsia="Arial" w:hAnsi="Arial"/>
          <w:sz w:val="15"/>
          <w:szCs w:val="15"/>
          <w:color w:val="auto"/>
        </w:rPr>
        <w:t>—Under the Kasbar Agreement, "</w:t>
      </w:r>
      <w:r>
        <w:rPr>
          <w:rFonts w:ascii="Arial" w:cs="Arial" w:eastAsia="Arial" w:hAnsi="Arial"/>
          <w:sz w:val="15"/>
          <w:szCs w:val="15"/>
          <w:i w:val="1"/>
          <w:iCs w:val="1"/>
          <w:color w:val="auto"/>
        </w:rPr>
        <w:t>cause</w:t>
      </w:r>
      <w:r>
        <w:rPr>
          <w:rFonts w:ascii="Arial" w:cs="Arial" w:eastAsia="Arial" w:hAnsi="Arial"/>
          <w:sz w:val="15"/>
          <w:szCs w:val="15"/>
          <w:color w:val="auto"/>
        </w:rPr>
        <w:t>" means (i) any act of fraud, misappropriation, embezzlement or material dishonesty by Mr. Kasbar, which results in his personal enrichment at our expense; (ii) willful misconduct that results in material economic harm to us; (iii) a felony conviction or conviction for a crime involving moral turpitude; (iv) the willful and continued material failure of Mr. Kasbar to perform his duties under the Kasbar Agreement; (v) a willful and</w:t>
      </w:r>
    </w:p>
    <w:p>
      <w:pPr>
        <w:jc w:val="right"/>
        <w:spacing w:after="0"/>
        <w:tabs>
          <w:tab w:leader="none" w:pos="1960" w:val="left"/>
          <w:tab w:leader="none" w:pos="1720" w:val="left"/>
          <w:tab w:leader="none" w:pos="14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3"/>
          <w:szCs w:val="33"/>
          <w:b w:val="1"/>
          <w:bCs w:val="1"/>
          <w:color w:val="auto"/>
          <w:vertAlign w:val="subscript"/>
        </w:rPr>
        <w:t>|</w:t>
      </w:r>
      <w:r>
        <w:rPr>
          <w:sz w:val="20"/>
          <w:szCs w:val="20"/>
          <w:color w:val="auto"/>
        </w:rPr>
        <w:tab/>
      </w:r>
      <w:r>
        <w:rPr>
          <w:rFonts w:ascii="Arial" w:cs="Arial" w:eastAsia="Arial" w:hAnsi="Arial"/>
          <w:sz w:val="16"/>
          <w:szCs w:val="16"/>
          <w:color w:val="auto"/>
        </w:rPr>
        <w:t>2018 Proxy Statement</w:t>
      </w:r>
      <w:r>
        <w:rPr>
          <w:sz w:val="20"/>
          <w:szCs w:val="20"/>
          <w:color w:val="auto"/>
        </w:rPr>
        <w:tab/>
      </w: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7263130" cy="203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1"/>
          </w:cols>
          <w:pgMar w:left="239" w:top="131" w:right="239" w:bottom="1440" w:gutter="0" w:footer="0" w:header="0"/>
        </w:sectPr>
      </w:pPr>
    </w:p>
    <w:bookmarkStart w:id="59" w:name="page60"/>
    <w:bookmarkEnd w:id="59"/>
    <w:p>
      <w:pPr>
        <w:ind w:left="1"/>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ind w:left="1"/>
        <w:spacing w:after="0"/>
        <w:rPr>
          <w:sz w:val="20"/>
          <w:szCs w:val="20"/>
          <w:color w:val="auto"/>
        </w:rPr>
      </w:pPr>
      <w:r>
        <w:rPr>
          <w:rFonts w:ascii="Arial" w:cs="Arial" w:eastAsia="Arial" w:hAnsi="Arial"/>
          <w:sz w:val="14"/>
          <w:szCs w:val="14"/>
          <w:color w:val="auto"/>
        </w:rPr>
        <w:t>material breach by Mr. Kasbar of his non-compete, non-solicitation, non-disparagement or cooperation obligations under the Kasbar Agreement (and in the case of (i) through</w:t>
      </w:r>
    </w:p>
    <w:p>
      <w:pPr>
        <w:spacing w:after="0" w:line="44" w:lineRule="exact"/>
        <w:rPr>
          <w:sz w:val="20"/>
          <w:szCs w:val="20"/>
          <w:color w:val="auto"/>
        </w:rPr>
      </w:pPr>
    </w:p>
    <w:p>
      <w:pPr>
        <w:ind w:left="1" w:right="520" w:hanging="1"/>
        <w:spacing w:after="0" w:line="274" w:lineRule="auto"/>
        <w:tabs>
          <w:tab w:leader="none" w:pos="228"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failure to cure such breach) or (vi) a material breach by Mr. Kasbar of our Code of Conduct, Securities Trading Policy or any other related corporate and personnel policies generally applicable to our executives or employees.</w:t>
      </w:r>
    </w:p>
    <w:p>
      <w:pPr>
        <w:spacing w:after="0" w:line="164" w:lineRule="exact"/>
        <w:rPr>
          <w:sz w:val="20"/>
          <w:szCs w:val="20"/>
          <w:color w:val="auto"/>
        </w:rPr>
      </w:pPr>
    </w:p>
    <w:p>
      <w:pPr>
        <w:ind w:left="1" w:right="20" w:firstLine="561"/>
        <w:spacing w:after="0" w:line="283" w:lineRule="auto"/>
        <w:rPr>
          <w:sz w:val="20"/>
          <w:szCs w:val="20"/>
          <w:color w:val="auto"/>
        </w:rPr>
      </w:pPr>
      <w:r>
        <w:rPr>
          <w:rFonts w:ascii="Arial" w:cs="Arial" w:eastAsia="Arial" w:hAnsi="Arial"/>
          <w:sz w:val="15"/>
          <w:szCs w:val="15"/>
          <w:u w:val="single" w:color="auto"/>
          <w:color w:val="auto"/>
        </w:rPr>
        <w:t>Birns Agreement</w:t>
      </w:r>
      <w:r>
        <w:rPr>
          <w:rFonts w:ascii="Arial" w:cs="Arial" w:eastAsia="Arial" w:hAnsi="Arial"/>
          <w:sz w:val="15"/>
          <w:szCs w:val="15"/>
          <w:color w:val="auto"/>
        </w:rPr>
        <w:t>—Under the Birns Agreement, "</w:t>
      </w:r>
      <w:r>
        <w:rPr>
          <w:rFonts w:ascii="Arial" w:cs="Arial" w:eastAsia="Arial" w:hAnsi="Arial"/>
          <w:sz w:val="15"/>
          <w:szCs w:val="15"/>
          <w:i w:val="1"/>
          <w:iCs w:val="1"/>
          <w:color w:val="auto"/>
        </w:rPr>
        <w:t>cause</w:t>
      </w:r>
      <w:r>
        <w:rPr>
          <w:rFonts w:ascii="Arial" w:cs="Arial" w:eastAsia="Arial" w:hAnsi="Arial"/>
          <w:sz w:val="15"/>
          <w:szCs w:val="15"/>
          <w:color w:val="auto"/>
        </w:rPr>
        <w:t>" means (i) the willful, material failure by Mr. Birns to perform the duties consistent with his position or to comply with the obligations of the Birns Agreement, or his willful, material failure to carry out the reasonable and lawful directions of our CEO, President or Board and not curing such failure; (ii) any willful and material breach of our Code of Conduct or any other policy; (iii) Mr. Birns' gross negligence or willful misconduct which is harmful to us, monetarily or otherwise, including but not limited to fraud, misappropriation or embezzlement; (iv) use of alcohol, drugs or other similar substances during work hours, other than at a Company sanctioned event, or at any time in a manner that adversely affects his work performance; (v) being charged with a criminal offense that is a felony or misdemeanor involving moral turpitude; or (vi) a material breach of the Birns Agreement that cannot be cured.</w:t>
      </w:r>
    </w:p>
    <w:p>
      <w:pPr>
        <w:spacing w:after="0" w:line="161" w:lineRule="exact"/>
        <w:rPr>
          <w:sz w:val="20"/>
          <w:szCs w:val="20"/>
          <w:color w:val="auto"/>
        </w:rPr>
      </w:pPr>
    </w:p>
    <w:p>
      <w:pPr>
        <w:ind w:left="1" w:firstLine="561"/>
        <w:spacing w:after="0" w:line="303" w:lineRule="auto"/>
        <w:rPr>
          <w:sz w:val="20"/>
          <w:szCs w:val="20"/>
          <w:color w:val="auto"/>
        </w:rPr>
      </w:pPr>
      <w:r>
        <w:rPr>
          <w:rFonts w:ascii="Arial" w:cs="Arial" w:eastAsia="Arial" w:hAnsi="Arial"/>
          <w:sz w:val="14"/>
          <w:szCs w:val="14"/>
          <w:u w:val="single" w:color="auto"/>
          <w:color w:val="auto"/>
        </w:rPr>
        <w:t>ESP</w:t>
      </w:r>
      <w:r>
        <w:rPr>
          <w:rFonts w:ascii="Arial" w:cs="Arial" w:eastAsia="Arial" w:hAnsi="Arial"/>
          <w:sz w:val="14"/>
          <w:szCs w:val="14"/>
          <w:color w:val="auto"/>
        </w:rPr>
        <w:t>—Under the ESP, "</w:t>
      </w:r>
      <w:r>
        <w:rPr>
          <w:rFonts w:ascii="Arial" w:cs="Arial" w:eastAsia="Arial" w:hAnsi="Arial"/>
          <w:sz w:val="14"/>
          <w:szCs w:val="14"/>
          <w:i w:val="1"/>
          <w:iCs w:val="1"/>
          <w:color w:val="auto"/>
        </w:rPr>
        <w:t>cause</w:t>
      </w:r>
      <w:r>
        <w:rPr>
          <w:rFonts w:ascii="Arial" w:cs="Arial" w:eastAsia="Arial" w:hAnsi="Arial"/>
          <w:sz w:val="14"/>
          <w:szCs w:val="14"/>
          <w:color w:val="auto"/>
        </w:rPr>
        <w:t>" means (i) the failure by the executive to perform, in a reasonable manner, his or her duties as assigned by the Company or any subsidiary (or any successor company); (ii) any violation or breach by the executive of his or her employment agreement, consulting or other similar agreement with the Company or any subsidiary (or successor company), if any; (iii) any actual or threatened violation or breach by the executive of any non-competition, non-solicitation, non-disclosure and/or other similar agreement with the Company or any subsidiary (or successor company); (iv) any violation or breach by the executive of any Company policy; (v) any act by the executive of dishonesty or fraud that injures the reputation or business of, or causes harm to, the Company or any subsidiary (or successor company); (vi) the conviction of, or entry of a plea of guilty or nolo contendere to, a felony or a crime involving moral turpitude; or (vii) the executive's impeding of, interfering with, or failing to reasonably cooperate with an investigation authorized by the Company or any subsidiary or affiliate. In the event of a change of control, upon and during the two years following such change of control, clauses (i)-(v) above will be deemed to have the term "materiality" inserted as a qualifier to each instance of violation, breach or other misconduct by the executive.</w:t>
      </w:r>
    </w:p>
    <w:p>
      <w:pPr>
        <w:spacing w:after="0" w:line="150" w:lineRule="exact"/>
        <w:rPr>
          <w:sz w:val="20"/>
          <w:szCs w:val="20"/>
          <w:color w:val="auto"/>
        </w:rPr>
      </w:pPr>
    </w:p>
    <w:p>
      <w:pPr>
        <w:ind w:left="1" w:right="80" w:firstLine="561"/>
        <w:spacing w:after="0" w:line="270" w:lineRule="auto"/>
        <w:rPr>
          <w:sz w:val="20"/>
          <w:szCs w:val="20"/>
          <w:color w:val="auto"/>
        </w:rPr>
      </w:pPr>
      <w:r>
        <w:rPr>
          <w:rFonts w:ascii="Arial" w:cs="Arial" w:eastAsia="Arial" w:hAnsi="Arial"/>
          <w:sz w:val="16"/>
          <w:szCs w:val="16"/>
          <w:color w:val="auto"/>
        </w:rPr>
        <w:t>None of the agreements or arrangements provide for any payment of severance or other benefits in the case of a Termination With Cause, although our Deferred Compensation Plan requires repayment of prior earnings that have been deferred irrespective of the basis for employment being terminated and our paid-time-off policy in effect during 2017 provided that all employees are entitled to their accrued but unused vacation upon termination.</w:t>
      </w:r>
    </w:p>
    <w:p>
      <w:pPr>
        <w:spacing w:after="0" w:line="168" w:lineRule="exact"/>
        <w:rPr>
          <w:sz w:val="20"/>
          <w:szCs w:val="20"/>
          <w:color w:val="auto"/>
        </w:rPr>
      </w:pPr>
    </w:p>
    <w:p>
      <w:pPr>
        <w:ind w:left="1"/>
        <w:spacing w:after="0"/>
        <w:rPr>
          <w:sz w:val="20"/>
          <w:szCs w:val="20"/>
          <w:color w:val="auto"/>
        </w:rPr>
      </w:pPr>
      <w:r>
        <w:rPr>
          <w:rFonts w:ascii="Arial" w:cs="Arial" w:eastAsia="Arial" w:hAnsi="Arial"/>
          <w:sz w:val="16"/>
          <w:szCs w:val="16"/>
          <w:i w:val="1"/>
          <w:iCs w:val="1"/>
          <w:color w:val="auto"/>
        </w:rPr>
        <w:t>Termination For Good Reason</w:t>
      </w:r>
    </w:p>
    <w:p>
      <w:pPr>
        <w:spacing w:after="0" w:line="211" w:lineRule="exact"/>
        <w:rPr>
          <w:sz w:val="20"/>
          <w:szCs w:val="20"/>
          <w:color w:val="auto"/>
        </w:rPr>
      </w:pPr>
    </w:p>
    <w:p>
      <w:pPr>
        <w:ind w:left="1" w:right="40" w:firstLine="561"/>
        <w:spacing w:after="0" w:line="275" w:lineRule="auto"/>
        <w:rPr>
          <w:sz w:val="20"/>
          <w:szCs w:val="20"/>
          <w:color w:val="auto"/>
        </w:rPr>
      </w:pPr>
      <w:r>
        <w:rPr>
          <w:rFonts w:ascii="Arial" w:cs="Arial" w:eastAsia="Arial" w:hAnsi="Arial"/>
          <w:sz w:val="15"/>
          <w:szCs w:val="15"/>
          <w:u w:val="single" w:color="auto"/>
          <w:color w:val="auto"/>
        </w:rPr>
        <w:t>Kasbar Agreement</w:t>
      </w:r>
      <w:r>
        <w:rPr>
          <w:rFonts w:ascii="Arial" w:cs="Arial" w:eastAsia="Arial" w:hAnsi="Arial"/>
          <w:sz w:val="15"/>
          <w:szCs w:val="15"/>
          <w:color w:val="auto"/>
        </w:rPr>
        <w:t>—Under the Kasbar Agreement, "</w:t>
      </w:r>
      <w:r>
        <w:rPr>
          <w:rFonts w:ascii="Arial" w:cs="Arial" w:eastAsia="Arial" w:hAnsi="Arial"/>
          <w:sz w:val="15"/>
          <w:szCs w:val="15"/>
          <w:i w:val="1"/>
          <w:iCs w:val="1"/>
          <w:color w:val="auto"/>
        </w:rPr>
        <w:t>good reason</w:t>
      </w:r>
      <w:r>
        <w:rPr>
          <w:rFonts w:ascii="Arial" w:cs="Arial" w:eastAsia="Arial" w:hAnsi="Arial"/>
          <w:sz w:val="15"/>
          <w:szCs w:val="15"/>
          <w:color w:val="auto"/>
        </w:rPr>
        <w:t>" means (i) any reduction in the annual base salary of Mr. Kasbar to a level that is less than 85% of Mr. Kasbar's base salary for the immediately preceding year or our failure to pay or provide any material compensation or benefit other than an insubstantial and inadvertent reduction that is remedied by us; (ii) following a change of control, our failure to provide Mr. Kasbar his total annual cash compensation, including bonus, total aggregate value of perquisites, total aggregate value of benefits or total aggregate value of long-term compensation equal to or higher than the highest level received by Mr. Kasbar in the preceding 6 months or 1 year, in certain cases, other than an insubstantial and inadvertent failure that is remedied by us; (iii) if we require Mr. Kasbar to be based at a location outside of Miami-Dade County, Florida; (iv) our failure to obtain any successor's agreement to perform and assume the Kasbar Agreement; (v) without the express prior written consent of Mr. Kasbar, assigning Mr. Kasbar any duties that are materially inconsistent with his current position (including titles and reporting relationships) or making any other material adverse change in his position, authority, responsibilities or</w:t>
      </w:r>
    </w:p>
    <w:p>
      <w:pPr>
        <w:spacing w:after="0" w:line="5" w:lineRule="exact"/>
        <w:rPr>
          <w:sz w:val="20"/>
          <w:szCs w:val="20"/>
          <w:color w:val="auto"/>
        </w:rPr>
      </w:pPr>
    </w:p>
    <w:p>
      <w:pPr>
        <w:jc w:val="right"/>
        <w:spacing w:after="0"/>
        <w:tabs>
          <w:tab w:leader="none" w:pos="1960" w:val="left"/>
          <w:tab w:leader="none" w:pos="1720" w:val="left"/>
          <w:tab w:leader="none" w:pos="14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3"/>
          <w:szCs w:val="33"/>
          <w:b w:val="1"/>
          <w:bCs w:val="1"/>
          <w:color w:val="auto"/>
          <w:vertAlign w:val="subscript"/>
        </w:rPr>
        <w:t>|</w:t>
      </w:r>
      <w:r>
        <w:rPr>
          <w:sz w:val="20"/>
          <w:szCs w:val="20"/>
          <w:color w:val="auto"/>
        </w:rPr>
        <w:tab/>
      </w:r>
      <w:r>
        <w:rPr>
          <w:rFonts w:ascii="Arial" w:cs="Arial" w:eastAsia="Arial" w:hAnsi="Arial"/>
          <w:sz w:val="16"/>
          <w:szCs w:val="16"/>
          <w:color w:val="auto"/>
        </w:rPr>
        <w:t>2018 Proxy Statement</w:t>
      </w:r>
      <w:r>
        <w:rPr>
          <w:sz w:val="20"/>
          <w:szCs w:val="20"/>
          <w:color w:val="auto"/>
        </w:rPr>
        <w:tab/>
      </w: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7263130" cy="203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1"/>
          </w:cols>
          <w:pgMar w:left="239" w:top="131" w:right="239" w:bottom="1440" w:gutter="0" w:footer="0" w:header="0"/>
        </w:sectPr>
      </w:pPr>
    </w:p>
    <w:bookmarkStart w:id="60" w:name="page61"/>
    <w:bookmarkEnd w:id="60"/>
    <w:p>
      <w:pPr>
        <w:ind w:left="1"/>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ind w:left="1"/>
        <w:spacing w:after="0"/>
        <w:rPr>
          <w:sz w:val="20"/>
          <w:szCs w:val="20"/>
          <w:color w:val="auto"/>
        </w:rPr>
      </w:pPr>
      <w:r>
        <w:rPr>
          <w:rFonts w:ascii="Arial" w:cs="Arial" w:eastAsia="Arial" w:hAnsi="Arial"/>
          <w:sz w:val="16"/>
          <w:szCs w:val="16"/>
          <w:color w:val="auto"/>
        </w:rPr>
        <w:t>status; and (vi) a voluntary termination by Mr. Kasbar for any reason within 30 days following the first anniversary of a change of control.</w:t>
      </w:r>
    </w:p>
    <w:p>
      <w:pPr>
        <w:spacing w:after="0" w:line="211" w:lineRule="exact"/>
        <w:rPr>
          <w:sz w:val="20"/>
          <w:szCs w:val="20"/>
          <w:color w:val="auto"/>
        </w:rPr>
      </w:pPr>
    </w:p>
    <w:p>
      <w:pPr>
        <w:ind w:left="1" w:right="40" w:firstLine="561"/>
        <w:spacing w:after="0" w:line="307" w:lineRule="auto"/>
        <w:rPr>
          <w:sz w:val="20"/>
          <w:szCs w:val="20"/>
          <w:color w:val="auto"/>
        </w:rPr>
      </w:pPr>
      <w:r>
        <w:rPr>
          <w:rFonts w:ascii="Arial" w:cs="Arial" w:eastAsia="Arial" w:hAnsi="Arial"/>
          <w:sz w:val="14"/>
          <w:szCs w:val="14"/>
          <w:u w:val="single" w:color="auto"/>
          <w:color w:val="auto"/>
        </w:rPr>
        <w:t>Birns Agreement</w:t>
      </w:r>
      <w:r>
        <w:rPr>
          <w:rFonts w:ascii="Arial" w:cs="Arial" w:eastAsia="Arial" w:hAnsi="Arial"/>
          <w:sz w:val="14"/>
          <w:szCs w:val="14"/>
          <w:color w:val="auto"/>
        </w:rPr>
        <w:t>—The definition of good reason in the Birns Agreement means the occurrence of any of the following (i) the assignment to the executive of any duties materially inconsistent with his position, authority, duties or responsibility or any other action by us that results in a material diminution in his position, authority, duties or responsibilities, excluding any action not taken by us in bad faith that is remedied; (ii) any reduction in, or failure to pay the executive's base salary other than a reduction or failure remedied by us; (iii) within two years after the occurrence of a change of control, any failure by us to provide the executive his bonus and equity opportunities, or employee benefits and perquisites in the aggregate, that are not less than those provided to the executive in the calendar year immediately preceding the change of control, other than a failure not occurring in bad faith that is remedied by us; or (iv) if we require the executive to be based at any office or location outside of Miami-Dade or Broward County.</w:t>
      </w:r>
    </w:p>
    <w:p>
      <w:pPr>
        <w:spacing w:after="0" w:line="145" w:lineRule="exact"/>
        <w:rPr>
          <w:sz w:val="20"/>
          <w:szCs w:val="20"/>
          <w:color w:val="auto"/>
        </w:rPr>
      </w:pPr>
    </w:p>
    <w:p>
      <w:pPr>
        <w:ind w:left="1" w:right="60" w:firstLine="561"/>
        <w:spacing w:after="0" w:line="280" w:lineRule="auto"/>
        <w:rPr>
          <w:sz w:val="20"/>
          <w:szCs w:val="20"/>
          <w:color w:val="auto"/>
        </w:rPr>
      </w:pPr>
      <w:r>
        <w:rPr>
          <w:rFonts w:ascii="Arial" w:cs="Arial" w:eastAsia="Arial" w:hAnsi="Arial"/>
          <w:sz w:val="15"/>
          <w:szCs w:val="15"/>
          <w:u w:val="single" w:color="auto"/>
          <w:color w:val="auto"/>
        </w:rPr>
        <w:t>ESP</w:t>
      </w:r>
      <w:r>
        <w:rPr>
          <w:rFonts w:ascii="Arial" w:cs="Arial" w:eastAsia="Arial" w:hAnsi="Arial"/>
          <w:sz w:val="15"/>
          <w:szCs w:val="15"/>
          <w:color w:val="auto"/>
        </w:rPr>
        <w:t>—The definition of "good reason" under the ESP is substantially the same as the definition included in the Birns Agreement, except that the events have to have occurred within two years after a "</w:t>
      </w:r>
      <w:r>
        <w:rPr>
          <w:rFonts w:ascii="Arial" w:cs="Arial" w:eastAsia="Arial" w:hAnsi="Arial"/>
          <w:sz w:val="15"/>
          <w:szCs w:val="15"/>
          <w:i w:val="1"/>
          <w:iCs w:val="1"/>
          <w:color w:val="auto"/>
        </w:rPr>
        <w:t>Change of Control</w:t>
      </w:r>
      <w:r>
        <w:rPr>
          <w:rFonts w:ascii="Arial" w:cs="Arial" w:eastAsia="Arial" w:hAnsi="Arial"/>
          <w:sz w:val="15"/>
          <w:szCs w:val="15"/>
          <w:color w:val="auto"/>
        </w:rPr>
        <w:t>" (as defined in the ESP). Specifically, an executive will have the ability to terminate his employment with "</w:t>
      </w:r>
      <w:r>
        <w:rPr>
          <w:rFonts w:ascii="Arial" w:cs="Arial" w:eastAsia="Arial" w:hAnsi="Arial"/>
          <w:sz w:val="15"/>
          <w:szCs w:val="15"/>
          <w:i w:val="1"/>
          <w:iCs w:val="1"/>
          <w:color w:val="auto"/>
        </w:rPr>
        <w:t>Good Reason</w:t>
      </w:r>
      <w:r>
        <w:rPr>
          <w:rFonts w:ascii="Arial" w:cs="Arial" w:eastAsia="Arial" w:hAnsi="Arial"/>
          <w:sz w:val="15"/>
          <w:szCs w:val="15"/>
          <w:color w:val="auto"/>
        </w:rPr>
        <w:t>" upon the happening of any of the following within two years after a "</w:t>
      </w:r>
      <w:r>
        <w:rPr>
          <w:rFonts w:ascii="Arial" w:cs="Arial" w:eastAsia="Arial" w:hAnsi="Arial"/>
          <w:sz w:val="15"/>
          <w:szCs w:val="15"/>
          <w:i w:val="1"/>
          <w:iCs w:val="1"/>
          <w:color w:val="auto"/>
        </w:rPr>
        <w:t>Change of Control</w:t>
      </w:r>
      <w:r>
        <w:rPr>
          <w:rFonts w:ascii="Arial" w:cs="Arial" w:eastAsia="Arial" w:hAnsi="Arial"/>
          <w:sz w:val="15"/>
          <w:szCs w:val="15"/>
          <w:color w:val="auto"/>
        </w:rPr>
        <w:t>": (i) the assignment to the executive of any duties materially inconsistent with his position, authority, duties or responsibility or any other action by us that results in a material diminution in his position, authority, duties or responsibilities, excluding any action not taken by us in bad faith that is remedied; (ii) any reduction in, or failure to pay the executive's base salary other than a reduction or failure remedied by us; (iii) any failure by us to provide the executive his bonus and equity opportunities, or employee benefits and perquisites in the aggregate, that are not less than those provided to the executive in the calendar year immediately preceding the change of control, other than a failure not occurring in bad faith that is remedied by us; or (iv) if we require the executive to be based at any office or location outside of Miami-Dade or Broward County.</w:t>
      </w:r>
    </w:p>
    <w:p>
      <w:pPr>
        <w:spacing w:after="0" w:line="166" w:lineRule="exact"/>
        <w:rPr>
          <w:sz w:val="20"/>
          <w:szCs w:val="20"/>
          <w:color w:val="auto"/>
        </w:rPr>
      </w:pPr>
    </w:p>
    <w:p>
      <w:pPr>
        <w:ind w:left="981"/>
        <w:spacing w:after="0"/>
        <w:rPr>
          <w:sz w:val="20"/>
          <w:szCs w:val="20"/>
          <w:color w:val="auto"/>
        </w:rPr>
      </w:pPr>
      <w:r>
        <w:rPr>
          <w:rFonts w:ascii="Arial" w:cs="Arial" w:eastAsia="Arial" w:hAnsi="Arial"/>
          <w:sz w:val="16"/>
          <w:szCs w:val="16"/>
          <w:i w:val="1"/>
          <w:iCs w:val="1"/>
          <w:color w:val="auto"/>
        </w:rPr>
        <w:t>Change of Control</w:t>
      </w:r>
    </w:p>
    <w:p>
      <w:pPr>
        <w:spacing w:after="0" w:line="211" w:lineRule="exact"/>
        <w:rPr>
          <w:sz w:val="20"/>
          <w:szCs w:val="20"/>
          <w:color w:val="auto"/>
        </w:rPr>
      </w:pPr>
    </w:p>
    <w:p>
      <w:pPr>
        <w:ind w:left="561"/>
        <w:spacing w:after="0"/>
        <w:rPr>
          <w:sz w:val="20"/>
          <w:szCs w:val="20"/>
          <w:color w:val="auto"/>
        </w:rPr>
      </w:pPr>
      <w:r>
        <w:rPr>
          <w:rFonts w:ascii="Arial" w:cs="Arial" w:eastAsia="Arial" w:hAnsi="Arial"/>
          <w:sz w:val="15"/>
          <w:szCs w:val="15"/>
          <w:color w:val="auto"/>
        </w:rPr>
        <w:t>Under the Kasbar Agreement, the Birns Agreement and the ESP, a "</w:t>
      </w:r>
      <w:r>
        <w:rPr>
          <w:rFonts w:ascii="Arial" w:cs="Arial" w:eastAsia="Arial" w:hAnsi="Arial"/>
          <w:sz w:val="15"/>
          <w:szCs w:val="15"/>
          <w:i w:val="1"/>
          <w:iCs w:val="1"/>
          <w:color w:val="auto"/>
        </w:rPr>
        <w:t>change of control</w:t>
      </w:r>
      <w:r>
        <w:rPr>
          <w:rFonts w:ascii="Arial" w:cs="Arial" w:eastAsia="Arial" w:hAnsi="Arial"/>
          <w:sz w:val="15"/>
          <w:szCs w:val="15"/>
          <w:color w:val="auto"/>
        </w:rPr>
        <w:t>" is deemed to have occurred if (i) any person or "group" (as defined in</w:t>
      </w:r>
    </w:p>
    <w:p>
      <w:pPr>
        <w:spacing w:after="0" w:line="32" w:lineRule="exact"/>
        <w:rPr>
          <w:sz w:val="20"/>
          <w:szCs w:val="20"/>
          <w:color w:val="auto"/>
        </w:rPr>
      </w:pPr>
    </w:p>
    <w:p>
      <w:pPr>
        <w:ind w:left="1" w:right="20"/>
        <w:spacing w:after="0" w:line="259" w:lineRule="auto"/>
        <w:rPr>
          <w:sz w:val="20"/>
          <w:szCs w:val="20"/>
          <w:color w:val="auto"/>
        </w:rPr>
      </w:pPr>
      <w:r>
        <w:rPr>
          <w:rFonts w:ascii="Arial" w:cs="Arial" w:eastAsia="Arial" w:hAnsi="Arial"/>
          <w:sz w:val="16"/>
          <w:szCs w:val="16"/>
          <w:color w:val="auto"/>
        </w:rPr>
        <w:t>Section 13(d)(3) of the Exchange Act), excluding any employee benefit plans, becomes the beneficial owner of at least (a) 30% (in the case of the ESP) or (b) 20% (in the case of the Kasbar Agreement or the Birns Agreement) of the combined voting power of our outstanding common stock; (ii) we merge, consolidate, reorganize or carry out any similar event which results in the holders of our common stock prior to the event owning less than 51% of the total voting power of the capital stock of the surviving company; (iii) our current Board ceases to make up at least 2/3 of our Board, the board of the surviving company or the board of the controlling company, as the case may be, with the exception that any director approved by a vote of at least 2/3 of our current Board will be considered to be a member of our current Board; or (iv) we are liquidated or dissolved or we sell all or substantially all of our assets. In addition, the Kasbar Agreement provides that a change of control is deemed to have occurred if we enter into an agreement or our Board passes a resolution to do any of the items listed in (i)-(iv) above and Mr. Kasbar's employment is terminated after the execution of any such agreement or the passage of any such resolution, but before the event takes place.</w:t>
      </w:r>
    </w:p>
    <w:p>
      <w:pPr>
        <w:spacing w:after="0" w:line="180" w:lineRule="exact"/>
        <w:rPr>
          <w:sz w:val="20"/>
          <w:szCs w:val="20"/>
          <w:color w:val="auto"/>
        </w:rPr>
      </w:pPr>
    </w:p>
    <w:p>
      <w:pPr>
        <w:ind w:left="1"/>
        <w:spacing w:after="0"/>
        <w:rPr>
          <w:sz w:val="20"/>
          <w:szCs w:val="20"/>
          <w:color w:val="auto"/>
        </w:rPr>
      </w:pPr>
      <w:r>
        <w:rPr>
          <w:rFonts w:ascii="Arial" w:cs="Arial" w:eastAsia="Arial" w:hAnsi="Arial"/>
          <w:sz w:val="16"/>
          <w:szCs w:val="16"/>
          <w:b w:val="1"/>
          <w:bCs w:val="1"/>
          <w:i w:val="1"/>
          <w:iCs w:val="1"/>
          <w:color w:val="auto"/>
        </w:rPr>
        <w:t>Severance Payments and Benefits</w:t>
      </w:r>
    </w:p>
    <w:p>
      <w:pPr>
        <w:spacing w:after="0" w:line="211" w:lineRule="exact"/>
        <w:rPr>
          <w:sz w:val="20"/>
          <w:szCs w:val="20"/>
          <w:color w:val="auto"/>
        </w:rPr>
      </w:pPr>
    </w:p>
    <w:p>
      <w:pPr>
        <w:ind w:left="1" w:right="240" w:firstLine="561"/>
        <w:spacing w:after="0" w:line="284" w:lineRule="auto"/>
        <w:rPr>
          <w:sz w:val="20"/>
          <w:szCs w:val="20"/>
          <w:color w:val="auto"/>
        </w:rPr>
      </w:pPr>
      <w:r>
        <w:rPr>
          <w:rFonts w:ascii="Arial" w:cs="Arial" w:eastAsia="Arial" w:hAnsi="Arial"/>
          <w:sz w:val="16"/>
          <w:szCs w:val="16"/>
          <w:color w:val="auto"/>
        </w:rPr>
        <w:t>Kasbar Agreement—As set forth in the table below, upon the occurrence of a termination by Mr. Kasbar for good reason, by the Company without cause, following a change of control or non-renewal, we will make the following payments:</w:t>
      </w:r>
    </w:p>
    <w:p>
      <w:pPr>
        <w:spacing w:after="0" w:line="169" w:lineRule="exact"/>
        <w:rPr>
          <w:sz w:val="20"/>
          <w:szCs w:val="20"/>
          <w:color w:val="auto"/>
        </w:rPr>
      </w:pPr>
    </w:p>
    <w:p>
      <w:pPr>
        <w:ind w:left="501" w:hanging="501"/>
        <w:spacing w:after="0"/>
        <w:tabs>
          <w:tab w:leader="none" w:pos="501"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Accrued Obligations (as defined in the Kasbar Agreement);</w:t>
      </w:r>
    </w:p>
    <w:p>
      <w:pPr>
        <w:spacing w:after="0" w:line="235" w:lineRule="exact"/>
        <w:rPr>
          <w:rFonts w:ascii="Arial" w:cs="Arial" w:eastAsia="Arial" w:hAnsi="Arial"/>
          <w:sz w:val="16"/>
          <w:szCs w:val="16"/>
          <w:color w:val="auto"/>
        </w:rPr>
      </w:pPr>
    </w:p>
    <w:p>
      <w:pPr>
        <w:ind w:left="501" w:hanging="501"/>
        <w:spacing w:after="0"/>
        <w:tabs>
          <w:tab w:leader="none" w:pos="501" w:val="left"/>
        </w:tabs>
        <w:numPr>
          <w:ilvl w:val="0"/>
          <w:numId w:val="63"/>
        </w:numPr>
        <w:rPr>
          <w:rFonts w:ascii="Arial" w:cs="Arial" w:eastAsia="Arial" w:hAnsi="Arial"/>
          <w:sz w:val="14"/>
          <w:szCs w:val="14"/>
          <w:color w:val="auto"/>
        </w:rPr>
      </w:pPr>
      <w:r>
        <w:rPr>
          <w:rFonts w:ascii="Arial" w:cs="Arial" w:eastAsia="Arial" w:hAnsi="Arial"/>
          <w:sz w:val="14"/>
          <w:szCs w:val="14"/>
          <w:color w:val="auto"/>
        </w:rPr>
        <w:t>an annualized amount of $750,000 ($1,250,000 for termination following a change of control) per year for a two year period immediately following the termination date;</w:t>
      </w:r>
    </w:p>
    <w:p>
      <w:pPr>
        <w:spacing w:after="0" w:line="230" w:lineRule="exact"/>
        <w:rPr>
          <w:sz w:val="20"/>
          <w:szCs w:val="20"/>
          <w:color w:val="auto"/>
        </w:rPr>
      </w:pPr>
    </w:p>
    <w:p>
      <w:pPr>
        <w:jc w:val="right"/>
        <w:spacing w:after="0"/>
        <w:tabs>
          <w:tab w:leader="none" w:pos="1960" w:val="left"/>
          <w:tab w:leader="none" w:pos="1720" w:val="left"/>
          <w:tab w:leader="none" w:pos="14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16"/>
          <w:szCs w:val="16"/>
          <w:b w:val="1"/>
          <w:bCs w:val="1"/>
          <w:color w:val="auto"/>
        </w:rPr>
        <w:t>|</w:t>
      </w:r>
      <w:r>
        <w:rPr>
          <w:sz w:val="20"/>
          <w:szCs w:val="20"/>
          <w:color w:val="auto"/>
        </w:rPr>
        <w:tab/>
      </w:r>
      <w:r>
        <w:rPr>
          <w:rFonts w:ascii="Arial" w:cs="Arial" w:eastAsia="Arial" w:hAnsi="Arial"/>
          <w:sz w:val="16"/>
          <w:szCs w:val="16"/>
          <w:color w:val="auto"/>
        </w:rPr>
        <w:t>2018 Proxy Statement</w:t>
      </w:r>
      <w:r>
        <w:rPr>
          <w:sz w:val="20"/>
          <w:szCs w:val="20"/>
          <w:color w:val="auto"/>
        </w:rPr>
        <w:tab/>
      </w: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139700</wp:posOffset>
            </wp:positionV>
            <wp:extent cx="7263130" cy="203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1"/>
          </w:cols>
          <w:pgMar w:left="239" w:top="131" w:right="239" w:bottom="1440" w:gutter="0" w:footer="0" w:header="0"/>
        </w:sectPr>
      </w:pPr>
    </w:p>
    <w:bookmarkStart w:id="61" w:name="page62"/>
    <w:bookmarkEnd w:id="61"/>
    <w:p>
      <w:pPr>
        <w:ind w:left="1"/>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jc w:val="both"/>
        <w:ind w:left="501" w:right="180" w:hanging="501"/>
        <w:spacing w:after="0" w:line="359" w:lineRule="auto"/>
        <w:tabs>
          <w:tab w:leader="none" w:pos="501" w:val="left"/>
        </w:tabs>
        <w:numPr>
          <w:ilvl w:val="0"/>
          <w:numId w:val="64"/>
        </w:numPr>
        <w:rPr>
          <w:rFonts w:ascii="Arial" w:cs="Arial" w:eastAsia="Arial" w:hAnsi="Arial"/>
          <w:sz w:val="14"/>
          <w:szCs w:val="14"/>
          <w:color w:val="auto"/>
        </w:rPr>
      </w:pPr>
      <w:r>
        <w:rPr>
          <w:rFonts w:ascii="Arial" w:cs="Arial" w:eastAsia="Arial" w:hAnsi="Arial"/>
          <w:sz w:val="14"/>
          <w:szCs w:val="14"/>
          <w:color w:val="auto"/>
        </w:rPr>
        <w:t>(a) continued health insurance coverage in effect as of the termination date for Mr. Kasbar and his immediate family until Mr. Kasbar is no longer eligible for coverage under our health plans through COBRA or he becomes eligible for health insurance coverage through employment or services provided to another person or entity; and</w:t>
      </w:r>
    </w:p>
    <w:p>
      <w:pPr>
        <w:spacing w:after="0" w:line="110" w:lineRule="exact"/>
        <w:rPr>
          <w:rFonts w:ascii="Arial" w:cs="Arial" w:eastAsia="Arial" w:hAnsi="Arial"/>
          <w:sz w:val="14"/>
          <w:szCs w:val="14"/>
          <w:color w:val="auto"/>
        </w:rPr>
      </w:pPr>
    </w:p>
    <w:p>
      <w:pPr>
        <w:ind w:left="501"/>
        <w:spacing w:after="0" w:line="264" w:lineRule="auto"/>
        <w:rPr>
          <w:rFonts w:ascii="Arial" w:cs="Arial" w:eastAsia="Arial" w:hAnsi="Arial"/>
          <w:sz w:val="14"/>
          <w:szCs w:val="14"/>
          <w:color w:val="auto"/>
        </w:rPr>
      </w:pPr>
      <w:r>
        <w:rPr>
          <w:rFonts w:ascii="Arial" w:cs="Arial" w:eastAsia="Arial" w:hAnsi="Arial"/>
          <w:sz w:val="16"/>
          <w:szCs w:val="16"/>
          <w:color w:val="auto"/>
        </w:rPr>
        <w:t>(b) after Mr. Kasbar is no longer eligible for coverage through COBRA, reimbursement for the cost of obtaining private health insurance coverage that is comparable to the coverage provided to Mr. Kasbar and his immediate family until Mr. Kasbar turns 65 or, if earlier, the date on which neither Mr. Kasbar nor his surviving spouse is living provided that (a) coverage will not be provided for any period where Mr. Kasbar is eligible to receive coverage through employment or services provided to another person or entity; (b) coverage will not be provided for any dependent over age 21 other than Mr. Kasbar's spouse; and (c) the aggregate amount the Company is required to pay for such coverage does not exceed $150,000 in the aggregate; and</w:t>
      </w:r>
    </w:p>
    <w:p>
      <w:pPr>
        <w:spacing w:after="0" w:line="197" w:lineRule="exact"/>
        <w:rPr>
          <w:sz w:val="20"/>
          <w:szCs w:val="20"/>
          <w:color w:val="auto"/>
        </w:rPr>
      </w:pPr>
    </w:p>
    <w:p>
      <w:pPr>
        <w:ind w:left="501" w:hanging="501"/>
        <w:spacing w:after="0"/>
        <w:tabs>
          <w:tab w:leader="none" w:pos="501" w:val="left"/>
        </w:tabs>
        <w:numPr>
          <w:ilvl w:val="0"/>
          <w:numId w:val="65"/>
        </w:numPr>
        <w:rPr>
          <w:rFonts w:ascii="Arial" w:cs="Arial" w:eastAsia="Arial" w:hAnsi="Arial"/>
          <w:sz w:val="15"/>
          <w:szCs w:val="15"/>
          <w:color w:val="auto"/>
        </w:rPr>
      </w:pPr>
      <w:r>
        <w:rPr>
          <w:rFonts w:ascii="Arial" w:cs="Arial" w:eastAsia="Arial" w:hAnsi="Arial"/>
          <w:sz w:val="15"/>
          <w:szCs w:val="15"/>
          <w:color w:val="auto"/>
        </w:rPr>
        <w:t>a lump sum in the amount of $1,500,000 ($2,500,000 for termination following a change of control) within 5 business days of the last day of the restricted period.</w:t>
      </w:r>
    </w:p>
    <w:p>
      <w:pPr>
        <w:spacing w:after="0" w:line="222" w:lineRule="exact"/>
        <w:rPr>
          <w:sz w:val="20"/>
          <w:szCs w:val="20"/>
          <w:color w:val="auto"/>
        </w:rPr>
      </w:pPr>
    </w:p>
    <w:p>
      <w:pPr>
        <w:ind w:left="1" w:right="600" w:firstLine="561"/>
        <w:spacing w:after="0" w:line="284" w:lineRule="auto"/>
        <w:rPr>
          <w:sz w:val="20"/>
          <w:szCs w:val="20"/>
          <w:color w:val="auto"/>
        </w:rPr>
      </w:pPr>
      <w:r>
        <w:rPr>
          <w:rFonts w:ascii="Arial" w:cs="Arial" w:eastAsia="Arial" w:hAnsi="Arial"/>
          <w:sz w:val="16"/>
          <w:szCs w:val="16"/>
          <w:color w:val="auto"/>
        </w:rPr>
        <w:t>Upon the occurrence of a termination by Mr. Kasbar without good reason, by the Company for cause or by the Company due to Mr. Kasbar's death or disability, Mr. Kasbar will be entitled to the payments specified in (i) above.</w:t>
      </w:r>
    </w:p>
    <w:p>
      <w:pPr>
        <w:spacing w:after="0" w:line="156" w:lineRule="exact"/>
        <w:rPr>
          <w:sz w:val="20"/>
          <w:szCs w:val="20"/>
          <w:color w:val="auto"/>
        </w:rPr>
      </w:pPr>
    </w:p>
    <w:p>
      <w:pPr>
        <w:ind w:left="561"/>
        <w:spacing w:after="0"/>
        <w:rPr>
          <w:sz w:val="20"/>
          <w:szCs w:val="20"/>
          <w:color w:val="auto"/>
        </w:rPr>
      </w:pPr>
      <w:r>
        <w:rPr>
          <w:rFonts w:ascii="Arial" w:cs="Arial" w:eastAsia="Arial" w:hAnsi="Arial"/>
          <w:sz w:val="15"/>
          <w:szCs w:val="15"/>
          <w:u w:val="single" w:color="auto"/>
          <w:color w:val="auto"/>
        </w:rPr>
        <w:t>Birns Agreement and ESP</w:t>
      </w:r>
      <w:r>
        <w:rPr>
          <w:rFonts w:ascii="Arial" w:cs="Arial" w:eastAsia="Arial" w:hAnsi="Arial"/>
          <w:sz w:val="15"/>
          <w:szCs w:val="15"/>
          <w:color w:val="auto"/>
        </w:rPr>
        <w:t>—As set forth in the table below, under the ESP and the Birns Agreement, upon the occurrence of a termination by the Company without</w:t>
      </w:r>
    </w:p>
    <w:p>
      <w:pPr>
        <w:spacing w:after="0" w:line="32" w:lineRule="exact"/>
        <w:rPr>
          <w:sz w:val="20"/>
          <w:szCs w:val="20"/>
          <w:color w:val="auto"/>
        </w:rPr>
      </w:pPr>
    </w:p>
    <w:p>
      <w:pPr>
        <w:ind w:left="1"/>
        <w:spacing w:after="0"/>
        <w:rPr>
          <w:sz w:val="20"/>
          <w:szCs w:val="20"/>
          <w:color w:val="auto"/>
        </w:rPr>
      </w:pPr>
      <w:r>
        <w:rPr>
          <w:rFonts w:ascii="Arial" w:cs="Arial" w:eastAsia="Arial" w:hAnsi="Arial"/>
          <w:sz w:val="16"/>
          <w:szCs w:val="16"/>
          <w:color w:val="auto"/>
        </w:rPr>
        <w:t>Cause or by the executive for good reason we will make the following payments:</w:t>
      </w:r>
    </w:p>
    <w:p>
      <w:pPr>
        <w:spacing w:after="0" w:line="215" w:lineRule="exact"/>
        <w:rPr>
          <w:sz w:val="20"/>
          <w:szCs w:val="20"/>
          <w:color w:val="auto"/>
        </w:rPr>
      </w:pPr>
    </w:p>
    <w:p>
      <w:pPr>
        <w:ind w:left="501" w:right="600" w:hanging="501"/>
        <w:spacing w:after="0" w:line="284" w:lineRule="auto"/>
        <w:tabs>
          <w:tab w:leader="none" w:pos="501" w:val="left"/>
        </w:tabs>
        <w:numPr>
          <w:ilvl w:val="0"/>
          <w:numId w:val="66"/>
        </w:numPr>
        <w:rPr>
          <w:rFonts w:ascii="Arial" w:cs="Arial" w:eastAsia="Arial" w:hAnsi="Arial"/>
          <w:sz w:val="16"/>
          <w:szCs w:val="16"/>
          <w:color w:val="auto"/>
        </w:rPr>
      </w:pPr>
      <w:r>
        <w:rPr>
          <w:rFonts w:ascii="Arial" w:cs="Arial" w:eastAsia="Arial" w:hAnsi="Arial"/>
          <w:sz w:val="16"/>
          <w:szCs w:val="16"/>
          <w:color w:val="auto"/>
        </w:rPr>
        <w:t>an amount equal to accrued but unpaid base salary and benefits (including accrued vacation) through the date of termination, in the case of Mr. Birns, or Accrued Obligations (as defined in the ESP) such Accrued Obligations to be paid no later than 60 days after the date of termination;</w:t>
      </w:r>
    </w:p>
    <w:p>
      <w:pPr>
        <w:spacing w:after="0" w:line="168" w:lineRule="exact"/>
        <w:rPr>
          <w:rFonts w:ascii="Arial" w:cs="Arial" w:eastAsia="Arial" w:hAnsi="Arial"/>
          <w:sz w:val="16"/>
          <w:szCs w:val="16"/>
          <w:color w:val="auto"/>
        </w:rPr>
      </w:pPr>
    </w:p>
    <w:p>
      <w:pPr>
        <w:ind w:left="501" w:hanging="501"/>
        <w:spacing w:after="0"/>
        <w:tabs>
          <w:tab w:leader="none" w:pos="501" w:val="left"/>
        </w:tabs>
        <w:numPr>
          <w:ilvl w:val="0"/>
          <w:numId w:val="66"/>
        </w:numPr>
        <w:rPr>
          <w:rFonts w:ascii="Arial" w:cs="Arial" w:eastAsia="Arial" w:hAnsi="Arial"/>
          <w:sz w:val="16"/>
          <w:szCs w:val="16"/>
          <w:color w:val="auto"/>
        </w:rPr>
      </w:pPr>
      <w:r>
        <w:rPr>
          <w:rFonts w:ascii="Arial" w:cs="Arial" w:eastAsia="Arial" w:hAnsi="Arial"/>
          <w:sz w:val="16"/>
          <w:szCs w:val="16"/>
          <w:color w:val="auto"/>
        </w:rPr>
        <w:t>any unpaid bonus for the year prior to the year of termination to be paid on the same date that bonuses are paid to our other senior executive officers;</w:t>
      </w:r>
    </w:p>
    <w:p>
      <w:pPr>
        <w:spacing w:after="0" w:line="235" w:lineRule="exact"/>
        <w:rPr>
          <w:rFonts w:ascii="Arial" w:cs="Arial" w:eastAsia="Arial" w:hAnsi="Arial"/>
          <w:sz w:val="16"/>
          <w:szCs w:val="16"/>
          <w:color w:val="auto"/>
        </w:rPr>
      </w:pPr>
    </w:p>
    <w:p>
      <w:pPr>
        <w:ind w:left="501" w:right="200" w:hanging="501"/>
        <w:spacing w:after="0" w:line="326" w:lineRule="auto"/>
        <w:tabs>
          <w:tab w:leader="none" w:pos="501" w:val="left"/>
        </w:tabs>
        <w:numPr>
          <w:ilvl w:val="0"/>
          <w:numId w:val="66"/>
        </w:numPr>
        <w:rPr>
          <w:rFonts w:ascii="Arial" w:cs="Arial" w:eastAsia="Arial" w:hAnsi="Arial"/>
          <w:sz w:val="14"/>
          <w:szCs w:val="14"/>
          <w:color w:val="auto"/>
        </w:rPr>
      </w:pPr>
      <w:r>
        <w:rPr>
          <w:rFonts w:ascii="Arial" w:cs="Arial" w:eastAsia="Arial" w:hAnsi="Arial"/>
          <w:sz w:val="14"/>
          <w:szCs w:val="14"/>
          <w:color w:val="auto"/>
        </w:rPr>
        <w:t>a prorated bonus for the calendar year in which the executive's employment is terminated, however, no pro-rated bonus will be paid if the executive's termination date occurs before the payment of bonuses for the prior calendar year. Any such bonus will be prorated based on the bonus the executive would have earned if he or she had remained employed by us for the entire year. Any such bonus will be paid on the same date that bonuses are paid to our other senior executive officers;</w:t>
      </w:r>
    </w:p>
    <w:p>
      <w:pPr>
        <w:spacing w:after="0" w:line="145" w:lineRule="exact"/>
        <w:rPr>
          <w:rFonts w:ascii="Arial" w:cs="Arial" w:eastAsia="Arial" w:hAnsi="Arial"/>
          <w:sz w:val="14"/>
          <w:szCs w:val="14"/>
          <w:color w:val="auto"/>
        </w:rPr>
      </w:pPr>
    </w:p>
    <w:p>
      <w:pPr>
        <w:ind w:left="501" w:right="60" w:hanging="501"/>
        <w:spacing w:after="0" w:line="270" w:lineRule="auto"/>
        <w:tabs>
          <w:tab w:leader="none" w:pos="501" w:val="left"/>
        </w:tabs>
        <w:numPr>
          <w:ilvl w:val="0"/>
          <w:numId w:val="66"/>
        </w:numPr>
        <w:rPr>
          <w:rFonts w:ascii="Arial" w:cs="Arial" w:eastAsia="Arial" w:hAnsi="Arial"/>
          <w:sz w:val="16"/>
          <w:szCs w:val="16"/>
          <w:color w:val="auto"/>
        </w:rPr>
      </w:pPr>
      <w:r>
        <w:rPr>
          <w:rFonts w:ascii="Arial" w:cs="Arial" w:eastAsia="Arial" w:hAnsi="Arial"/>
          <w:sz w:val="16"/>
          <w:szCs w:val="16"/>
          <w:color w:val="auto"/>
        </w:rPr>
        <w:t>continued health insurance coverage in effect as of the termination date for the executive and his immediate family, or covered dependents in the case of the ESP, for a period of up to 18 months. Such coverage will terminate earlier if the executive becomes eligible for health insurance coverage through employment or services provided to another person or entity, or, in the case of the ESP, if the executive attains the age of 65; and</w:t>
      </w:r>
    </w:p>
    <w:p>
      <w:pPr>
        <w:spacing w:after="0" w:line="180" w:lineRule="exact"/>
        <w:rPr>
          <w:rFonts w:ascii="Arial" w:cs="Arial" w:eastAsia="Arial" w:hAnsi="Arial"/>
          <w:sz w:val="16"/>
          <w:szCs w:val="16"/>
          <w:color w:val="auto"/>
        </w:rPr>
      </w:pPr>
    </w:p>
    <w:p>
      <w:pPr>
        <w:jc w:val="both"/>
        <w:ind w:left="501" w:right="260" w:hanging="501"/>
        <w:spacing w:after="0" w:line="260" w:lineRule="auto"/>
        <w:tabs>
          <w:tab w:leader="none" w:pos="501" w:val="left"/>
        </w:tabs>
        <w:numPr>
          <w:ilvl w:val="0"/>
          <w:numId w:val="66"/>
        </w:numPr>
        <w:rPr>
          <w:rFonts w:ascii="Arial" w:cs="Arial" w:eastAsia="Arial" w:hAnsi="Arial"/>
          <w:sz w:val="16"/>
          <w:szCs w:val="16"/>
          <w:color w:val="auto"/>
        </w:rPr>
      </w:pPr>
      <w:r>
        <w:rPr>
          <w:rFonts w:ascii="Arial" w:cs="Arial" w:eastAsia="Arial" w:hAnsi="Arial"/>
          <w:sz w:val="16"/>
          <w:szCs w:val="16"/>
          <w:color w:val="auto"/>
        </w:rPr>
        <w:t>in the case of Mr. Birns, a severance payment in an amount equal to two times base salary as of the termination date and, in the case of the ESP, a multiple (one or two times as determined by the Compensation Committee) of the executive's base salary as of the termination date, which will be paid to each executive in regular payroll installments over a 24-month period following termination.</w:t>
      </w:r>
    </w:p>
    <w:p>
      <w:pPr>
        <w:spacing w:after="0" w:line="1" w:lineRule="exact"/>
        <w:rPr>
          <w:sz w:val="20"/>
          <w:szCs w:val="20"/>
          <w:color w:val="auto"/>
        </w:rPr>
      </w:pPr>
    </w:p>
    <w:p>
      <w:pPr>
        <w:ind w:left="6981"/>
        <w:spacing w:after="0"/>
        <w:tabs>
          <w:tab w:leader="none" w:pos="9421" w:val="left"/>
          <w:tab w:leader="none" w:pos="9661" w:val="left"/>
          <w:tab w:leader="none" w:pos="11241"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3"/>
          <w:szCs w:val="33"/>
          <w:b w:val="1"/>
          <w:bCs w:val="1"/>
          <w:color w:val="auto"/>
          <w:vertAlign w:val="subscript"/>
        </w:rPr>
        <w:t>|</w:t>
      </w:r>
      <w:r>
        <w:rPr>
          <w:sz w:val="20"/>
          <w:szCs w:val="20"/>
          <w:color w:val="auto"/>
        </w:rPr>
        <w:tab/>
      </w:r>
      <w:r>
        <w:rPr>
          <w:rFonts w:ascii="Arial" w:cs="Arial" w:eastAsia="Arial" w:hAnsi="Arial"/>
          <w:sz w:val="16"/>
          <w:szCs w:val="16"/>
          <w:color w:val="auto"/>
        </w:rPr>
        <w:t>2018 Proxy Statement</w:t>
      </w:r>
      <w:r>
        <w:rPr>
          <w:sz w:val="20"/>
          <w:szCs w:val="20"/>
          <w:color w:val="auto"/>
        </w:rPr>
        <w:tab/>
      </w: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7263130" cy="203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1"/>
          </w:cols>
          <w:pgMar w:left="239" w:top="131" w:right="239" w:bottom="1440" w:gutter="0" w:footer="0" w:header="0"/>
        </w:sectPr>
      </w:pPr>
    </w:p>
    <w:bookmarkStart w:id="62" w:name="page63"/>
    <w:bookmarkEnd w:id="62"/>
    <w:p>
      <w:pPr>
        <w:ind w:left="1"/>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ind w:left="1" w:right="40" w:firstLine="561"/>
        <w:spacing w:after="0" w:line="284" w:lineRule="auto"/>
        <w:rPr>
          <w:sz w:val="20"/>
          <w:szCs w:val="20"/>
          <w:color w:val="auto"/>
        </w:rPr>
      </w:pPr>
      <w:r>
        <w:rPr>
          <w:rFonts w:ascii="Arial" w:cs="Arial" w:eastAsia="Arial" w:hAnsi="Arial"/>
          <w:sz w:val="16"/>
          <w:szCs w:val="16"/>
          <w:color w:val="auto"/>
        </w:rPr>
        <w:t>Upon the occurrence of a termination due to death or disability, Mr. Birns will be entitled to the payments specified in (i)-(iii) above and, under the ESP, Messrs. Crosby, Rau and Smith will be entitled to the payments specified in (i)-(iv) above.</w:t>
      </w:r>
    </w:p>
    <w:p>
      <w:pPr>
        <w:spacing w:after="0" w:line="152"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Potential Payments Upon Termination Table</w:t>
      </w:r>
    </w:p>
    <w:p>
      <w:pPr>
        <w:spacing w:after="0" w:line="215" w:lineRule="exact"/>
        <w:rPr>
          <w:sz w:val="20"/>
          <w:szCs w:val="20"/>
          <w:color w:val="auto"/>
        </w:rPr>
      </w:pPr>
    </w:p>
    <w:p>
      <w:pPr>
        <w:ind w:left="561"/>
        <w:spacing w:after="0"/>
        <w:rPr>
          <w:sz w:val="20"/>
          <w:szCs w:val="20"/>
          <w:color w:val="auto"/>
        </w:rPr>
      </w:pPr>
      <w:r>
        <w:rPr>
          <w:rFonts w:ascii="Arial" w:cs="Arial" w:eastAsia="Arial" w:hAnsi="Arial"/>
          <w:sz w:val="14"/>
          <w:szCs w:val="14"/>
          <w:color w:val="auto"/>
        </w:rPr>
        <w:t>The estimated payments and benefits that would be provided to each of the NEOs pursuant to their respective agreements or the ESP, as the case may be, as a result of</w:t>
      </w:r>
    </w:p>
    <w:p>
      <w:pPr>
        <w:spacing w:after="0" w:line="44" w:lineRule="exact"/>
        <w:rPr>
          <w:sz w:val="20"/>
          <w:szCs w:val="20"/>
          <w:color w:val="auto"/>
        </w:rPr>
      </w:pPr>
    </w:p>
    <w:p>
      <w:pPr>
        <w:ind w:left="221" w:hanging="221"/>
        <w:spacing w:after="0"/>
        <w:tabs>
          <w:tab w:leader="none" w:pos="221" w:val="left"/>
        </w:tabs>
        <w:numPr>
          <w:ilvl w:val="0"/>
          <w:numId w:val="67"/>
        </w:numPr>
        <w:rPr>
          <w:rFonts w:ascii="Arial" w:cs="Arial" w:eastAsia="Arial" w:hAnsi="Arial"/>
          <w:sz w:val="15"/>
          <w:szCs w:val="15"/>
          <w:color w:val="auto"/>
        </w:rPr>
      </w:pPr>
      <w:r>
        <w:rPr>
          <w:rFonts w:ascii="Arial" w:cs="Arial" w:eastAsia="Arial" w:hAnsi="Arial"/>
          <w:sz w:val="15"/>
          <w:szCs w:val="15"/>
          <w:color w:val="auto"/>
        </w:rPr>
        <w:t>Termination by Company for Cause or by Executive Without Good Reason, (2) Termination by Company Without Cause, (3) Termination by Executive for Good Reason,</w:t>
      </w:r>
    </w:p>
    <w:p>
      <w:pPr>
        <w:spacing w:after="0" w:line="24" w:lineRule="exact"/>
        <w:rPr>
          <w:rFonts w:ascii="Arial" w:cs="Arial" w:eastAsia="Arial" w:hAnsi="Arial"/>
          <w:sz w:val="15"/>
          <w:szCs w:val="15"/>
          <w:color w:val="auto"/>
        </w:rPr>
      </w:pPr>
    </w:p>
    <w:p>
      <w:pPr>
        <w:ind w:left="1" w:right="140" w:hanging="1"/>
        <w:spacing w:after="0" w:line="312" w:lineRule="auto"/>
        <w:tabs>
          <w:tab w:leader="none" w:pos="226" w:val="left"/>
        </w:tabs>
        <w:numPr>
          <w:ilvl w:val="0"/>
          <w:numId w:val="68"/>
        </w:numPr>
        <w:rPr>
          <w:rFonts w:ascii="Arial" w:cs="Arial" w:eastAsia="Arial" w:hAnsi="Arial"/>
          <w:sz w:val="14"/>
          <w:szCs w:val="14"/>
          <w:color w:val="auto"/>
        </w:rPr>
      </w:pPr>
      <w:r>
        <w:rPr>
          <w:rFonts w:ascii="Arial" w:cs="Arial" w:eastAsia="Arial" w:hAnsi="Arial"/>
          <w:sz w:val="14"/>
          <w:szCs w:val="14"/>
          <w:color w:val="auto"/>
        </w:rPr>
        <w:t>Termination by Company Without Cause or by Executive for Good Reason within two (2) years of a Change of Control, and (5) Termination of employment due to death or disability are set forth in the table below. Calculations for this table are based on the assumption that the termination took place on December 31, 2017. In order to receive the benefits set forth below, an executive must satisfy certain restrictive covenants for a specified period of time after the termination event before any cash severance payment is made. We have the right to not pay or provide these benefits or discontinue the payment and provision of these benefits if the executive fails to satisfy such obligations.</w:t>
      </w:r>
    </w:p>
    <w:p>
      <w:pPr>
        <w:spacing w:after="0" w:line="135" w:lineRule="exact"/>
        <w:rPr>
          <w:sz w:val="20"/>
          <w:szCs w:val="20"/>
          <w:color w:val="auto"/>
        </w:rPr>
      </w:pPr>
    </w:p>
    <w:tbl>
      <w:tblPr>
        <w:tblLayout w:type="fixed"/>
        <w:tblInd w:w="1" w:type="dxa"/>
        <w:tblCellMar>
          <w:top w:w="0" w:type="dxa"/>
          <w:left w:w="0" w:type="dxa"/>
          <w:bottom w:w="0" w:type="dxa"/>
          <w:right w:w="0" w:type="dxa"/>
        </w:tblCellMar>
      </w:tblPr>
      <w:tr>
        <w:trPr>
          <w:trHeight w:val="138"/>
        </w:trPr>
        <w:tc>
          <w:tcPr>
            <w:tcW w:w="114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spacing w:after="0"/>
              <w:rPr>
                <w:sz w:val="20"/>
                <w:szCs w:val="20"/>
                <w:color w:val="auto"/>
              </w:rPr>
            </w:pPr>
            <w:r>
              <w:rPr>
                <w:rFonts w:ascii="Arial" w:cs="Arial" w:eastAsia="Arial" w:hAnsi="Arial"/>
                <w:sz w:val="12"/>
                <w:szCs w:val="12"/>
                <w:b w:val="1"/>
                <w:bCs w:val="1"/>
                <w:color w:val="auto"/>
                <w:w w:val="94"/>
              </w:rPr>
              <w:t>Acceleration</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36"/>
        </w:trPr>
        <w:tc>
          <w:tcPr>
            <w:tcW w:w="1140" w:type="dxa"/>
            <w:vAlign w:val="bottom"/>
          </w:tcPr>
          <w:p>
            <w:pPr>
              <w:spacing w:after="0"/>
              <w:rPr>
                <w:sz w:val="11"/>
                <w:szCs w:val="11"/>
                <w:color w:val="auto"/>
              </w:rPr>
            </w:pPr>
          </w:p>
        </w:tc>
        <w:tc>
          <w:tcPr>
            <w:tcW w:w="4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3"/>
              </w:rPr>
              <w:t>and</w:t>
            </w: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136"/>
        </w:trPr>
        <w:tc>
          <w:tcPr>
            <w:tcW w:w="1140" w:type="dxa"/>
            <w:vAlign w:val="bottom"/>
          </w:tcPr>
          <w:p>
            <w:pPr>
              <w:spacing w:after="0"/>
              <w:rPr>
                <w:sz w:val="11"/>
                <w:szCs w:val="11"/>
                <w:color w:val="auto"/>
              </w:rPr>
            </w:pPr>
          </w:p>
        </w:tc>
        <w:tc>
          <w:tcPr>
            <w:tcW w:w="4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1"/>
              </w:rPr>
              <w:t>Continuation</w:t>
            </w: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131"/>
        </w:trPr>
        <w:tc>
          <w:tcPr>
            <w:tcW w:w="1140" w:type="dxa"/>
            <w:vAlign w:val="bottom"/>
          </w:tcPr>
          <w:p>
            <w:pPr>
              <w:spacing w:after="0"/>
              <w:rPr>
                <w:sz w:val="11"/>
                <w:szCs w:val="11"/>
                <w:color w:val="auto"/>
              </w:rPr>
            </w:pPr>
          </w:p>
        </w:tc>
        <w:tc>
          <w:tcPr>
            <w:tcW w:w="4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right"/>
              <w:ind w:right="2"/>
              <w:spacing w:after="0" w:line="132" w:lineRule="exact"/>
              <w:rPr>
                <w:sz w:val="20"/>
                <w:szCs w:val="20"/>
                <w:color w:val="auto"/>
              </w:rPr>
            </w:pPr>
            <w:r>
              <w:rPr>
                <w:rFonts w:ascii="Arial" w:cs="Arial" w:eastAsia="Arial" w:hAnsi="Arial"/>
                <w:sz w:val="12"/>
                <w:szCs w:val="12"/>
                <w:b w:val="1"/>
                <w:bCs w:val="1"/>
                <w:color w:val="auto"/>
                <w:w w:val="96"/>
              </w:rPr>
              <w:t>Severance</w:t>
            </w:r>
          </w:p>
        </w:tc>
        <w:tc>
          <w:tcPr>
            <w:tcW w:w="140" w:type="dxa"/>
            <w:vAlign w:val="bottom"/>
          </w:tcPr>
          <w:p>
            <w:pPr>
              <w:spacing w:after="0"/>
              <w:rPr>
                <w:sz w:val="11"/>
                <w:szCs w:val="11"/>
                <w:color w:val="auto"/>
              </w:rPr>
            </w:pPr>
          </w:p>
        </w:tc>
        <w:tc>
          <w:tcPr>
            <w:tcW w:w="580" w:type="dxa"/>
            <w:vAlign w:val="bottom"/>
          </w:tcPr>
          <w:p>
            <w:pPr>
              <w:jc w:val="right"/>
              <w:spacing w:after="0" w:line="132" w:lineRule="exact"/>
              <w:rPr>
                <w:sz w:val="20"/>
                <w:szCs w:val="20"/>
                <w:color w:val="auto"/>
              </w:rPr>
            </w:pPr>
            <w:r>
              <w:rPr>
                <w:rFonts w:ascii="Arial" w:cs="Arial" w:eastAsia="Arial" w:hAnsi="Arial"/>
                <w:sz w:val="12"/>
                <w:szCs w:val="12"/>
                <w:b w:val="1"/>
                <w:bCs w:val="1"/>
                <w:color w:val="auto"/>
              </w:rPr>
              <w:t>Pro-Rata</w:t>
            </w:r>
          </w:p>
        </w:tc>
        <w:tc>
          <w:tcPr>
            <w:tcW w:w="140" w:type="dxa"/>
            <w:vAlign w:val="bottom"/>
          </w:tcPr>
          <w:p>
            <w:pPr>
              <w:spacing w:after="0"/>
              <w:rPr>
                <w:sz w:val="11"/>
                <w:szCs w:val="11"/>
                <w:color w:val="auto"/>
              </w:rPr>
            </w:pPr>
          </w:p>
        </w:tc>
        <w:tc>
          <w:tcPr>
            <w:tcW w:w="660" w:type="dxa"/>
            <w:vAlign w:val="bottom"/>
          </w:tcPr>
          <w:p>
            <w:pPr>
              <w:jc w:val="right"/>
              <w:ind w:right="44"/>
              <w:spacing w:after="0" w:line="132" w:lineRule="exact"/>
              <w:rPr>
                <w:sz w:val="20"/>
                <w:szCs w:val="20"/>
                <w:color w:val="auto"/>
              </w:rPr>
            </w:pPr>
            <w:r>
              <w:rPr>
                <w:rFonts w:ascii="Arial" w:cs="Arial" w:eastAsia="Arial" w:hAnsi="Arial"/>
                <w:sz w:val="12"/>
                <w:szCs w:val="12"/>
                <w:b w:val="1"/>
                <w:bCs w:val="1"/>
                <w:color w:val="auto"/>
              </w:rPr>
              <w:t>Medical</w:t>
            </w:r>
          </w:p>
        </w:tc>
        <w:tc>
          <w:tcPr>
            <w:tcW w:w="140" w:type="dxa"/>
            <w:vAlign w:val="bottom"/>
          </w:tcPr>
          <w:p>
            <w:pPr>
              <w:spacing w:after="0"/>
              <w:rPr>
                <w:sz w:val="11"/>
                <w:szCs w:val="11"/>
                <w:color w:val="auto"/>
              </w:rPr>
            </w:pPr>
          </w:p>
        </w:tc>
        <w:tc>
          <w:tcPr>
            <w:tcW w:w="76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93"/>
              </w:rPr>
              <w:t>of Equity</w:t>
            </w: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178"/>
        </w:trPr>
        <w:tc>
          <w:tcPr>
            <w:tcW w:w="114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line="178" w:lineRule="exact"/>
              <w:rPr>
                <w:sz w:val="20"/>
                <w:szCs w:val="20"/>
                <w:color w:val="auto"/>
              </w:rPr>
            </w:pPr>
            <w:r>
              <w:rPr>
                <w:rFonts w:ascii="Arial" w:cs="Arial" w:eastAsia="Arial" w:hAnsi="Arial"/>
                <w:sz w:val="12"/>
                <w:szCs w:val="12"/>
                <w:b w:val="1"/>
                <w:bCs w:val="1"/>
                <w:color w:val="auto"/>
                <w:w w:val="93"/>
              </w:rPr>
              <w:t>Payment</w:t>
            </w:r>
            <w:r>
              <w:rPr>
                <w:rFonts w:ascii="Arial" w:cs="Arial" w:eastAsia="Arial" w:hAnsi="Arial"/>
                <w:sz w:val="20"/>
                <w:szCs w:val="20"/>
                <w:b w:val="1"/>
                <w:bCs w:val="1"/>
                <w:color w:val="auto"/>
                <w:w w:val="93"/>
                <w:vertAlign w:val="superscript"/>
              </w:rPr>
              <w:t>(1)</w:t>
            </w:r>
          </w:p>
        </w:tc>
        <w:tc>
          <w:tcPr>
            <w:tcW w:w="140" w:type="dxa"/>
            <w:vAlign w:val="bottom"/>
          </w:tcPr>
          <w:p>
            <w:pPr>
              <w:spacing w:after="0"/>
              <w:rPr>
                <w:sz w:val="15"/>
                <w:szCs w:val="15"/>
                <w:color w:val="auto"/>
              </w:rPr>
            </w:pPr>
          </w:p>
        </w:tc>
        <w:tc>
          <w:tcPr>
            <w:tcW w:w="580" w:type="dxa"/>
            <w:vAlign w:val="bottom"/>
          </w:tcPr>
          <w:p>
            <w:pPr>
              <w:jc w:val="right"/>
              <w:spacing w:after="0" w:line="178" w:lineRule="exact"/>
              <w:rPr>
                <w:sz w:val="20"/>
                <w:szCs w:val="20"/>
                <w:color w:val="auto"/>
              </w:rPr>
            </w:pPr>
            <w:r>
              <w:rPr>
                <w:rFonts w:ascii="Arial" w:cs="Arial" w:eastAsia="Arial" w:hAnsi="Arial"/>
                <w:sz w:val="12"/>
                <w:szCs w:val="12"/>
                <w:b w:val="1"/>
                <w:bCs w:val="1"/>
                <w:color w:val="auto"/>
                <w:w w:val="93"/>
              </w:rPr>
              <w:t>Bonus</w:t>
            </w:r>
            <w:r>
              <w:rPr>
                <w:rFonts w:ascii="Arial" w:cs="Arial" w:eastAsia="Arial" w:hAnsi="Arial"/>
                <w:sz w:val="20"/>
                <w:szCs w:val="20"/>
                <w:b w:val="1"/>
                <w:bCs w:val="1"/>
                <w:color w:val="auto"/>
                <w:w w:val="93"/>
                <w:vertAlign w:val="superscript"/>
              </w:rPr>
              <w:t>(2)</w:t>
            </w:r>
          </w:p>
        </w:tc>
        <w:tc>
          <w:tcPr>
            <w:tcW w:w="140" w:type="dxa"/>
            <w:vAlign w:val="bottom"/>
          </w:tcPr>
          <w:p>
            <w:pPr>
              <w:spacing w:after="0"/>
              <w:rPr>
                <w:sz w:val="15"/>
                <w:szCs w:val="15"/>
                <w:color w:val="auto"/>
              </w:rPr>
            </w:pPr>
          </w:p>
        </w:tc>
        <w:tc>
          <w:tcPr>
            <w:tcW w:w="660" w:type="dxa"/>
            <w:vAlign w:val="bottom"/>
          </w:tcPr>
          <w:p>
            <w:pPr>
              <w:jc w:val="right"/>
              <w:spacing w:after="0" w:line="178" w:lineRule="exact"/>
              <w:rPr>
                <w:sz w:val="20"/>
                <w:szCs w:val="20"/>
                <w:color w:val="auto"/>
              </w:rPr>
            </w:pPr>
            <w:r>
              <w:rPr>
                <w:rFonts w:ascii="Arial" w:cs="Arial" w:eastAsia="Arial" w:hAnsi="Arial"/>
                <w:sz w:val="12"/>
                <w:szCs w:val="12"/>
                <w:b w:val="1"/>
                <w:bCs w:val="1"/>
                <w:color w:val="auto"/>
                <w:w w:val="91"/>
              </w:rPr>
              <w:t>Benefits</w:t>
            </w:r>
            <w:r>
              <w:rPr>
                <w:rFonts w:ascii="Arial" w:cs="Arial" w:eastAsia="Arial" w:hAnsi="Arial"/>
                <w:sz w:val="20"/>
                <w:szCs w:val="20"/>
                <w:b w:val="1"/>
                <w:bCs w:val="1"/>
                <w:color w:val="auto"/>
                <w:w w:val="91"/>
                <w:vertAlign w:val="superscript"/>
              </w:rPr>
              <w:t>(3)</w:t>
            </w:r>
          </w:p>
        </w:tc>
        <w:tc>
          <w:tcPr>
            <w:tcW w:w="140" w:type="dxa"/>
            <w:vAlign w:val="bottom"/>
          </w:tcPr>
          <w:p>
            <w:pPr>
              <w:spacing w:after="0"/>
              <w:rPr>
                <w:sz w:val="15"/>
                <w:szCs w:val="15"/>
                <w:color w:val="auto"/>
              </w:rPr>
            </w:pPr>
          </w:p>
        </w:tc>
        <w:tc>
          <w:tcPr>
            <w:tcW w:w="760" w:type="dxa"/>
            <w:vAlign w:val="bottom"/>
          </w:tcPr>
          <w:p>
            <w:pPr>
              <w:jc w:val="center"/>
              <w:spacing w:after="0" w:line="178" w:lineRule="exact"/>
              <w:rPr>
                <w:sz w:val="20"/>
                <w:szCs w:val="20"/>
                <w:color w:val="auto"/>
              </w:rPr>
            </w:pPr>
            <w:r>
              <w:rPr>
                <w:rFonts w:ascii="Arial" w:cs="Arial" w:eastAsia="Arial" w:hAnsi="Arial"/>
                <w:sz w:val="12"/>
                <w:szCs w:val="12"/>
                <w:b w:val="1"/>
                <w:bCs w:val="1"/>
                <w:color w:val="auto"/>
                <w:w w:val="87"/>
              </w:rPr>
              <w:t>Awards</w:t>
            </w:r>
            <w:r>
              <w:rPr>
                <w:rFonts w:ascii="Arial" w:cs="Arial" w:eastAsia="Arial" w:hAnsi="Arial"/>
                <w:sz w:val="20"/>
                <w:szCs w:val="20"/>
                <w:b w:val="1"/>
                <w:bCs w:val="1"/>
                <w:color w:val="auto"/>
                <w:w w:val="87"/>
                <w:vertAlign w:val="superscript"/>
              </w:rPr>
              <w:t>(4)</w:t>
            </w:r>
          </w:p>
        </w:tc>
        <w:tc>
          <w:tcPr>
            <w:tcW w:w="160" w:type="dxa"/>
            <w:vAlign w:val="bottom"/>
          </w:tcPr>
          <w:p>
            <w:pPr>
              <w:spacing w:after="0"/>
              <w:rPr>
                <w:sz w:val="15"/>
                <w:szCs w:val="15"/>
                <w:color w:val="auto"/>
              </w:rPr>
            </w:pPr>
          </w:p>
        </w:tc>
        <w:tc>
          <w:tcPr>
            <w:tcW w:w="1960" w:type="dxa"/>
            <w:vAlign w:val="bottom"/>
            <w:gridSpan w:val="3"/>
          </w:tcPr>
          <w:p>
            <w:pPr>
              <w:ind w:left="140"/>
              <w:spacing w:after="0" w:line="178" w:lineRule="exact"/>
              <w:rPr>
                <w:sz w:val="20"/>
                <w:szCs w:val="20"/>
                <w:color w:val="auto"/>
              </w:rPr>
            </w:pPr>
            <w:r>
              <w:rPr>
                <w:rFonts w:ascii="Arial" w:cs="Arial" w:eastAsia="Arial" w:hAnsi="Arial"/>
                <w:sz w:val="12"/>
                <w:szCs w:val="12"/>
                <w:b w:val="1"/>
                <w:bCs w:val="1"/>
                <w:color w:val="auto"/>
              </w:rPr>
              <w:t>Total</w:t>
            </w:r>
            <w:r>
              <w:rPr>
                <w:rFonts w:ascii="Arial" w:cs="Arial" w:eastAsia="Arial" w:hAnsi="Arial"/>
                <w:sz w:val="20"/>
                <w:szCs w:val="20"/>
                <w:b w:val="1"/>
                <w:bCs w:val="1"/>
                <w:color w:val="auto"/>
                <w:vertAlign w:val="superscript"/>
              </w:rPr>
              <w:t>(5)</w:t>
            </w:r>
          </w:p>
        </w:tc>
      </w:tr>
      <w:tr>
        <w:trPr>
          <w:trHeight w:val="190"/>
        </w:trPr>
        <w:tc>
          <w:tcPr>
            <w:tcW w:w="1140" w:type="dxa"/>
            <w:vAlign w:val="bottom"/>
          </w:tcPr>
          <w:p>
            <w:pPr>
              <w:spacing w:after="0"/>
              <w:rPr>
                <w:sz w:val="16"/>
                <w:szCs w:val="16"/>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Mr. Kasbar</w:t>
            </w:r>
          </w:p>
        </w:tc>
        <w:tc>
          <w:tcPr>
            <w:tcW w:w="140" w:type="dxa"/>
            <w:vAlign w:val="bottom"/>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tcPr>
          <w:p>
            <w:pPr>
              <w:spacing w:after="0"/>
              <w:rPr>
                <w:sz w:val="16"/>
                <w:szCs w:val="16"/>
                <w:color w:val="auto"/>
              </w:rPr>
            </w:pPr>
          </w:p>
        </w:tc>
      </w:tr>
      <w:tr>
        <w:trPr>
          <w:trHeight w:val="188"/>
        </w:trPr>
        <w:tc>
          <w:tcPr>
            <w:tcW w:w="1140" w:type="dxa"/>
            <w:vAlign w:val="bottom"/>
          </w:tcPr>
          <w:p>
            <w:pPr>
              <w:spacing w:after="0"/>
              <w:rPr>
                <w:sz w:val="16"/>
                <w:szCs w:val="16"/>
                <w:color w:val="auto"/>
              </w:rPr>
            </w:pPr>
          </w:p>
        </w:tc>
        <w:tc>
          <w:tcPr>
            <w:tcW w:w="49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Termination by Company for Cause or by Executive Without Good</w:t>
            </w: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tcPr>
          <w:p>
            <w:pPr>
              <w:spacing w:after="0"/>
              <w:rPr>
                <w:sz w:val="16"/>
                <w:szCs w:val="16"/>
                <w:color w:val="auto"/>
              </w:rPr>
            </w:pPr>
          </w:p>
        </w:tc>
      </w:tr>
      <w:tr>
        <w:trPr>
          <w:trHeight w:val="205"/>
        </w:trPr>
        <w:tc>
          <w:tcPr>
            <w:tcW w:w="1140" w:type="dxa"/>
            <w:vAlign w:val="bottom"/>
          </w:tcPr>
          <w:p>
            <w:pPr>
              <w:spacing w:after="0"/>
              <w:rPr>
                <w:sz w:val="17"/>
                <w:szCs w:val="17"/>
                <w:color w:val="auto"/>
              </w:rPr>
            </w:pPr>
          </w:p>
        </w:tc>
        <w:tc>
          <w:tcPr>
            <w:tcW w:w="49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Reason</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40" w:type="dxa"/>
            <w:vAlign w:val="bottom"/>
          </w:tcPr>
          <w:p>
            <w:pPr>
              <w:spacing w:after="0"/>
              <w:rPr>
                <w:sz w:val="17"/>
                <w:szCs w:val="17"/>
                <w:color w:val="auto"/>
              </w:rPr>
            </w:pPr>
          </w:p>
        </w:tc>
      </w:tr>
      <w:tr>
        <w:trPr>
          <w:trHeight w:val="227"/>
        </w:trPr>
        <w:tc>
          <w:tcPr>
            <w:tcW w:w="1140" w:type="dxa"/>
            <w:vAlign w:val="bottom"/>
          </w:tcPr>
          <w:p>
            <w:pPr>
              <w:spacing w:after="0"/>
              <w:rPr>
                <w:sz w:val="19"/>
                <w:szCs w:val="19"/>
                <w:color w:val="auto"/>
              </w:rPr>
            </w:pPr>
          </w:p>
        </w:tc>
        <w:tc>
          <w:tcPr>
            <w:tcW w:w="4920" w:type="dxa"/>
            <w:vAlign w:val="bottom"/>
            <w:shd w:val="clear" w:color="auto" w:fill="CCEEFF"/>
          </w:tcPr>
          <w:p>
            <w:pPr>
              <w:ind w:left="160"/>
              <w:spacing w:after="0" w:line="227" w:lineRule="exact"/>
              <w:rPr>
                <w:sz w:val="20"/>
                <w:szCs w:val="20"/>
                <w:color w:val="auto"/>
              </w:rPr>
            </w:pPr>
            <w:r>
              <w:rPr>
                <w:rFonts w:ascii="Arial" w:cs="Arial" w:eastAsia="Arial" w:hAnsi="Arial"/>
                <w:sz w:val="16"/>
                <w:szCs w:val="16"/>
                <w:color w:val="auto"/>
                <w:w w:val="96"/>
              </w:rPr>
              <w:t>Termination by Company Without Cause</w:t>
            </w:r>
            <w:r>
              <w:rPr>
                <w:rFonts w:ascii="Arial" w:cs="Arial" w:eastAsia="Arial" w:hAnsi="Arial"/>
                <w:sz w:val="26"/>
                <w:szCs w:val="26"/>
                <w:color w:val="auto"/>
                <w:w w:val="96"/>
                <w:vertAlign w:val="superscript"/>
              </w:rPr>
              <w:t>(6)</w:t>
            </w:r>
            <w:r>
              <w:rPr>
                <w:rFonts w:ascii="Arial" w:cs="Arial" w:eastAsia="Arial" w:hAnsi="Arial"/>
                <w:sz w:val="16"/>
                <w:szCs w:val="16"/>
                <w:color w:val="auto"/>
                <w:w w:val="96"/>
              </w:rPr>
              <w:t xml:space="preserve"> or by Executive for Good</w:t>
            </w: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tcPr>
          <w:p>
            <w:pPr>
              <w:spacing w:after="0"/>
              <w:rPr>
                <w:sz w:val="19"/>
                <w:szCs w:val="19"/>
                <w:color w:val="auto"/>
              </w:rPr>
            </w:pPr>
          </w:p>
        </w:tc>
      </w:tr>
      <w:tr>
        <w:trPr>
          <w:trHeight w:val="205"/>
        </w:trPr>
        <w:tc>
          <w:tcPr>
            <w:tcW w:w="1140" w:type="dxa"/>
            <w:vAlign w:val="bottom"/>
          </w:tcPr>
          <w:p>
            <w:pPr>
              <w:spacing w:after="0"/>
              <w:rPr>
                <w:sz w:val="17"/>
                <w:szCs w:val="17"/>
                <w:color w:val="auto"/>
              </w:rPr>
            </w:pPr>
          </w:p>
        </w:tc>
        <w:tc>
          <w:tcPr>
            <w:tcW w:w="49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Reason</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3,000,000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562,500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174,283</w:t>
            </w:r>
          </w:p>
        </w:tc>
        <w:tc>
          <w:tcPr>
            <w:tcW w:w="174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1,793,193</w:t>
            </w:r>
            <w:r>
              <w:rPr>
                <w:rFonts w:ascii="Arial" w:cs="Arial" w:eastAsia="Arial" w:hAnsi="Arial"/>
                <w:sz w:val="13"/>
                <w:szCs w:val="13"/>
                <w:color w:val="auto"/>
              </w:rPr>
              <w:t>(9)</w:t>
            </w:r>
            <w:r>
              <w:rPr>
                <w:rFonts w:ascii="Arial" w:cs="Arial" w:eastAsia="Arial" w:hAnsi="Arial"/>
                <w:sz w:val="16"/>
                <w:szCs w:val="16"/>
                <w:color w:val="auto"/>
              </w:rPr>
              <w:t xml:space="preserve"> 5,529,976</w:t>
            </w:r>
          </w:p>
        </w:tc>
        <w:tc>
          <w:tcPr>
            <w:tcW w:w="14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190"/>
        </w:trPr>
        <w:tc>
          <w:tcPr>
            <w:tcW w:w="1140" w:type="dxa"/>
            <w:vAlign w:val="bottom"/>
          </w:tcPr>
          <w:p>
            <w:pPr>
              <w:spacing w:after="0"/>
              <w:rPr>
                <w:sz w:val="16"/>
                <w:szCs w:val="16"/>
                <w:color w:val="auto"/>
              </w:rPr>
            </w:pPr>
          </w:p>
        </w:tc>
        <w:tc>
          <w:tcPr>
            <w:tcW w:w="49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Termination by Company Without Cause or by Executive for Good</w:t>
            </w: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tcPr>
          <w:p>
            <w:pPr>
              <w:spacing w:after="0"/>
              <w:rPr>
                <w:sz w:val="16"/>
                <w:szCs w:val="16"/>
                <w:color w:val="auto"/>
              </w:rPr>
            </w:pPr>
          </w:p>
        </w:tc>
      </w:tr>
      <w:tr>
        <w:trPr>
          <w:trHeight w:val="205"/>
        </w:trPr>
        <w:tc>
          <w:tcPr>
            <w:tcW w:w="1140" w:type="dxa"/>
            <w:vAlign w:val="bottom"/>
          </w:tcPr>
          <w:p>
            <w:pPr>
              <w:spacing w:after="0"/>
              <w:rPr>
                <w:sz w:val="17"/>
                <w:szCs w:val="17"/>
                <w:color w:val="auto"/>
              </w:rPr>
            </w:pPr>
          </w:p>
        </w:tc>
        <w:tc>
          <w:tcPr>
            <w:tcW w:w="49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Reason within two (2) years of a Change of Control</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5,000,000</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562,500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174,283</w:t>
            </w:r>
          </w:p>
        </w:tc>
        <w:tc>
          <w:tcPr>
            <w:tcW w:w="174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3,421,754</w:t>
            </w:r>
            <w:r>
              <w:rPr>
                <w:rFonts w:ascii="Arial" w:cs="Arial" w:eastAsia="Arial" w:hAnsi="Arial"/>
                <w:sz w:val="13"/>
                <w:szCs w:val="13"/>
                <w:color w:val="auto"/>
              </w:rPr>
              <w:t>(9)</w:t>
            </w:r>
            <w:r>
              <w:rPr>
                <w:rFonts w:ascii="Arial" w:cs="Arial" w:eastAsia="Arial" w:hAnsi="Arial"/>
                <w:sz w:val="16"/>
                <w:szCs w:val="16"/>
                <w:color w:val="auto"/>
              </w:rPr>
              <w:t xml:space="preserve"> 9,158,537</w:t>
            </w:r>
          </w:p>
        </w:tc>
        <w:tc>
          <w:tcPr>
            <w:tcW w:w="14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199"/>
        </w:trPr>
        <w:tc>
          <w:tcPr>
            <w:tcW w:w="1140" w:type="dxa"/>
            <w:vAlign w:val="bottom"/>
          </w:tcPr>
          <w:p>
            <w:pPr>
              <w:spacing w:after="0"/>
              <w:rPr>
                <w:sz w:val="17"/>
                <w:szCs w:val="17"/>
                <w:color w:val="auto"/>
              </w:rPr>
            </w:pPr>
          </w:p>
        </w:tc>
        <w:tc>
          <w:tcPr>
            <w:tcW w:w="49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Death or Disability</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562,500</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4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1,793,193</w:t>
            </w:r>
            <w:r>
              <w:rPr>
                <w:rFonts w:ascii="Arial" w:cs="Arial" w:eastAsia="Arial" w:hAnsi="Arial"/>
                <w:sz w:val="13"/>
                <w:szCs w:val="13"/>
                <w:color w:val="auto"/>
              </w:rPr>
              <w:t>(9)</w:t>
            </w:r>
            <w:r>
              <w:rPr>
                <w:rFonts w:ascii="Arial" w:cs="Arial" w:eastAsia="Arial" w:hAnsi="Arial"/>
                <w:sz w:val="16"/>
                <w:szCs w:val="16"/>
                <w:color w:val="auto"/>
              </w:rPr>
              <w:t xml:space="preserve"> 2,355,693</w:t>
            </w:r>
          </w:p>
        </w:tc>
        <w:tc>
          <w:tcPr>
            <w:tcW w:w="14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188"/>
        </w:trPr>
        <w:tc>
          <w:tcPr>
            <w:tcW w:w="1140" w:type="dxa"/>
            <w:vAlign w:val="bottom"/>
          </w:tcPr>
          <w:p>
            <w:pPr>
              <w:spacing w:after="0"/>
              <w:rPr>
                <w:sz w:val="16"/>
                <w:szCs w:val="16"/>
                <w:color w:val="auto"/>
              </w:rPr>
            </w:pPr>
          </w:p>
        </w:tc>
        <w:tc>
          <w:tcPr>
            <w:tcW w:w="4920" w:type="dxa"/>
            <w:vAlign w:val="bottom"/>
          </w:tcPr>
          <w:p>
            <w:pPr>
              <w:spacing w:after="0"/>
              <w:rPr>
                <w:sz w:val="20"/>
                <w:szCs w:val="20"/>
                <w:color w:val="auto"/>
              </w:rPr>
            </w:pPr>
            <w:r>
              <w:rPr>
                <w:rFonts w:ascii="Arial" w:cs="Arial" w:eastAsia="Arial" w:hAnsi="Arial"/>
                <w:sz w:val="16"/>
                <w:szCs w:val="16"/>
                <w:b w:val="1"/>
                <w:bCs w:val="1"/>
                <w:color w:val="auto"/>
              </w:rPr>
              <w:t>Mr. Birns</w:t>
            </w: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7"/>
        </w:trPr>
        <w:tc>
          <w:tcPr>
            <w:tcW w:w="1140" w:type="dxa"/>
            <w:vAlign w:val="bottom"/>
          </w:tcPr>
          <w:p>
            <w:pPr>
              <w:spacing w:after="0"/>
              <w:rPr>
                <w:sz w:val="17"/>
                <w:szCs w:val="17"/>
                <w:color w:val="auto"/>
              </w:rPr>
            </w:pPr>
          </w:p>
        </w:tc>
        <w:tc>
          <w:tcPr>
            <w:tcW w:w="4920" w:type="dxa"/>
            <w:vAlign w:val="bottom"/>
          </w:tcPr>
          <w:p>
            <w:pPr>
              <w:ind w:left="160"/>
              <w:spacing w:after="0"/>
              <w:rPr>
                <w:sz w:val="20"/>
                <w:szCs w:val="20"/>
                <w:color w:val="auto"/>
              </w:rPr>
            </w:pPr>
            <w:r>
              <w:rPr>
                <w:rFonts w:ascii="Arial" w:cs="Arial" w:eastAsia="Arial" w:hAnsi="Arial"/>
                <w:sz w:val="16"/>
                <w:szCs w:val="16"/>
                <w:color w:val="auto"/>
              </w:rPr>
              <w:t>Termination by Company for Cause or by Executive Without Good</w:t>
            </w: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7"/>
        </w:trPr>
        <w:tc>
          <w:tcPr>
            <w:tcW w:w="1140" w:type="dxa"/>
            <w:vAlign w:val="bottom"/>
          </w:tcPr>
          <w:p>
            <w:pPr>
              <w:spacing w:after="0"/>
              <w:rPr>
                <w:sz w:val="17"/>
                <w:szCs w:val="17"/>
                <w:color w:val="auto"/>
              </w:rPr>
            </w:pPr>
          </w:p>
        </w:tc>
        <w:tc>
          <w:tcPr>
            <w:tcW w:w="4920" w:type="dxa"/>
            <w:vAlign w:val="bottom"/>
          </w:tcPr>
          <w:p>
            <w:pPr>
              <w:ind w:left="300"/>
              <w:spacing w:after="0"/>
              <w:rPr>
                <w:sz w:val="20"/>
                <w:szCs w:val="20"/>
                <w:color w:val="auto"/>
              </w:rPr>
            </w:pPr>
            <w:r>
              <w:rPr>
                <w:rFonts w:ascii="Arial" w:cs="Arial" w:eastAsia="Arial" w:hAnsi="Arial"/>
                <w:sz w:val="16"/>
                <w:szCs w:val="16"/>
                <w:color w:val="auto"/>
              </w:rPr>
              <w:t>Reason</w:t>
            </w: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960" w:type="dxa"/>
            <w:vAlign w:val="bottom"/>
            <w:gridSpan w:val="3"/>
          </w:tcPr>
          <w:p>
            <w:pPr>
              <w:jc w:val="right"/>
              <w:ind w:right="1280"/>
              <w:spacing w:after="0"/>
              <w:rPr>
                <w:sz w:val="20"/>
                <w:szCs w:val="20"/>
                <w:color w:val="auto"/>
              </w:rPr>
            </w:pPr>
            <w:r>
              <w:rPr>
                <w:rFonts w:ascii="Arial" w:cs="Arial" w:eastAsia="Arial" w:hAnsi="Arial"/>
                <w:sz w:val="16"/>
                <w:szCs w:val="16"/>
                <w:color w:val="auto"/>
              </w:rPr>
              <w:t>—</w:t>
            </w:r>
          </w:p>
        </w:tc>
      </w:tr>
      <w:tr>
        <w:trPr>
          <w:trHeight w:val="197"/>
        </w:trPr>
        <w:tc>
          <w:tcPr>
            <w:tcW w:w="1140" w:type="dxa"/>
            <w:vAlign w:val="bottom"/>
          </w:tcPr>
          <w:p>
            <w:pPr>
              <w:spacing w:after="0"/>
              <w:rPr>
                <w:sz w:val="17"/>
                <w:szCs w:val="17"/>
                <w:color w:val="auto"/>
              </w:rPr>
            </w:pPr>
          </w:p>
        </w:tc>
        <w:tc>
          <w:tcPr>
            <w:tcW w:w="4920" w:type="dxa"/>
            <w:vAlign w:val="bottom"/>
          </w:tcPr>
          <w:p>
            <w:pPr>
              <w:ind w:left="160"/>
              <w:spacing w:after="0"/>
              <w:rPr>
                <w:sz w:val="20"/>
                <w:szCs w:val="20"/>
                <w:color w:val="auto"/>
              </w:rPr>
            </w:pPr>
            <w:r>
              <w:rPr>
                <w:rFonts w:ascii="Arial" w:cs="Arial" w:eastAsia="Arial" w:hAnsi="Arial"/>
                <w:sz w:val="16"/>
                <w:szCs w:val="16"/>
                <w:color w:val="auto"/>
              </w:rPr>
              <w:t>Termination by Company Without Cause or by Executive for Good</w:t>
            </w: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7"/>
        </w:trPr>
        <w:tc>
          <w:tcPr>
            <w:tcW w:w="1140" w:type="dxa"/>
            <w:vAlign w:val="bottom"/>
          </w:tcPr>
          <w:p>
            <w:pPr>
              <w:spacing w:after="0"/>
              <w:rPr>
                <w:sz w:val="17"/>
                <w:szCs w:val="17"/>
                <w:color w:val="auto"/>
              </w:rPr>
            </w:pPr>
          </w:p>
        </w:tc>
        <w:tc>
          <w:tcPr>
            <w:tcW w:w="4920" w:type="dxa"/>
            <w:vAlign w:val="bottom"/>
          </w:tcPr>
          <w:p>
            <w:pPr>
              <w:ind w:left="300"/>
              <w:spacing w:after="0"/>
              <w:rPr>
                <w:sz w:val="20"/>
                <w:szCs w:val="20"/>
                <w:color w:val="auto"/>
              </w:rPr>
            </w:pPr>
            <w:r>
              <w:rPr>
                <w:rFonts w:ascii="Arial" w:cs="Arial" w:eastAsia="Arial" w:hAnsi="Arial"/>
                <w:sz w:val="16"/>
                <w:szCs w:val="16"/>
                <w:color w:val="auto"/>
              </w:rPr>
              <w:t>Reason</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1,200,000</w:t>
            </w: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225,000</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32,816</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775,624</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2,233,440</w:t>
            </w: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7"/>
        </w:trPr>
        <w:tc>
          <w:tcPr>
            <w:tcW w:w="1140" w:type="dxa"/>
            <w:vAlign w:val="bottom"/>
          </w:tcPr>
          <w:p>
            <w:pPr>
              <w:spacing w:after="0"/>
              <w:rPr>
                <w:sz w:val="17"/>
                <w:szCs w:val="17"/>
                <w:color w:val="auto"/>
              </w:rPr>
            </w:pPr>
          </w:p>
        </w:tc>
        <w:tc>
          <w:tcPr>
            <w:tcW w:w="4920" w:type="dxa"/>
            <w:vAlign w:val="bottom"/>
          </w:tcPr>
          <w:p>
            <w:pPr>
              <w:ind w:left="160"/>
              <w:spacing w:after="0"/>
              <w:rPr>
                <w:sz w:val="20"/>
                <w:szCs w:val="20"/>
                <w:color w:val="auto"/>
              </w:rPr>
            </w:pPr>
            <w:r>
              <w:rPr>
                <w:rFonts w:ascii="Arial" w:cs="Arial" w:eastAsia="Arial" w:hAnsi="Arial"/>
                <w:sz w:val="16"/>
                <w:szCs w:val="16"/>
                <w:color w:val="auto"/>
              </w:rPr>
              <w:t>Termination by Company Without Cause or by Executive for Good</w:t>
            </w: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7"/>
        </w:trPr>
        <w:tc>
          <w:tcPr>
            <w:tcW w:w="1140" w:type="dxa"/>
            <w:vAlign w:val="bottom"/>
          </w:tcPr>
          <w:p>
            <w:pPr>
              <w:spacing w:after="0"/>
              <w:rPr>
                <w:sz w:val="17"/>
                <w:szCs w:val="17"/>
                <w:color w:val="auto"/>
              </w:rPr>
            </w:pPr>
          </w:p>
        </w:tc>
        <w:tc>
          <w:tcPr>
            <w:tcW w:w="4920" w:type="dxa"/>
            <w:vAlign w:val="bottom"/>
          </w:tcPr>
          <w:p>
            <w:pPr>
              <w:ind w:left="300"/>
              <w:spacing w:after="0"/>
              <w:rPr>
                <w:sz w:val="20"/>
                <w:szCs w:val="20"/>
                <w:color w:val="auto"/>
              </w:rPr>
            </w:pPr>
            <w:r>
              <w:rPr>
                <w:rFonts w:ascii="Arial" w:cs="Arial" w:eastAsia="Arial" w:hAnsi="Arial"/>
                <w:sz w:val="16"/>
                <w:szCs w:val="16"/>
                <w:color w:val="auto"/>
              </w:rPr>
              <w:t>Reason within two (2) years of a Change of Control</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1,200,000</w:t>
            </w: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225,000</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32,816</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1,447,423</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2,905,239</w:t>
            </w: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5"/>
        </w:trPr>
        <w:tc>
          <w:tcPr>
            <w:tcW w:w="1140" w:type="dxa"/>
            <w:vAlign w:val="bottom"/>
          </w:tcPr>
          <w:p>
            <w:pPr>
              <w:spacing w:after="0"/>
              <w:rPr>
                <w:sz w:val="17"/>
                <w:szCs w:val="17"/>
                <w:color w:val="auto"/>
              </w:rPr>
            </w:pPr>
          </w:p>
        </w:tc>
        <w:tc>
          <w:tcPr>
            <w:tcW w:w="4920" w:type="dxa"/>
            <w:vAlign w:val="bottom"/>
          </w:tcPr>
          <w:p>
            <w:pPr>
              <w:ind w:left="160"/>
              <w:spacing w:after="0"/>
              <w:rPr>
                <w:sz w:val="20"/>
                <w:szCs w:val="20"/>
                <w:color w:val="auto"/>
              </w:rPr>
            </w:pPr>
            <w:r>
              <w:rPr>
                <w:rFonts w:ascii="Arial" w:cs="Arial" w:eastAsia="Arial" w:hAnsi="Arial"/>
                <w:sz w:val="16"/>
                <w:szCs w:val="16"/>
                <w:color w:val="auto"/>
              </w:rPr>
              <w:t>Death or Disability</w:t>
            </w: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225,000</w:t>
            </w: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775,624</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1,000,624</w:t>
            </w: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9"/>
        </w:trPr>
        <w:tc>
          <w:tcPr>
            <w:tcW w:w="1140" w:type="dxa"/>
            <w:vAlign w:val="bottom"/>
          </w:tcPr>
          <w:p>
            <w:pPr>
              <w:spacing w:after="0"/>
              <w:rPr>
                <w:sz w:val="17"/>
                <w:szCs w:val="17"/>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Mr. Smith</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188"/>
        </w:trPr>
        <w:tc>
          <w:tcPr>
            <w:tcW w:w="1140" w:type="dxa"/>
            <w:vAlign w:val="bottom"/>
          </w:tcPr>
          <w:p>
            <w:pPr>
              <w:spacing w:after="0"/>
              <w:rPr>
                <w:sz w:val="16"/>
                <w:szCs w:val="16"/>
                <w:color w:val="auto"/>
              </w:rPr>
            </w:pPr>
          </w:p>
        </w:tc>
        <w:tc>
          <w:tcPr>
            <w:tcW w:w="49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Termination by Company for Cause or by Executive Without Good</w:t>
            </w: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tcPr>
          <w:p>
            <w:pPr>
              <w:spacing w:after="0"/>
              <w:rPr>
                <w:sz w:val="16"/>
                <w:szCs w:val="16"/>
                <w:color w:val="auto"/>
              </w:rPr>
            </w:pPr>
          </w:p>
        </w:tc>
      </w:tr>
      <w:tr>
        <w:trPr>
          <w:trHeight w:val="205"/>
        </w:trPr>
        <w:tc>
          <w:tcPr>
            <w:tcW w:w="1140" w:type="dxa"/>
            <w:vAlign w:val="bottom"/>
          </w:tcPr>
          <w:p>
            <w:pPr>
              <w:spacing w:after="0"/>
              <w:rPr>
                <w:sz w:val="17"/>
                <w:szCs w:val="17"/>
                <w:color w:val="auto"/>
              </w:rPr>
            </w:pPr>
          </w:p>
        </w:tc>
        <w:tc>
          <w:tcPr>
            <w:tcW w:w="49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Reason</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40" w:type="dxa"/>
            <w:vAlign w:val="bottom"/>
          </w:tcPr>
          <w:p>
            <w:pPr>
              <w:spacing w:after="0"/>
              <w:rPr>
                <w:sz w:val="17"/>
                <w:szCs w:val="17"/>
                <w:color w:val="auto"/>
              </w:rPr>
            </w:pPr>
          </w:p>
        </w:tc>
      </w:tr>
      <w:tr>
        <w:trPr>
          <w:trHeight w:val="199"/>
        </w:trPr>
        <w:tc>
          <w:tcPr>
            <w:tcW w:w="1140" w:type="dxa"/>
            <w:vAlign w:val="bottom"/>
          </w:tcPr>
          <w:p>
            <w:pPr>
              <w:spacing w:after="0"/>
              <w:rPr>
                <w:sz w:val="17"/>
                <w:szCs w:val="17"/>
                <w:color w:val="auto"/>
              </w:rPr>
            </w:pPr>
          </w:p>
        </w:tc>
        <w:tc>
          <w:tcPr>
            <w:tcW w:w="49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Termination by Company Without Cause</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600,000</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32,902</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632,902</w:t>
            </w:r>
          </w:p>
        </w:tc>
        <w:tc>
          <w:tcPr>
            <w:tcW w:w="14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190"/>
        </w:trPr>
        <w:tc>
          <w:tcPr>
            <w:tcW w:w="1140" w:type="dxa"/>
            <w:vAlign w:val="bottom"/>
          </w:tcPr>
          <w:p>
            <w:pPr>
              <w:spacing w:after="0"/>
              <w:rPr>
                <w:sz w:val="16"/>
                <w:szCs w:val="16"/>
                <w:color w:val="auto"/>
              </w:rPr>
            </w:pPr>
          </w:p>
        </w:tc>
        <w:tc>
          <w:tcPr>
            <w:tcW w:w="49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Termination by Company Without Cause or by Executive for Good</w:t>
            </w: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tcPr>
          <w:p>
            <w:pPr>
              <w:spacing w:after="0"/>
              <w:rPr>
                <w:sz w:val="16"/>
                <w:szCs w:val="16"/>
                <w:color w:val="auto"/>
              </w:rPr>
            </w:pPr>
          </w:p>
        </w:tc>
      </w:tr>
      <w:tr>
        <w:trPr>
          <w:trHeight w:val="242"/>
        </w:trPr>
        <w:tc>
          <w:tcPr>
            <w:tcW w:w="1140" w:type="dxa"/>
            <w:vAlign w:val="bottom"/>
          </w:tcPr>
          <w:p>
            <w:pPr>
              <w:spacing w:after="0"/>
              <w:rPr>
                <w:sz w:val="21"/>
                <w:szCs w:val="21"/>
                <w:color w:val="auto"/>
              </w:rPr>
            </w:pPr>
          </w:p>
        </w:tc>
        <w:tc>
          <w:tcPr>
            <w:tcW w:w="4920" w:type="dxa"/>
            <w:vAlign w:val="bottom"/>
            <w:shd w:val="clear" w:color="auto" w:fill="CCEEFF"/>
          </w:tcPr>
          <w:p>
            <w:pPr>
              <w:ind w:left="300"/>
              <w:spacing w:after="0" w:line="242" w:lineRule="exact"/>
              <w:rPr>
                <w:sz w:val="20"/>
                <w:szCs w:val="20"/>
                <w:color w:val="auto"/>
              </w:rPr>
            </w:pPr>
            <w:r>
              <w:rPr>
                <w:rFonts w:ascii="Arial" w:cs="Arial" w:eastAsia="Arial" w:hAnsi="Arial"/>
                <w:sz w:val="16"/>
                <w:szCs w:val="16"/>
                <w:color w:val="auto"/>
              </w:rPr>
              <w:t>Reason</w:t>
            </w:r>
            <w:r>
              <w:rPr>
                <w:rFonts w:ascii="Arial" w:cs="Arial" w:eastAsia="Arial" w:hAnsi="Arial"/>
                <w:sz w:val="26"/>
                <w:szCs w:val="26"/>
                <w:color w:val="auto"/>
                <w:vertAlign w:val="superscript"/>
              </w:rPr>
              <w:t>(7)</w:t>
            </w:r>
            <w:r>
              <w:rPr>
                <w:rFonts w:ascii="Arial" w:cs="Arial" w:eastAsia="Arial" w:hAnsi="Arial"/>
                <w:sz w:val="16"/>
                <w:szCs w:val="16"/>
                <w:color w:val="auto"/>
              </w:rPr>
              <w:t xml:space="preserve"> within two (2) years of a Change of Control</w:t>
            </w:r>
          </w:p>
        </w:tc>
        <w:tc>
          <w:tcPr>
            <w:tcW w:w="14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600,000</w:t>
            </w:r>
          </w:p>
        </w:tc>
        <w:tc>
          <w:tcPr>
            <w:tcW w:w="14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32,902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3,148,810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3,781,712</w:t>
            </w:r>
          </w:p>
        </w:tc>
        <w:tc>
          <w:tcPr>
            <w:tcW w:w="140" w:type="dxa"/>
            <w:vAlign w:val="bottom"/>
            <w:shd w:val="clear" w:color="auto" w:fill="CCEEFF"/>
          </w:tcPr>
          <w:p>
            <w:pPr>
              <w:spacing w:after="0"/>
              <w:rPr>
                <w:sz w:val="21"/>
                <w:szCs w:val="21"/>
                <w:color w:val="auto"/>
              </w:rPr>
            </w:pPr>
          </w:p>
        </w:tc>
        <w:tc>
          <w:tcPr>
            <w:tcW w:w="1140" w:type="dxa"/>
            <w:vAlign w:val="bottom"/>
          </w:tcPr>
          <w:p>
            <w:pPr>
              <w:spacing w:after="0"/>
              <w:rPr>
                <w:sz w:val="21"/>
                <w:szCs w:val="21"/>
                <w:color w:val="auto"/>
              </w:rPr>
            </w:pPr>
          </w:p>
        </w:tc>
      </w:tr>
      <w:tr>
        <w:trPr>
          <w:trHeight w:val="197"/>
        </w:trPr>
        <w:tc>
          <w:tcPr>
            <w:tcW w:w="1140" w:type="dxa"/>
            <w:vAlign w:val="bottom"/>
          </w:tcPr>
          <w:p>
            <w:pPr>
              <w:spacing w:after="0"/>
              <w:rPr>
                <w:sz w:val="17"/>
                <w:szCs w:val="17"/>
                <w:color w:val="auto"/>
              </w:rPr>
            </w:pPr>
          </w:p>
        </w:tc>
        <w:tc>
          <w:tcPr>
            <w:tcW w:w="49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Death or Disability</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32,902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73,262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106,163</w:t>
            </w:r>
          </w:p>
        </w:tc>
        <w:tc>
          <w:tcPr>
            <w:tcW w:w="14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188"/>
        </w:trPr>
        <w:tc>
          <w:tcPr>
            <w:tcW w:w="1140" w:type="dxa"/>
            <w:vAlign w:val="bottom"/>
          </w:tcPr>
          <w:p>
            <w:pPr>
              <w:spacing w:after="0"/>
              <w:rPr>
                <w:sz w:val="16"/>
                <w:szCs w:val="16"/>
                <w:color w:val="auto"/>
              </w:rPr>
            </w:pPr>
          </w:p>
        </w:tc>
        <w:tc>
          <w:tcPr>
            <w:tcW w:w="4920" w:type="dxa"/>
            <w:vAlign w:val="bottom"/>
          </w:tcPr>
          <w:p>
            <w:pPr>
              <w:spacing w:after="0"/>
              <w:rPr>
                <w:sz w:val="20"/>
                <w:szCs w:val="20"/>
                <w:color w:val="auto"/>
              </w:rPr>
            </w:pPr>
            <w:r>
              <w:rPr>
                <w:rFonts w:ascii="Arial" w:cs="Arial" w:eastAsia="Arial" w:hAnsi="Arial"/>
                <w:sz w:val="16"/>
                <w:szCs w:val="16"/>
                <w:b w:val="1"/>
                <w:bCs w:val="1"/>
                <w:color w:val="auto"/>
              </w:rPr>
              <w:t>Mr. Crosby</w:t>
            </w: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7"/>
        </w:trPr>
        <w:tc>
          <w:tcPr>
            <w:tcW w:w="1140" w:type="dxa"/>
            <w:vAlign w:val="bottom"/>
          </w:tcPr>
          <w:p>
            <w:pPr>
              <w:spacing w:after="0"/>
              <w:rPr>
                <w:sz w:val="17"/>
                <w:szCs w:val="17"/>
                <w:color w:val="auto"/>
              </w:rPr>
            </w:pPr>
          </w:p>
        </w:tc>
        <w:tc>
          <w:tcPr>
            <w:tcW w:w="4920" w:type="dxa"/>
            <w:vAlign w:val="bottom"/>
          </w:tcPr>
          <w:p>
            <w:pPr>
              <w:ind w:left="160"/>
              <w:spacing w:after="0"/>
              <w:rPr>
                <w:sz w:val="20"/>
                <w:szCs w:val="20"/>
                <w:color w:val="auto"/>
              </w:rPr>
            </w:pPr>
            <w:r>
              <w:rPr>
                <w:rFonts w:ascii="Arial" w:cs="Arial" w:eastAsia="Arial" w:hAnsi="Arial"/>
                <w:sz w:val="16"/>
                <w:szCs w:val="16"/>
                <w:color w:val="auto"/>
              </w:rPr>
              <w:t>Termination by Company for Cause or by Executive Without Good</w:t>
            </w: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7"/>
        </w:trPr>
        <w:tc>
          <w:tcPr>
            <w:tcW w:w="1140" w:type="dxa"/>
            <w:vAlign w:val="bottom"/>
          </w:tcPr>
          <w:p>
            <w:pPr>
              <w:spacing w:after="0"/>
              <w:rPr>
                <w:sz w:val="17"/>
                <w:szCs w:val="17"/>
                <w:color w:val="auto"/>
              </w:rPr>
            </w:pPr>
          </w:p>
        </w:tc>
        <w:tc>
          <w:tcPr>
            <w:tcW w:w="4920" w:type="dxa"/>
            <w:vAlign w:val="bottom"/>
          </w:tcPr>
          <w:p>
            <w:pPr>
              <w:ind w:left="300"/>
              <w:spacing w:after="0"/>
              <w:rPr>
                <w:sz w:val="20"/>
                <w:szCs w:val="20"/>
                <w:color w:val="auto"/>
              </w:rPr>
            </w:pPr>
            <w:r>
              <w:rPr>
                <w:rFonts w:ascii="Arial" w:cs="Arial" w:eastAsia="Arial" w:hAnsi="Arial"/>
                <w:sz w:val="16"/>
                <w:szCs w:val="16"/>
                <w:color w:val="auto"/>
              </w:rPr>
              <w:t>Reason</w:t>
            </w: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960" w:type="dxa"/>
            <w:vAlign w:val="bottom"/>
            <w:gridSpan w:val="3"/>
          </w:tcPr>
          <w:p>
            <w:pPr>
              <w:jc w:val="right"/>
              <w:ind w:right="1280"/>
              <w:spacing w:after="0"/>
              <w:rPr>
                <w:sz w:val="20"/>
                <w:szCs w:val="20"/>
                <w:color w:val="auto"/>
              </w:rPr>
            </w:pPr>
            <w:r>
              <w:rPr>
                <w:rFonts w:ascii="Arial" w:cs="Arial" w:eastAsia="Arial" w:hAnsi="Arial"/>
                <w:sz w:val="16"/>
                <w:szCs w:val="16"/>
                <w:color w:val="auto"/>
              </w:rPr>
              <w:t>—</w:t>
            </w:r>
          </w:p>
        </w:tc>
      </w:tr>
      <w:tr>
        <w:trPr>
          <w:trHeight w:val="197"/>
        </w:trPr>
        <w:tc>
          <w:tcPr>
            <w:tcW w:w="1140" w:type="dxa"/>
            <w:vAlign w:val="bottom"/>
          </w:tcPr>
          <w:p>
            <w:pPr>
              <w:spacing w:after="0"/>
              <w:rPr>
                <w:sz w:val="17"/>
                <w:szCs w:val="17"/>
                <w:color w:val="auto"/>
              </w:rPr>
            </w:pPr>
          </w:p>
        </w:tc>
        <w:tc>
          <w:tcPr>
            <w:tcW w:w="4920" w:type="dxa"/>
            <w:vAlign w:val="bottom"/>
          </w:tcPr>
          <w:p>
            <w:pPr>
              <w:ind w:left="160"/>
              <w:spacing w:after="0"/>
              <w:rPr>
                <w:sz w:val="20"/>
                <w:szCs w:val="20"/>
                <w:color w:val="auto"/>
              </w:rPr>
            </w:pPr>
            <w:r>
              <w:rPr>
                <w:rFonts w:ascii="Arial" w:cs="Arial" w:eastAsia="Arial" w:hAnsi="Arial"/>
                <w:sz w:val="16"/>
                <w:szCs w:val="16"/>
                <w:color w:val="auto"/>
              </w:rPr>
              <w:t>Termination by Company Without Cause</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1,000,000</w:t>
            </w: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150,000</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32,902</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342,913</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1,525,815</w:t>
            </w: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8"/>
        </w:trPr>
        <w:tc>
          <w:tcPr>
            <w:tcW w:w="1140" w:type="dxa"/>
            <w:vAlign w:val="bottom"/>
          </w:tcPr>
          <w:p>
            <w:pPr>
              <w:spacing w:after="0"/>
              <w:rPr>
                <w:sz w:val="17"/>
                <w:szCs w:val="17"/>
                <w:color w:val="auto"/>
              </w:rPr>
            </w:pPr>
          </w:p>
        </w:tc>
        <w:tc>
          <w:tcPr>
            <w:tcW w:w="4920" w:type="dxa"/>
            <w:vAlign w:val="bottom"/>
          </w:tcPr>
          <w:p>
            <w:pPr>
              <w:ind w:left="160"/>
              <w:spacing w:after="0"/>
              <w:rPr>
                <w:sz w:val="20"/>
                <w:szCs w:val="20"/>
                <w:color w:val="auto"/>
              </w:rPr>
            </w:pPr>
            <w:r>
              <w:rPr>
                <w:rFonts w:ascii="Arial" w:cs="Arial" w:eastAsia="Arial" w:hAnsi="Arial"/>
                <w:sz w:val="16"/>
                <w:szCs w:val="16"/>
                <w:color w:val="auto"/>
              </w:rPr>
              <w:t>Termination by Company Without Cause or by Executive for Good</w:t>
            </w: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33"/>
        </w:trPr>
        <w:tc>
          <w:tcPr>
            <w:tcW w:w="1140" w:type="dxa"/>
            <w:vAlign w:val="bottom"/>
          </w:tcPr>
          <w:p>
            <w:pPr>
              <w:spacing w:after="0"/>
              <w:rPr>
                <w:sz w:val="20"/>
                <w:szCs w:val="20"/>
                <w:color w:val="auto"/>
              </w:rPr>
            </w:pPr>
          </w:p>
        </w:tc>
        <w:tc>
          <w:tcPr>
            <w:tcW w:w="4920" w:type="dxa"/>
            <w:vAlign w:val="bottom"/>
          </w:tcPr>
          <w:p>
            <w:pPr>
              <w:ind w:left="300"/>
              <w:spacing w:after="0" w:line="233" w:lineRule="exact"/>
              <w:rPr>
                <w:sz w:val="20"/>
                <w:szCs w:val="20"/>
                <w:color w:val="auto"/>
              </w:rPr>
            </w:pPr>
            <w:r>
              <w:rPr>
                <w:rFonts w:ascii="Arial" w:cs="Arial" w:eastAsia="Arial" w:hAnsi="Arial"/>
                <w:sz w:val="16"/>
                <w:szCs w:val="16"/>
                <w:color w:val="auto"/>
              </w:rPr>
              <w:t>Reason</w:t>
            </w:r>
            <w:r>
              <w:rPr>
                <w:rFonts w:ascii="Arial" w:cs="Arial" w:eastAsia="Arial" w:hAnsi="Arial"/>
                <w:sz w:val="26"/>
                <w:szCs w:val="26"/>
                <w:color w:val="auto"/>
                <w:vertAlign w:val="superscript"/>
              </w:rPr>
              <w:t>(7)</w:t>
            </w:r>
            <w:r>
              <w:rPr>
                <w:rFonts w:ascii="Arial" w:cs="Arial" w:eastAsia="Arial" w:hAnsi="Arial"/>
                <w:sz w:val="16"/>
                <w:szCs w:val="16"/>
                <w:color w:val="auto"/>
              </w:rPr>
              <w:t xml:space="preserve"> within two (2) years of a Change of Control</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1,000,000</w:t>
            </w: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150,000</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32,902</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1,863,853</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3,046,755</w:t>
            </w: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05"/>
        </w:trPr>
        <w:tc>
          <w:tcPr>
            <w:tcW w:w="1140" w:type="dxa"/>
            <w:vAlign w:val="bottom"/>
          </w:tcPr>
          <w:p>
            <w:pPr>
              <w:spacing w:after="0"/>
              <w:rPr>
                <w:sz w:val="17"/>
                <w:szCs w:val="17"/>
                <w:color w:val="auto"/>
              </w:rPr>
            </w:pPr>
          </w:p>
        </w:tc>
        <w:tc>
          <w:tcPr>
            <w:tcW w:w="4920" w:type="dxa"/>
            <w:vAlign w:val="bottom"/>
          </w:tcPr>
          <w:p>
            <w:pPr>
              <w:ind w:left="160"/>
              <w:spacing w:after="0"/>
              <w:rPr>
                <w:sz w:val="20"/>
                <w:szCs w:val="20"/>
                <w:color w:val="auto"/>
              </w:rPr>
            </w:pPr>
            <w:r>
              <w:rPr>
                <w:rFonts w:ascii="Arial" w:cs="Arial" w:eastAsia="Arial" w:hAnsi="Arial"/>
                <w:sz w:val="16"/>
                <w:szCs w:val="16"/>
                <w:color w:val="auto"/>
              </w:rPr>
              <w:t>Death or Disability</w:t>
            </w: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200,000</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32,902</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643,328</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876,230</w:t>
            </w: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432"/>
        </w:trPr>
        <w:tc>
          <w:tcPr>
            <w:tcW w:w="114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20" w:type="dxa"/>
            <w:vAlign w:val="bottom"/>
            <w:gridSpan w:val="6"/>
          </w:tcPr>
          <w:p>
            <w:pPr>
              <w:jc w:val="right"/>
              <w:spacing w:after="0"/>
              <w:rPr>
                <w:sz w:val="20"/>
                <w:szCs w:val="20"/>
                <w:color w:val="auto"/>
              </w:rPr>
            </w:pPr>
            <w:r>
              <w:rPr>
                <w:rFonts w:ascii="Arial" w:cs="Arial" w:eastAsia="Arial" w:hAnsi="Arial"/>
                <w:sz w:val="16"/>
                <w:szCs w:val="16"/>
                <w:b w:val="1"/>
                <w:bCs w:val="1"/>
                <w:color w:val="0048E0"/>
                <w:w w:val="93"/>
              </w:rPr>
              <w:t>World Fuel Services Corporation</w:t>
            </w:r>
          </w:p>
        </w:tc>
        <w:tc>
          <w:tcPr>
            <w:tcW w:w="2120" w:type="dxa"/>
            <w:vAlign w:val="bottom"/>
            <w:gridSpan w:val="4"/>
          </w:tcPr>
          <w:p>
            <w:pPr>
              <w:ind w:left="140"/>
              <w:spacing w:after="0"/>
              <w:rPr>
                <w:sz w:val="20"/>
                <w:szCs w:val="20"/>
                <w:color w:val="auto"/>
              </w:rPr>
            </w:pPr>
            <w:r>
              <w:rPr>
                <w:rFonts w:ascii="Arial" w:cs="Arial" w:eastAsia="Arial" w:hAnsi="Arial"/>
                <w:sz w:val="32"/>
                <w:szCs w:val="32"/>
                <w:b w:val="1"/>
                <w:bCs w:val="1"/>
                <w:color w:val="auto"/>
                <w:w w:val="98"/>
                <w:vertAlign w:val="subscript"/>
              </w:rPr>
              <w:t>|</w:t>
            </w:r>
            <w:r>
              <w:rPr>
                <w:rFonts w:ascii="Arial" w:cs="Arial" w:eastAsia="Arial" w:hAnsi="Arial"/>
                <w:sz w:val="16"/>
                <w:szCs w:val="16"/>
                <w:color w:val="auto"/>
                <w:w w:val="98"/>
              </w:rPr>
              <w:t xml:space="preserve">  2018 Proxy Statement  58</w:t>
            </w:r>
          </w:p>
        </w:tc>
      </w:tr>
      <w:tr>
        <w:trPr>
          <w:trHeight w:val="170"/>
        </w:trPr>
        <w:tc>
          <w:tcPr>
            <w:tcW w:w="1140" w:type="dxa"/>
            <w:vAlign w:val="bottom"/>
            <w:tcBorders>
              <w:bottom w:val="single" w:sz="8" w:color="808080"/>
            </w:tcBorders>
          </w:tcPr>
          <w:p>
            <w:pPr>
              <w:spacing w:after="0"/>
              <w:rPr>
                <w:sz w:val="14"/>
                <w:szCs w:val="14"/>
                <w:color w:val="auto"/>
              </w:rPr>
            </w:pPr>
          </w:p>
        </w:tc>
        <w:tc>
          <w:tcPr>
            <w:tcW w:w="492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6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76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6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114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-13335</wp:posOffset>
            </wp:positionV>
            <wp:extent cx="12700" cy="76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12700" cy="76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21"/>
          </w:cols>
          <w:pgMar w:left="239" w:top="131" w:right="239" w:bottom="1440" w:gutter="0" w:footer="0" w:header="0"/>
        </w:sectPr>
      </w:pPr>
    </w:p>
    <w:bookmarkStart w:id="63" w:name="page64"/>
    <w:bookmarkEnd w:id="63"/>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27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center"/>
              <w:spacing w:after="0"/>
              <w:rPr>
                <w:sz w:val="20"/>
                <w:szCs w:val="20"/>
                <w:color w:val="auto"/>
              </w:rPr>
            </w:pPr>
            <w:r>
              <w:rPr>
                <w:rFonts w:ascii="Arial" w:cs="Arial" w:eastAsia="Arial" w:hAnsi="Arial"/>
                <w:sz w:val="12"/>
                <w:szCs w:val="12"/>
                <w:b w:val="1"/>
                <w:bCs w:val="1"/>
                <w:color w:val="auto"/>
                <w:w w:val="91"/>
              </w:rPr>
              <w:t>Acceleration</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36"/>
        </w:trPr>
        <w:tc>
          <w:tcPr>
            <w:tcW w:w="270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3"/>
              </w:rPr>
              <w:t>and</w:t>
            </w: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6"/>
        </w:trPr>
        <w:tc>
          <w:tcPr>
            <w:tcW w:w="270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4"/>
              </w:rPr>
              <w:t>Continuation</w:t>
            </w: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1"/>
        </w:trPr>
        <w:tc>
          <w:tcPr>
            <w:tcW w:w="270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680" w:type="dxa"/>
            <w:vAlign w:val="bottom"/>
          </w:tcPr>
          <w:p>
            <w:pPr>
              <w:jc w:val="right"/>
              <w:ind w:right="6"/>
              <w:spacing w:after="0" w:line="132" w:lineRule="exact"/>
              <w:rPr>
                <w:sz w:val="20"/>
                <w:szCs w:val="20"/>
                <w:color w:val="auto"/>
              </w:rPr>
            </w:pPr>
            <w:r>
              <w:rPr>
                <w:rFonts w:ascii="Arial" w:cs="Arial" w:eastAsia="Arial" w:hAnsi="Arial"/>
                <w:sz w:val="12"/>
                <w:szCs w:val="12"/>
                <w:b w:val="1"/>
                <w:bCs w:val="1"/>
                <w:color w:val="auto"/>
                <w:w w:val="96"/>
              </w:rPr>
              <w:t>Severance</w:t>
            </w:r>
          </w:p>
        </w:tc>
        <w:tc>
          <w:tcPr>
            <w:tcW w:w="140" w:type="dxa"/>
            <w:vAlign w:val="bottom"/>
          </w:tcPr>
          <w:p>
            <w:pPr>
              <w:spacing w:after="0"/>
              <w:rPr>
                <w:sz w:val="11"/>
                <w:szCs w:val="11"/>
                <w:color w:val="auto"/>
              </w:rPr>
            </w:pPr>
          </w:p>
        </w:tc>
        <w:tc>
          <w:tcPr>
            <w:tcW w:w="560" w:type="dxa"/>
            <w:vAlign w:val="bottom"/>
          </w:tcPr>
          <w:p>
            <w:pPr>
              <w:jc w:val="right"/>
              <w:spacing w:after="0" w:line="132" w:lineRule="exact"/>
              <w:rPr>
                <w:sz w:val="20"/>
                <w:szCs w:val="20"/>
                <w:color w:val="auto"/>
              </w:rPr>
            </w:pPr>
            <w:r>
              <w:rPr>
                <w:rFonts w:ascii="Arial" w:cs="Arial" w:eastAsia="Arial" w:hAnsi="Arial"/>
                <w:sz w:val="12"/>
                <w:szCs w:val="12"/>
                <w:b w:val="1"/>
                <w:bCs w:val="1"/>
                <w:color w:val="auto"/>
                <w:w w:val="99"/>
              </w:rPr>
              <w:t>Pro-Rata</w:t>
            </w:r>
          </w:p>
        </w:tc>
        <w:tc>
          <w:tcPr>
            <w:tcW w:w="160" w:type="dxa"/>
            <w:vAlign w:val="bottom"/>
          </w:tcPr>
          <w:p>
            <w:pPr>
              <w:spacing w:after="0"/>
              <w:rPr>
                <w:sz w:val="11"/>
                <w:szCs w:val="11"/>
                <w:color w:val="auto"/>
              </w:rPr>
            </w:pPr>
          </w:p>
        </w:tc>
        <w:tc>
          <w:tcPr>
            <w:tcW w:w="640" w:type="dxa"/>
            <w:vAlign w:val="bottom"/>
          </w:tcPr>
          <w:p>
            <w:pPr>
              <w:jc w:val="right"/>
              <w:ind w:right="32"/>
              <w:spacing w:after="0" w:line="132" w:lineRule="exact"/>
              <w:rPr>
                <w:sz w:val="20"/>
                <w:szCs w:val="20"/>
                <w:color w:val="auto"/>
              </w:rPr>
            </w:pPr>
            <w:r>
              <w:rPr>
                <w:rFonts w:ascii="Arial" w:cs="Arial" w:eastAsia="Arial" w:hAnsi="Arial"/>
                <w:sz w:val="12"/>
                <w:szCs w:val="12"/>
                <w:b w:val="1"/>
                <w:bCs w:val="1"/>
                <w:color w:val="auto"/>
              </w:rPr>
              <w:t>Medical</w:t>
            </w:r>
          </w:p>
        </w:tc>
        <w:tc>
          <w:tcPr>
            <w:tcW w:w="160" w:type="dxa"/>
            <w:vAlign w:val="bottom"/>
          </w:tcPr>
          <w:p>
            <w:pPr>
              <w:spacing w:after="0"/>
              <w:rPr>
                <w:sz w:val="11"/>
                <w:szCs w:val="11"/>
                <w:color w:val="auto"/>
              </w:rPr>
            </w:pPr>
          </w:p>
        </w:tc>
        <w:tc>
          <w:tcPr>
            <w:tcW w:w="74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97"/>
              </w:rPr>
              <w:t>of Equity</w:t>
            </w: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78"/>
        </w:trPr>
        <w:tc>
          <w:tcPr>
            <w:tcW w:w="270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680" w:type="dxa"/>
            <w:vAlign w:val="bottom"/>
          </w:tcPr>
          <w:p>
            <w:pPr>
              <w:jc w:val="right"/>
              <w:spacing w:after="0" w:line="178" w:lineRule="exact"/>
              <w:rPr>
                <w:sz w:val="20"/>
                <w:szCs w:val="20"/>
                <w:color w:val="auto"/>
              </w:rPr>
            </w:pPr>
            <w:r>
              <w:rPr>
                <w:rFonts w:ascii="Arial" w:cs="Arial" w:eastAsia="Arial" w:hAnsi="Arial"/>
                <w:sz w:val="12"/>
                <w:szCs w:val="12"/>
                <w:b w:val="1"/>
                <w:bCs w:val="1"/>
                <w:color w:val="auto"/>
                <w:w w:val="90"/>
              </w:rPr>
              <w:t>Payment</w:t>
            </w:r>
            <w:r>
              <w:rPr>
                <w:rFonts w:ascii="Arial" w:cs="Arial" w:eastAsia="Arial" w:hAnsi="Arial"/>
                <w:sz w:val="20"/>
                <w:szCs w:val="20"/>
                <w:b w:val="1"/>
                <w:bCs w:val="1"/>
                <w:color w:val="auto"/>
                <w:w w:val="90"/>
                <w:vertAlign w:val="superscript"/>
              </w:rPr>
              <w:t>(1)</w:t>
            </w:r>
          </w:p>
        </w:tc>
        <w:tc>
          <w:tcPr>
            <w:tcW w:w="140" w:type="dxa"/>
            <w:vAlign w:val="bottom"/>
          </w:tcPr>
          <w:p>
            <w:pPr>
              <w:spacing w:after="0"/>
              <w:rPr>
                <w:sz w:val="15"/>
                <w:szCs w:val="15"/>
                <w:color w:val="auto"/>
              </w:rPr>
            </w:pPr>
          </w:p>
        </w:tc>
        <w:tc>
          <w:tcPr>
            <w:tcW w:w="560" w:type="dxa"/>
            <w:vAlign w:val="bottom"/>
          </w:tcPr>
          <w:p>
            <w:pPr>
              <w:jc w:val="right"/>
              <w:spacing w:after="0" w:line="178" w:lineRule="exact"/>
              <w:rPr>
                <w:sz w:val="20"/>
                <w:szCs w:val="20"/>
                <w:color w:val="auto"/>
              </w:rPr>
            </w:pPr>
            <w:r>
              <w:rPr>
                <w:rFonts w:ascii="Arial" w:cs="Arial" w:eastAsia="Arial" w:hAnsi="Arial"/>
                <w:sz w:val="12"/>
                <w:szCs w:val="12"/>
                <w:b w:val="1"/>
                <w:bCs w:val="1"/>
                <w:color w:val="auto"/>
                <w:w w:val="89"/>
              </w:rPr>
              <w:t>Bonus</w:t>
            </w:r>
            <w:r>
              <w:rPr>
                <w:rFonts w:ascii="Arial" w:cs="Arial" w:eastAsia="Arial" w:hAnsi="Arial"/>
                <w:sz w:val="20"/>
                <w:szCs w:val="20"/>
                <w:b w:val="1"/>
                <w:bCs w:val="1"/>
                <w:color w:val="auto"/>
                <w:w w:val="89"/>
                <w:vertAlign w:val="superscript"/>
              </w:rPr>
              <w:t>(2)</w:t>
            </w:r>
          </w:p>
        </w:tc>
        <w:tc>
          <w:tcPr>
            <w:tcW w:w="160" w:type="dxa"/>
            <w:vAlign w:val="bottom"/>
          </w:tcPr>
          <w:p>
            <w:pPr>
              <w:spacing w:after="0"/>
              <w:rPr>
                <w:sz w:val="15"/>
                <w:szCs w:val="15"/>
                <w:color w:val="auto"/>
              </w:rPr>
            </w:pPr>
          </w:p>
        </w:tc>
        <w:tc>
          <w:tcPr>
            <w:tcW w:w="640" w:type="dxa"/>
            <w:vAlign w:val="bottom"/>
          </w:tcPr>
          <w:p>
            <w:pPr>
              <w:jc w:val="right"/>
              <w:spacing w:after="0" w:line="178" w:lineRule="exact"/>
              <w:rPr>
                <w:sz w:val="20"/>
                <w:szCs w:val="20"/>
                <w:color w:val="auto"/>
              </w:rPr>
            </w:pPr>
            <w:r>
              <w:rPr>
                <w:rFonts w:ascii="Arial" w:cs="Arial" w:eastAsia="Arial" w:hAnsi="Arial"/>
                <w:sz w:val="12"/>
                <w:szCs w:val="12"/>
                <w:b w:val="1"/>
                <w:bCs w:val="1"/>
                <w:color w:val="auto"/>
                <w:w w:val="91"/>
              </w:rPr>
              <w:t>Benefits</w:t>
            </w:r>
            <w:r>
              <w:rPr>
                <w:rFonts w:ascii="Arial" w:cs="Arial" w:eastAsia="Arial" w:hAnsi="Arial"/>
                <w:sz w:val="20"/>
                <w:szCs w:val="20"/>
                <w:b w:val="1"/>
                <w:bCs w:val="1"/>
                <w:color w:val="auto"/>
                <w:w w:val="91"/>
                <w:vertAlign w:val="superscript"/>
              </w:rPr>
              <w:t>(3)</w:t>
            </w:r>
          </w:p>
        </w:tc>
        <w:tc>
          <w:tcPr>
            <w:tcW w:w="160" w:type="dxa"/>
            <w:vAlign w:val="bottom"/>
          </w:tcPr>
          <w:p>
            <w:pPr>
              <w:spacing w:after="0"/>
              <w:rPr>
                <w:sz w:val="15"/>
                <w:szCs w:val="15"/>
                <w:color w:val="auto"/>
              </w:rPr>
            </w:pPr>
          </w:p>
        </w:tc>
        <w:tc>
          <w:tcPr>
            <w:tcW w:w="740" w:type="dxa"/>
            <w:vAlign w:val="bottom"/>
          </w:tcPr>
          <w:p>
            <w:pPr>
              <w:jc w:val="center"/>
              <w:spacing w:after="0" w:line="178" w:lineRule="exact"/>
              <w:rPr>
                <w:sz w:val="20"/>
                <w:szCs w:val="20"/>
                <w:color w:val="auto"/>
              </w:rPr>
            </w:pPr>
            <w:r>
              <w:rPr>
                <w:rFonts w:ascii="Arial" w:cs="Arial" w:eastAsia="Arial" w:hAnsi="Arial"/>
                <w:sz w:val="12"/>
                <w:szCs w:val="12"/>
                <w:b w:val="1"/>
                <w:bCs w:val="1"/>
                <w:color w:val="auto"/>
                <w:w w:val="87"/>
              </w:rPr>
              <w:t>Awards</w:t>
            </w:r>
            <w:r>
              <w:rPr>
                <w:rFonts w:ascii="Arial" w:cs="Arial" w:eastAsia="Arial" w:hAnsi="Arial"/>
                <w:sz w:val="20"/>
                <w:szCs w:val="20"/>
                <w:b w:val="1"/>
                <w:bCs w:val="1"/>
                <w:color w:val="auto"/>
                <w:w w:val="87"/>
                <w:vertAlign w:val="superscript"/>
              </w:rPr>
              <w:t>(4)</w:t>
            </w:r>
          </w:p>
        </w:tc>
        <w:tc>
          <w:tcPr>
            <w:tcW w:w="160" w:type="dxa"/>
            <w:vAlign w:val="bottom"/>
          </w:tcPr>
          <w:p>
            <w:pPr>
              <w:spacing w:after="0"/>
              <w:rPr>
                <w:sz w:val="15"/>
                <w:szCs w:val="15"/>
                <w:color w:val="auto"/>
              </w:rPr>
            </w:pPr>
          </w:p>
        </w:tc>
        <w:tc>
          <w:tcPr>
            <w:tcW w:w="820" w:type="dxa"/>
            <w:vAlign w:val="bottom"/>
            <w:gridSpan w:val="2"/>
          </w:tcPr>
          <w:p>
            <w:pPr>
              <w:ind w:left="140"/>
              <w:spacing w:after="0" w:line="178" w:lineRule="exact"/>
              <w:rPr>
                <w:sz w:val="20"/>
                <w:szCs w:val="20"/>
                <w:color w:val="auto"/>
              </w:rPr>
            </w:pPr>
            <w:r>
              <w:rPr>
                <w:rFonts w:ascii="Arial" w:cs="Arial" w:eastAsia="Arial" w:hAnsi="Arial"/>
                <w:sz w:val="12"/>
                <w:szCs w:val="12"/>
                <w:b w:val="1"/>
                <w:bCs w:val="1"/>
                <w:color w:val="auto"/>
              </w:rPr>
              <w:t>Total</w:t>
            </w:r>
            <w:r>
              <w:rPr>
                <w:rFonts w:ascii="Arial" w:cs="Arial" w:eastAsia="Arial" w:hAnsi="Arial"/>
                <w:sz w:val="20"/>
                <w:szCs w:val="20"/>
                <w:b w:val="1"/>
                <w:bCs w:val="1"/>
                <w:color w:val="auto"/>
                <w:vertAlign w:val="superscript"/>
              </w:rPr>
              <w:t>(5)</w:t>
            </w:r>
          </w:p>
        </w:tc>
      </w:tr>
      <w:tr>
        <w:trPr>
          <w:trHeight w:val="190"/>
        </w:trPr>
        <w:tc>
          <w:tcPr>
            <w:tcW w:w="50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Mr. Rau</w:t>
            </w:r>
          </w:p>
        </w:tc>
        <w:tc>
          <w:tcPr>
            <w:tcW w:w="68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88"/>
        </w:trPr>
        <w:tc>
          <w:tcPr>
            <w:tcW w:w="50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Termination by Company for Cause or by Executive Without Good</w:t>
            </w: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205"/>
        </w:trPr>
        <w:tc>
          <w:tcPr>
            <w:tcW w:w="508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Reason</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r>
      <w:tr>
        <w:trPr>
          <w:trHeight w:val="199"/>
        </w:trPr>
        <w:tc>
          <w:tcPr>
            <w:tcW w:w="50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Termination by Company Without Cause</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1,000,000</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32,902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586,581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1,619,482</w:t>
            </w:r>
          </w:p>
        </w:tc>
        <w:tc>
          <w:tcPr>
            <w:tcW w:w="140" w:type="dxa"/>
            <w:vAlign w:val="bottom"/>
            <w:shd w:val="clear" w:color="auto" w:fill="CCEEFF"/>
          </w:tcPr>
          <w:p>
            <w:pPr>
              <w:spacing w:after="0"/>
              <w:rPr>
                <w:sz w:val="17"/>
                <w:szCs w:val="17"/>
                <w:color w:val="auto"/>
              </w:rPr>
            </w:pPr>
          </w:p>
        </w:tc>
      </w:tr>
      <w:tr>
        <w:trPr>
          <w:trHeight w:val="190"/>
        </w:trPr>
        <w:tc>
          <w:tcPr>
            <w:tcW w:w="50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Termination by Company Without Cause or by Executive for Good</w:t>
            </w: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242"/>
        </w:trPr>
        <w:tc>
          <w:tcPr>
            <w:tcW w:w="5080" w:type="dxa"/>
            <w:vAlign w:val="bottom"/>
            <w:gridSpan w:val="2"/>
            <w:shd w:val="clear" w:color="auto" w:fill="CCEEFF"/>
          </w:tcPr>
          <w:p>
            <w:pPr>
              <w:ind w:left="300"/>
              <w:spacing w:after="0" w:line="242" w:lineRule="exact"/>
              <w:rPr>
                <w:sz w:val="20"/>
                <w:szCs w:val="20"/>
                <w:color w:val="auto"/>
              </w:rPr>
            </w:pPr>
            <w:r>
              <w:rPr>
                <w:rFonts w:ascii="Arial" w:cs="Arial" w:eastAsia="Arial" w:hAnsi="Arial"/>
                <w:sz w:val="16"/>
                <w:szCs w:val="16"/>
                <w:color w:val="auto"/>
              </w:rPr>
              <w:t>Reason</w:t>
            </w:r>
            <w:r>
              <w:rPr>
                <w:rFonts w:ascii="Arial" w:cs="Arial" w:eastAsia="Arial" w:hAnsi="Arial"/>
                <w:sz w:val="26"/>
                <w:szCs w:val="26"/>
                <w:color w:val="auto"/>
                <w:vertAlign w:val="superscript"/>
              </w:rPr>
              <w:t>(7)</w:t>
            </w:r>
            <w:r>
              <w:rPr>
                <w:rFonts w:ascii="Arial" w:cs="Arial" w:eastAsia="Arial" w:hAnsi="Arial"/>
                <w:sz w:val="16"/>
                <w:szCs w:val="16"/>
                <w:color w:val="auto"/>
              </w:rPr>
              <w:t xml:space="preserve"> within two (2) years of a Change of Control</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1,000,000</w:t>
            </w:r>
          </w:p>
        </w:tc>
        <w:tc>
          <w:tcPr>
            <w:tcW w:w="14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32,902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2,156,762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3,189,664</w:t>
            </w:r>
          </w:p>
        </w:tc>
        <w:tc>
          <w:tcPr>
            <w:tcW w:w="140" w:type="dxa"/>
            <w:vAlign w:val="bottom"/>
            <w:shd w:val="clear" w:color="auto" w:fill="CCEEFF"/>
          </w:tcPr>
          <w:p>
            <w:pPr>
              <w:spacing w:after="0"/>
              <w:rPr>
                <w:sz w:val="21"/>
                <w:szCs w:val="21"/>
                <w:color w:val="auto"/>
              </w:rPr>
            </w:pPr>
          </w:p>
        </w:tc>
      </w:tr>
      <w:tr>
        <w:trPr>
          <w:trHeight w:val="197"/>
        </w:trPr>
        <w:tc>
          <w:tcPr>
            <w:tcW w:w="50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Death or Disability</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112,500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32,902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789,608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935,010</w:t>
            </w:r>
          </w:p>
        </w:tc>
        <w:tc>
          <w:tcPr>
            <w:tcW w:w="140" w:type="dxa"/>
            <w:vAlign w:val="bottom"/>
            <w:shd w:val="clear" w:color="auto" w:fill="CCEEFF"/>
          </w:tcPr>
          <w:p>
            <w:pPr>
              <w:spacing w:after="0"/>
              <w:rPr>
                <w:sz w:val="17"/>
                <w:szCs w:val="17"/>
                <w:color w:val="auto"/>
              </w:rPr>
            </w:pPr>
          </w:p>
        </w:tc>
      </w:tr>
      <w:tr>
        <w:trPr>
          <w:trHeight w:val="99"/>
        </w:trPr>
        <w:tc>
          <w:tcPr>
            <w:tcW w:w="2700" w:type="dxa"/>
            <w:vAlign w:val="bottom"/>
            <w:tcBorders>
              <w:bottom w:val="single" w:sz="8" w:color="auto"/>
            </w:tcBorders>
          </w:tcPr>
          <w:p>
            <w:pPr>
              <w:spacing w:after="0"/>
              <w:rPr>
                <w:sz w:val="8"/>
                <w:szCs w:val="8"/>
                <w:color w:val="auto"/>
              </w:rPr>
            </w:pPr>
          </w:p>
        </w:tc>
        <w:tc>
          <w:tcPr>
            <w:tcW w:w="2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r>
    </w:tbl>
    <w:p>
      <w:pPr>
        <w:spacing w:after="0" w:line="201" w:lineRule="exact"/>
        <w:rPr>
          <w:sz w:val="20"/>
          <w:szCs w:val="20"/>
          <w:color w:val="auto"/>
        </w:rPr>
      </w:pPr>
    </w:p>
    <w:p>
      <w:pPr>
        <w:ind w:left="1640" w:hanging="498"/>
        <w:spacing w:after="0"/>
        <w:tabs>
          <w:tab w:leader="none" w:pos="1640" w:val="left"/>
        </w:tabs>
        <w:numPr>
          <w:ilvl w:val="0"/>
          <w:numId w:val="69"/>
        </w:numPr>
        <w:rPr>
          <w:rFonts w:ascii="Arial" w:cs="Arial" w:eastAsia="Arial" w:hAnsi="Arial"/>
          <w:sz w:val="15"/>
          <w:szCs w:val="15"/>
          <w:color w:val="auto"/>
        </w:rPr>
      </w:pPr>
      <w:r>
        <w:rPr>
          <w:rFonts w:ascii="Arial" w:cs="Arial" w:eastAsia="Arial" w:hAnsi="Arial"/>
          <w:sz w:val="15"/>
          <w:szCs w:val="15"/>
          <w:color w:val="auto"/>
        </w:rPr>
        <w:t>The amounts in this column are the severance payments payable to Mr. Kasbar and Mr. Birns upon the occurrence of the relevant event. For</w:t>
      </w:r>
    </w:p>
    <w:p>
      <w:pPr>
        <w:spacing w:after="0" w:line="32" w:lineRule="exact"/>
        <w:rPr>
          <w:rFonts w:ascii="Arial" w:cs="Arial" w:eastAsia="Arial" w:hAnsi="Arial"/>
          <w:sz w:val="15"/>
          <w:szCs w:val="15"/>
          <w:color w:val="auto"/>
        </w:rPr>
      </w:pPr>
    </w:p>
    <w:p>
      <w:pPr>
        <w:ind w:left="1640" w:right="140"/>
        <w:spacing w:after="0" w:line="274" w:lineRule="auto"/>
        <w:rPr>
          <w:rFonts w:ascii="Arial" w:cs="Arial" w:eastAsia="Arial" w:hAnsi="Arial"/>
          <w:sz w:val="15"/>
          <w:szCs w:val="15"/>
          <w:color w:val="auto"/>
        </w:rPr>
      </w:pPr>
      <w:r>
        <w:rPr>
          <w:rFonts w:ascii="Arial" w:cs="Arial" w:eastAsia="Arial" w:hAnsi="Arial"/>
          <w:sz w:val="16"/>
          <w:szCs w:val="16"/>
          <w:color w:val="auto"/>
        </w:rPr>
        <w:t>Messrs. Birns, Crosby, Rau and Smith, this represents a severance payment equal to a multiple of their base salary as of the termination date (based on their actual salary as of December 31, 2017), payable over a 24-month period.</w:t>
      </w:r>
    </w:p>
    <w:p>
      <w:pPr>
        <w:spacing w:after="0" w:line="188" w:lineRule="exact"/>
        <w:rPr>
          <w:rFonts w:ascii="Arial" w:cs="Arial" w:eastAsia="Arial" w:hAnsi="Arial"/>
          <w:sz w:val="15"/>
          <w:szCs w:val="15"/>
          <w:color w:val="auto"/>
        </w:rPr>
      </w:pPr>
    </w:p>
    <w:p>
      <w:pPr>
        <w:ind w:left="1640" w:hanging="498"/>
        <w:spacing w:after="0" w:line="264" w:lineRule="auto"/>
        <w:tabs>
          <w:tab w:leader="none" w:pos="164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amounts in this column are the bonuses payable to the executive under the EIP, prorated through the date of termination. Amounts are paid when, and to the extent that, they would have been paid had the executive's employment not terminated. For Messrs. Kasbar and Birns, this amount reflects the amounts earned by the executive for the year-ended December 31, 2017. For Messrs. Crosby, Rau and Smith, this amount reflects only amounts earned based upon achievement of Operating Income targets in their respective business units in 2017 and excludes any bonuses earnable based on achievement of non-financial objectives except in the case of death or disability.</w:t>
      </w:r>
    </w:p>
    <w:p>
      <w:pPr>
        <w:spacing w:after="0" w:line="184" w:lineRule="exact"/>
        <w:rPr>
          <w:rFonts w:ascii="Arial" w:cs="Arial" w:eastAsia="Arial" w:hAnsi="Arial"/>
          <w:sz w:val="16"/>
          <w:szCs w:val="16"/>
          <w:color w:val="auto"/>
        </w:rPr>
      </w:pPr>
    </w:p>
    <w:p>
      <w:pPr>
        <w:ind w:left="1640" w:hanging="498"/>
        <w:spacing w:after="0" w:line="266" w:lineRule="auto"/>
        <w:tabs>
          <w:tab w:leader="none" w:pos="1640" w:val="left"/>
        </w:tabs>
        <w:numPr>
          <w:ilvl w:val="0"/>
          <w:numId w:val="69"/>
        </w:numPr>
        <w:rPr>
          <w:rFonts w:ascii="Arial" w:cs="Arial" w:eastAsia="Arial" w:hAnsi="Arial"/>
          <w:sz w:val="16"/>
          <w:szCs w:val="16"/>
          <w:color w:val="auto"/>
        </w:rPr>
      </w:pPr>
      <w:r>
        <w:rPr>
          <w:rFonts w:ascii="Arial" w:cs="Arial" w:eastAsia="Arial" w:hAnsi="Arial"/>
          <w:sz w:val="16"/>
          <w:szCs w:val="16"/>
          <w:color w:val="auto"/>
        </w:rPr>
        <w:t>Each executive is entitled to receive continuation of his medical benefits generally for 18 months following the date of termination. This column reflects the current cost of COBRA premiums for such period. In addition, Mr. Kasbar is entitled to be reimbursed for the cost of obtaining comparable private health insurance coverage until the occurrence of various events up to a maximum of $150,000. For purposes of this table, we have assumed the maximum premiums would be paid.</w:t>
      </w:r>
    </w:p>
    <w:p>
      <w:pPr>
        <w:spacing w:after="0" w:line="183" w:lineRule="exact"/>
        <w:rPr>
          <w:rFonts w:ascii="Arial" w:cs="Arial" w:eastAsia="Arial" w:hAnsi="Arial"/>
          <w:sz w:val="16"/>
          <w:szCs w:val="16"/>
          <w:color w:val="auto"/>
        </w:rPr>
      </w:pPr>
    </w:p>
    <w:p>
      <w:pPr>
        <w:ind w:left="1640" w:right="20" w:hanging="498"/>
        <w:spacing w:after="0" w:line="261" w:lineRule="auto"/>
        <w:tabs>
          <w:tab w:leader="none" w:pos="164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amounts in this column relating to both SSARs and performance-related SSARs represent the value of unvested and accelerated awards as of December 31, 2017, calculated by multiplying the number of accelerated awards by the difference between the conversion price and the closing price of our common stock on December 30, 2017. The amounts in this column relating to both restricted stock and performance-related restricted stock represent the value of unvested and accelerated stock as of December 31, 2017, calculated by multiplying the number of accelerated shares by the closing price of our common stock on December 30, 2017. The equity granted under the PSP is reflected assuming performance at target, pro rata for all events other than those that occur after a Change of Control and full acceleration for either a Termination without Cause or a Termination with Good Reason that occurs after a Change of Control.</w:t>
      </w:r>
    </w:p>
    <w:p>
      <w:pPr>
        <w:spacing w:after="0" w:line="202" w:lineRule="exact"/>
        <w:rPr>
          <w:rFonts w:ascii="Arial" w:cs="Arial" w:eastAsia="Arial" w:hAnsi="Arial"/>
          <w:sz w:val="16"/>
          <w:szCs w:val="16"/>
          <w:color w:val="auto"/>
        </w:rPr>
      </w:pPr>
    </w:p>
    <w:p>
      <w:pPr>
        <w:ind w:left="1640" w:right="20" w:hanging="498"/>
        <w:spacing w:after="0" w:line="262" w:lineRule="auto"/>
        <w:tabs>
          <w:tab w:leader="none" w:pos="164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totals in this column do not include additional amounts payable to the executive under the Company's other employment programs that are applicable to all employees. Specifically, in accordance with the Company's policies, upon any termination, all employees are entitled to certain accrued obligations including salary earned through the date of termination, unreimbursed business expenses incurred in accordance with Company policy and for 2017, a payment for unused paid time off. In addition, Mr. Kasbar is entitled to receive his non-qualified deferred compensation from a previously earned bonus upon any separation from us. Please see "Non-Qualified Deferred Compensation" table beginning on page 54 for an explanation of this amount.</w:t>
      </w:r>
    </w:p>
    <w:p>
      <w:pPr>
        <w:spacing w:after="0" w:line="188" w:lineRule="exact"/>
        <w:rPr>
          <w:rFonts w:ascii="Arial" w:cs="Arial" w:eastAsia="Arial" w:hAnsi="Arial"/>
          <w:sz w:val="16"/>
          <w:szCs w:val="16"/>
          <w:color w:val="auto"/>
        </w:rPr>
      </w:pPr>
    </w:p>
    <w:p>
      <w:pPr>
        <w:ind w:left="1640" w:right="20" w:hanging="498"/>
        <w:spacing w:after="0" w:line="284" w:lineRule="auto"/>
        <w:tabs>
          <w:tab w:leader="none" w:pos="1640" w:val="left"/>
        </w:tabs>
        <w:numPr>
          <w:ilvl w:val="0"/>
          <w:numId w:val="69"/>
        </w:numPr>
        <w:rPr>
          <w:rFonts w:ascii="Arial" w:cs="Arial" w:eastAsia="Arial" w:hAnsi="Arial"/>
          <w:sz w:val="16"/>
          <w:szCs w:val="16"/>
          <w:color w:val="auto"/>
        </w:rPr>
      </w:pPr>
      <w:r>
        <w:rPr>
          <w:rFonts w:ascii="Arial" w:cs="Arial" w:eastAsia="Arial" w:hAnsi="Arial"/>
          <w:sz w:val="16"/>
          <w:szCs w:val="16"/>
          <w:color w:val="auto"/>
        </w:rPr>
        <w:t>If Mr. Kasbar's employment agreement is not renewed at the end of its term, Mr. Kasbar is entitled to the same amount of payments and benefits as if he were terminated without Cause.</w:t>
      </w:r>
    </w:p>
    <w:p>
      <w:pPr>
        <w:spacing w:after="0" w:line="168" w:lineRule="exact"/>
        <w:rPr>
          <w:rFonts w:ascii="Arial" w:cs="Arial" w:eastAsia="Arial" w:hAnsi="Arial"/>
          <w:sz w:val="16"/>
          <w:szCs w:val="16"/>
          <w:color w:val="auto"/>
        </w:rPr>
      </w:pPr>
    </w:p>
    <w:p>
      <w:pPr>
        <w:ind w:left="1640" w:right="20" w:hanging="498"/>
        <w:spacing w:after="0" w:line="260" w:lineRule="auto"/>
        <w:tabs>
          <w:tab w:leader="none" w:pos="1640" w:val="left"/>
        </w:tabs>
        <w:numPr>
          <w:ilvl w:val="0"/>
          <w:numId w:val="69"/>
        </w:numPr>
        <w:rPr>
          <w:rFonts w:ascii="Arial" w:cs="Arial" w:eastAsia="Arial" w:hAnsi="Arial"/>
          <w:sz w:val="16"/>
          <w:szCs w:val="16"/>
          <w:color w:val="auto"/>
        </w:rPr>
      </w:pPr>
      <w:r>
        <w:rPr>
          <w:rFonts w:ascii="Arial" w:cs="Arial" w:eastAsia="Arial" w:hAnsi="Arial"/>
          <w:sz w:val="16"/>
          <w:szCs w:val="16"/>
          <w:color w:val="auto"/>
        </w:rPr>
        <w:t>As discussed above, our ESP defines "Good Reason" to have occurred only if certain events have happened within two years after a Change of Control has occurred. Consequently, for Messrs. Crosby, Rau and Smith, any termination by him of his employment upon the occurrence of such events absent a Change of Control will be deemed a Termination without Good Reason.</w:t>
      </w:r>
    </w:p>
    <w:p>
      <w:pPr>
        <w:spacing w:after="0" w:line="1" w:lineRule="exact"/>
        <w:rPr>
          <w:sz w:val="20"/>
          <w:szCs w:val="20"/>
          <w:color w:val="auto"/>
        </w:rPr>
      </w:pPr>
    </w:p>
    <w:p>
      <w:pPr>
        <w:jc w:val="right"/>
        <w:spacing w:after="0"/>
        <w:tabs>
          <w:tab w:leader="none" w:pos="1960" w:val="left"/>
          <w:tab w:leader="none" w:pos="1720" w:val="left"/>
          <w:tab w:leader="none" w:pos="14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3"/>
          <w:szCs w:val="33"/>
          <w:b w:val="1"/>
          <w:bCs w:val="1"/>
          <w:color w:val="auto"/>
          <w:vertAlign w:val="subscript"/>
        </w:rPr>
        <w:t>|</w:t>
      </w:r>
      <w:r>
        <w:rPr>
          <w:sz w:val="20"/>
          <w:szCs w:val="20"/>
          <w:color w:val="auto"/>
        </w:rPr>
        <w:tab/>
      </w:r>
      <w:r>
        <w:rPr>
          <w:rFonts w:ascii="Arial" w:cs="Arial" w:eastAsia="Arial" w:hAnsi="Arial"/>
          <w:sz w:val="16"/>
          <w:szCs w:val="16"/>
          <w:color w:val="auto"/>
        </w:rPr>
        <w:t>2018 Proxy Statement</w:t>
      </w:r>
      <w:r>
        <w:rPr>
          <w:sz w:val="20"/>
          <w:szCs w:val="20"/>
          <w:color w:val="auto"/>
        </w:rPr>
        <w:tab/>
      </w: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133350</wp:posOffset>
            </wp:positionV>
            <wp:extent cx="7263130" cy="203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4" w:name="page65"/>
    <w:bookmarkEnd w:id="64"/>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CEO Pay Ratio</w:t>
      </w:r>
    </w:p>
    <w:p>
      <w:pPr>
        <w:spacing w:after="0" w:line="215" w:lineRule="exact"/>
        <w:rPr>
          <w:sz w:val="20"/>
          <w:szCs w:val="20"/>
          <w:color w:val="auto"/>
        </w:rPr>
      </w:pPr>
    </w:p>
    <w:p>
      <w:pPr>
        <w:ind w:right="460"/>
        <w:spacing w:after="0" w:line="270" w:lineRule="auto"/>
        <w:rPr>
          <w:sz w:val="20"/>
          <w:szCs w:val="20"/>
          <w:color w:val="auto"/>
        </w:rPr>
      </w:pPr>
      <w:r>
        <w:rPr>
          <w:rFonts w:ascii="Arial" w:cs="Arial" w:eastAsia="Arial" w:hAnsi="Arial"/>
          <w:sz w:val="16"/>
          <w:szCs w:val="16"/>
          <w:color w:val="auto"/>
        </w:rPr>
        <w:t>As required by Section 953(b) of the Dodd-Frank Wall Street Reform and Consumer Protection Act, and Item 402(u) of Regulation S-K, we are providing the following information about the relationship of the median annual total compensation of our employees and the annual total compensation of our Chief Executive Officer, Michael J. Kasbar.</w:t>
      </w:r>
    </w:p>
    <w:p>
      <w:pPr>
        <w:spacing w:after="0" w:line="168" w:lineRule="exact"/>
        <w:rPr>
          <w:sz w:val="20"/>
          <w:szCs w:val="20"/>
          <w:color w:val="auto"/>
        </w:rPr>
      </w:pPr>
    </w:p>
    <w:p>
      <w:pPr>
        <w:ind w:right="20"/>
        <w:spacing w:after="0" w:line="326" w:lineRule="auto"/>
        <w:rPr>
          <w:sz w:val="20"/>
          <w:szCs w:val="20"/>
          <w:color w:val="auto"/>
        </w:rPr>
      </w:pPr>
      <w:r>
        <w:rPr>
          <w:rFonts w:ascii="Arial" w:cs="Arial" w:eastAsia="Arial" w:hAnsi="Arial"/>
          <w:sz w:val="14"/>
          <w:szCs w:val="14"/>
          <w:color w:val="auto"/>
        </w:rPr>
        <w:t>As of December 31, 2017, our employee population consisted of approximately 5,225 individuals working at the Company and its subsidiaries, of which approximately 2,501 are located in the United States and approximately 2,724 are located outside the United States. We selected December 31, 2017, the last day of our fiscal year, as the determination date for identifying the median employee. In connection with this analysis, we excluded 49 employees, which were all of our employees located in Sweden.</w:t>
      </w:r>
    </w:p>
    <w:p>
      <w:pPr>
        <w:spacing w:after="0" w:line="133" w:lineRule="exact"/>
        <w:rPr>
          <w:sz w:val="20"/>
          <w:szCs w:val="20"/>
          <w:color w:val="auto"/>
        </w:rPr>
      </w:pPr>
    </w:p>
    <w:p>
      <w:pPr>
        <w:ind w:right="40"/>
        <w:spacing w:after="0" w:line="359" w:lineRule="auto"/>
        <w:rPr>
          <w:sz w:val="20"/>
          <w:szCs w:val="20"/>
          <w:color w:val="auto"/>
        </w:rPr>
      </w:pPr>
      <w:r>
        <w:rPr>
          <w:rFonts w:ascii="Arial" w:cs="Arial" w:eastAsia="Arial" w:hAnsi="Arial"/>
          <w:sz w:val="14"/>
          <w:szCs w:val="14"/>
          <w:color w:val="auto"/>
        </w:rPr>
        <w:t>To identify the median employee, we calculated the amount of annual total cash compensation (salary plus bonus, commissions, and the portion of long-term cash awards paid in 2017) paid to all of our employees (other than our Chief Executive Officer). We did not make any cost-of-living or other adjustments in identifying the median employee.</w:t>
      </w:r>
    </w:p>
    <w:p>
      <w:pPr>
        <w:spacing w:after="0" w:line="110" w:lineRule="exact"/>
        <w:rPr>
          <w:sz w:val="20"/>
          <w:szCs w:val="20"/>
          <w:color w:val="auto"/>
        </w:rPr>
      </w:pPr>
    </w:p>
    <w:p>
      <w:pPr>
        <w:ind w:right="60"/>
        <w:spacing w:after="0" w:line="270" w:lineRule="auto"/>
        <w:rPr>
          <w:sz w:val="20"/>
          <w:szCs w:val="20"/>
          <w:color w:val="auto"/>
        </w:rPr>
      </w:pPr>
      <w:r>
        <w:rPr>
          <w:rFonts w:ascii="Arial" w:cs="Arial" w:eastAsia="Arial" w:hAnsi="Arial"/>
          <w:sz w:val="16"/>
          <w:szCs w:val="16"/>
          <w:color w:val="auto"/>
        </w:rPr>
        <w:t>Based on this methodology, the median employee was a full-time, salaried employee in the United States. We calculated the 2017 total annual compensation of such employee in accordance with the requirements of the executive compensation rules for the Summary Compensation Table (Item 402(c)(2)(x) of Regulation S-K). Under this calculation, the median employee's annual total compensation was $55,741.</w:t>
      </w:r>
    </w:p>
    <w:p>
      <w:pPr>
        <w:spacing w:after="0" w:line="168"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Utilizing the same executive compensation rules, and consistent with the amount reported in the "Total" Column of our 2017 Summary Compensation Table in the Executive Compensation section above for our Chief Executive Officer, the annual total compensation of our Chief Executive Officer was $5,508,381. The resulting ratio of the annual total compensation of our Chief Executive Officer to the annual total compensation of the median employee was 99 to 1.</w:t>
      </w:r>
    </w:p>
    <w:p>
      <w:pPr>
        <w:spacing w:after="0" w:line="1" w:lineRule="exact"/>
        <w:rPr>
          <w:sz w:val="20"/>
          <w:szCs w:val="20"/>
          <w:color w:val="auto"/>
        </w:rPr>
      </w:pPr>
    </w:p>
    <w:p>
      <w:pPr>
        <w:jc w:val="right"/>
        <w:spacing w:after="0"/>
        <w:tabs>
          <w:tab w:leader="none" w:pos="1960" w:val="left"/>
          <w:tab w:leader="none" w:pos="1720" w:val="left"/>
          <w:tab w:leader="none" w:pos="14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3"/>
          <w:szCs w:val="33"/>
          <w:b w:val="1"/>
          <w:bCs w:val="1"/>
          <w:color w:val="auto"/>
          <w:vertAlign w:val="subscript"/>
        </w:rPr>
        <w:t>|</w:t>
      </w:r>
      <w:r>
        <w:rPr>
          <w:sz w:val="20"/>
          <w:szCs w:val="20"/>
          <w:color w:val="auto"/>
        </w:rPr>
        <w:tab/>
      </w:r>
      <w:r>
        <w:rPr>
          <w:rFonts w:ascii="Arial" w:cs="Arial" w:eastAsia="Arial" w:hAnsi="Arial"/>
          <w:sz w:val="16"/>
          <w:szCs w:val="16"/>
          <w:color w:val="auto"/>
        </w:rPr>
        <w:t>2018 Proxy Statement</w:t>
      </w:r>
      <w:r>
        <w:rPr>
          <w:sz w:val="20"/>
          <w:szCs w:val="20"/>
          <w:color w:val="auto"/>
        </w:rPr>
        <w:tab/>
      </w: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133350</wp:posOffset>
            </wp:positionV>
            <wp:extent cx="7263130" cy="203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5" w:name="page66"/>
    <w:bookmarkEnd w:id="65"/>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7"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0048E0"/>
        </w:rPr>
        <w:t>VI.</w:t>
      </w:r>
      <w:r>
        <w:rPr>
          <w:sz w:val="20"/>
          <w:szCs w:val="20"/>
          <w:color w:val="auto"/>
        </w:rPr>
        <w:tab/>
      </w:r>
      <w:r>
        <w:rPr>
          <w:rFonts w:ascii="Arial" w:cs="Arial" w:eastAsia="Arial" w:hAnsi="Arial"/>
          <w:sz w:val="16"/>
          <w:szCs w:val="16"/>
          <w:b w:val="1"/>
          <w:bCs w:val="1"/>
          <w:color w:val="0048E0"/>
        </w:rPr>
        <w:t>PROPOSAL NO. 2—NON-BINDING, ADVISORY VOTE ON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258685" cy="1587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8685" cy="15875"/>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Introduction</w:t>
      </w:r>
    </w:p>
    <w:p>
      <w:pPr>
        <w:spacing w:after="0" w:line="239" w:lineRule="exact"/>
        <w:rPr>
          <w:sz w:val="20"/>
          <w:szCs w:val="20"/>
          <w:color w:val="auto"/>
        </w:rPr>
      </w:pPr>
    </w:p>
    <w:p>
      <w:pPr>
        <w:ind w:right="4100" w:firstLine="398"/>
        <w:spacing w:after="0" w:line="310" w:lineRule="auto"/>
        <w:rPr>
          <w:sz w:val="20"/>
          <w:szCs w:val="20"/>
          <w:color w:val="auto"/>
        </w:rPr>
      </w:pPr>
      <w:r>
        <w:rPr>
          <w:rFonts w:ascii="Arial" w:cs="Arial" w:eastAsia="Arial" w:hAnsi="Arial"/>
          <w:sz w:val="14"/>
          <w:szCs w:val="14"/>
          <w:color w:val="auto"/>
        </w:rPr>
        <w:t>The Board recognizes that executive compensation is an important matter for our shareholders. The guiding principles of our executive compensation philosophy and practice continue to be to: (i) attract, motivate and retain the exceptional management talent required to achieve above average growth and profitability, (ii) focus on rewarding the types of performance that increase shareholder value, (iii) link executive compensation to our long-term strategic objectives and (iv) align executives' interests with those of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5441315</wp:posOffset>
            </wp:positionH>
            <wp:positionV relativeFrom="paragraph">
              <wp:posOffset>-513080</wp:posOffset>
            </wp:positionV>
            <wp:extent cx="1323340" cy="26155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323340" cy="2615565"/>
                    </a:xfrm>
                    <a:prstGeom prst="rect">
                      <a:avLst/>
                    </a:prstGeom>
                    <a:noFill/>
                  </pic:spPr>
                </pic:pic>
              </a:graphicData>
            </a:graphic>
          </wp:anchor>
        </w:drawing>
      </w:r>
    </w:p>
    <w:p>
      <w:pPr>
        <w:spacing w:after="0" w:line="124" w:lineRule="exact"/>
        <w:rPr>
          <w:sz w:val="20"/>
          <w:szCs w:val="20"/>
          <w:color w:val="auto"/>
        </w:rPr>
      </w:pPr>
    </w:p>
    <w:p>
      <w:pPr>
        <w:ind w:right="4120" w:firstLine="401"/>
        <w:spacing w:after="0" w:line="280" w:lineRule="auto"/>
        <w:rPr>
          <w:sz w:val="20"/>
          <w:szCs w:val="20"/>
          <w:color w:val="auto"/>
        </w:rPr>
      </w:pPr>
      <w:r>
        <w:rPr>
          <w:rFonts w:ascii="Arial" w:cs="Arial" w:eastAsia="Arial" w:hAnsi="Arial"/>
          <w:sz w:val="15"/>
          <w:szCs w:val="15"/>
          <w:color w:val="auto"/>
        </w:rPr>
        <w:t>Pursuant to amendments to Section 14A of the Exchange Act, we are asking our shareholders to vote to approve or not approve, on an advisory basis, the executive compensation philosophy, policies and procedures described in the Compensation Discussion and Analysis section beginning on page 31 of this proxy statement, and the compensation of our named executive officers, as disclosed in this proxy statement. As an advisory vote, the results of this vote will not be binding on us, our Board or the Compensation Committee. However, our Board and Compensation Committee value the opinions of our shareholders, and will consider the outcome of this vote when making future decisions on the compensation of our named executive officers and evaluating our executive compensation principles, policies and procedures.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right="280" w:firstLine="558"/>
        <w:spacing w:after="0" w:line="284" w:lineRule="auto"/>
        <w:rPr>
          <w:sz w:val="20"/>
          <w:szCs w:val="20"/>
          <w:color w:val="auto"/>
        </w:rPr>
      </w:pPr>
      <w:r>
        <w:rPr>
          <w:rFonts w:ascii="Arial" w:cs="Arial" w:eastAsia="Arial" w:hAnsi="Arial"/>
          <w:sz w:val="16"/>
          <w:szCs w:val="16"/>
          <w:color w:val="auto"/>
        </w:rPr>
        <w:t>The Board believes that our executive compensation programs follow the guiding principles stated above. In order to align the interests of our senior executives with those of our shareholders, our executive compensation framework emphasizes the following:</w:t>
      </w:r>
    </w:p>
    <w:p>
      <w:pPr>
        <w:spacing w:after="0" w:line="169" w:lineRule="exact"/>
        <w:rPr>
          <w:sz w:val="20"/>
          <w:szCs w:val="20"/>
          <w:color w:val="auto"/>
        </w:rPr>
      </w:pPr>
    </w:p>
    <w:p>
      <w:pPr>
        <w:ind w:left="980" w:hanging="488"/>
        <w:spacing w:after="0"/>
        <w:tabs>
          <w:tab w:leader="none" w:pos="980" w:val="left"/>
        </w:tabs>
        <w:numPr>
          <w:ilvl w:val="0"/>
          <w:numId w:val="70"/>
        </w:numPr>
        <w:rPr>
          <w:rFonts w:ascii="Arial" w:cs="Arial" w:eastAsia="Arial" w:hAnsi="Arial"/>
          <w:sz w:val="16"/>
          <w:szCs w:val="16"/>
          <w:color w:val="auto"/>
        </w:rPr>
      </w:pPr>
      <w:r>
        <w:rPr>
          <w:rFonts w:ascii="Arial" w:cs="Arial" w:eastAsia="Arial" w:hAnsi="Arial"/>
          <w:sz w:val="16"/>
          <w:szCs w:val="16"/>
          <w:i w:val="1"/>
          <w:iCs w:val="1"/>
          <w:color w:val="auto"/>
        </w:rPr>
        <w:t xml:space="preserve">Total compensation is tied to performance. </w:t>
      </w:r>
      <w:r>
        <w:rPr>
          <w:rFonts w:ascii="Arial" w:cs="Arial" w:eastAsia="Arial" w:hAnsi="Arial"/>
          <w:sz w:val="16"/>
          <w:szCs w:val="16"/>
          <w:color w:val="auto"/>
        </w:rPr>
        <w:t>The majority of total executive compensation is variable and delivered on a pay-for-performance basis.</w:t>
      </w:r>
    </w:p>
    <w:p>
      <w:pPr>
        <w:spacing w:after="0" w:line="235" w:lineRule="exact"/>
        <w:rPr>
          <w:rFonts w:ascii="Arial" w:cs="Arial" w:eastAsia="Arial" w:hAnsi="Arial"/>
          <w:sz w:val="16"/>
          <w:szCs w:val="16"/>
          <w:color w:val="auto"/>
        </w:rPr>
      </w:pPr>
    </w:p>
    <w:p>
      <w:pPr>
        <w:ind w:left="980" w:right="120" w:hanging="488"/>
        <w:spacing w:after="0" w:line="284" w:lineRule="auto"/>
        <w:tabs>
          <w:tab w:leader="none" w:pos="980" w:val="left"/>
        </w:tabs>
        <w:numPr>
          <w:ilvl w:val="0"/>
          <w:numId w:val="70"/>
        </w:numPr>
        <w:rPr>
          <w:rFonts w:ascii="Arial" w:cs="Arial" w:eastAsia="Arial" w:hAnsi="Arial"/>
          <w:sz w:val="16"/>
          <w:szCs w:val="16"/>
          <w:color w:val="auto"/>
        </w:rPr>
      </w:pPr>
      <w:r>
        <w:rPr>
          <w:rFonts w:ascii="Arial" w:cs="Arial" w:eastAsia="Arial" w:hAnsi="Arial"/>
          <w:sz w:val="16"/>
          <w:szCs w:val="16"/>
          <w:i w:val="1"/>
          <w:iCs w:val="1"/>
          <w:color w:val="auto"/>
        </w:rPr>
        <w:t xml:space="preserve">Long-term equity compensation aligns executives' and shareholders' interests. </w:t>
      </w:r>
      <w:r>
        <w:rPr>
          <w:rFonts w:ascii="Arial" w:cs="Arial" w:eastAsia="Arial" w:hAnsi="Arial"/>
          <w:sz w:val="16"/>
          <w:szCs w:val="16"/>
          <w:color w:val="auto"/>
        </w:rPr>
        <w:t>Our named executive officers receive equity awards, which generally have multi-year vesting requirements.</w:t>
      </w:r>
    </w:p>
    <w:p>
      <w:pPr>
        <w:spacing w:after="0" w:line="156" w:lineRule="exact"/>
        <w:rPr>
          <w:sz w:val="20"/>
          <w:szCs w:val="20"/>
          <w:color w:val="auto"/>
        </w:rPr>
      </w:pPr>
    </w:p>
    <w:p>
      <w:pPr>
        <w:ind w:right="680" w:firstLine="558"/>
        <w:spacing w:after="0" w:line="284" w:lineRule="auto"/>
        <w:rPr>
          <w:sz w:val="20"/>
          <w:szCs w:val="20"/>
          <w:color w:val="auto"/>
        </w:rPr>
      </w:pPr>
      <w:r>
        <w:rPr>
          <w:rFonts w:ascii="Arial" w:cs="Arial" w:eastAsia="Arial" w:hAnsi="Arial"/>
          <w:sz w:val="16"/>
          <w:szCs w:val="16"/>
          <w:color w:val="auto"/>
        </w:rPr>
        <w:t>This framework has resulted in compensation for our named executive officers that is commensurate with our financial results. Accordingly, we are asking our shareholders to vote, in an advisory manner, "FOR" the adoption of the following resolution:</w:t>
      </w:r>
    </w:p>
    <w:p>
      <w:pPr>
        <w:spacing w:after="0" w:line="156" w:lineRule="exact"/>
        <w:rPr>
          <w:sz w:val="20"/>
          <w:szCs w:val="20"/>
          <w:color w:val="auto"/>
        </w:rPr>
      </w:pPr>
    </w:p>
    <w:p>
      <w:pPr>
        <w:ind w:right="240" w:firstLine="561"/>
        <w:spacing w:after="0" w:line="284" w:lineRule="auto"/>
        <w:rPr>
          <w:sz w:val="20"/>
          <w:szCs w:val="20"/>
          <w:color w:val="auto"/>
        </w:rPr>
      </w:pPr>
      <w:r>
        <w:rPr>
          <w:rFonts w:ascii="Arial" w:cs="Arial" w:eastAsia="Arial" w:hAnsi="Arial"/>
          <w:sz w:val="16"/>
          <w:szCs w:val="16"/>
          <w:color w:val="auto"/>
        </w:rPr>
        <w:t>"RESOLVED, that the compensation paid to our named executive officers, as disclosed in this proxy statement pursuant to Item 402 of Regulation S-K, including the Compensation Discussion and Analysis, compensation tables and narrative discussion above is hereby APPROVED."</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Vote Required</w:t>
      </w:r>
    </w:p>
    <w:p>
      <w:pPr>
        <w:spacing w:after="0" w:line="215" w:lineRule="exact"/>
        <w:rPr>
          <w:sz w:val="20"/>
          <w:szCs w:val="20"/>
          <w:color w:val="auto"/>
        </w:rPr>
      </w:pPr>
    </w:p>
    <w:p>
      <w:pPr>
        <w:ind w:left="560"/>
        <w:spacing w:after="0"/>
        <w:rPr>
          <w:sz w:val="20"/>
          <w:szCs w:val="20"/>
          <w:color w:val="auto"/>
        </w:rPr>
      </w:pPr>
      <w:r>
        <w:rPr>
          <w:rFonts w:ascii="Arial" w:cs="Arial" w:eastAsia="Arial" w:hAnsi="Arial"/>
          <w:sz w:val="15"/>
          <w:szCs w:val="15"/>
          <w:color w:val="auto"/>
        </w:rPr>
        <w:t>The affirmative vote of a majority of the votes cast on the proposal is required for the approval of the non-binding, advisory vote on executive compensation.</w:t>
      </w:r>
    </w:p>
    <w:p>
      <w:pPr>
        <w:spacing w:after="0" w:line="218" w:lineRule="exact"/>
        <w:rPr>
          <w:sz w:val="20"/>
          <w:szCs w:val="20"/>
          <w:color w:val="auto"/>
        </w:rPr>
      </w:pPr>
    </w:p>
    <w:p>
      <w:pPr>
        <w:jc w:val="center"/>
        <w:ind w:left="260" w:right="240"/>
        <w:spacing w:after="0" w:line="273" w:lineRule="auto"/>
        <w:rPr>
          <w:sz w:val="20"/>
          <w:szCs w:val="20"/>
          <w:color w:val="auto"/>
        </w:rPr>
      </w:pPr>
      <w:r>
        <w:rPr>
          <w:rFonts w:ascii="Arial" w:cs="Arial" w:eastAsia="Arial" w:hAnsi="Arial"/>
          <w:sz w:val="16"/>
          <w:szCs w:val="16"/>
          <w:b w:val="1"/>
          <w:bCs w:val="1"/>
          <w:color w:val="auto"/>
        </w:rPr>
        <w:t>THE BOARD OF DIRECTORS UNANIMOUSLY RECOMMENDS A VOTE "FOR" THE APPROVAL OF THE COMPENSATION PAID TO OUR NAMED EXECUTIVE OFFICERS, AS DISCLOSED PURSUANT TO ITEM 402 OF REGULATION S-K, INCLUDING THE COMPENSATION DISCUSSION AND ANALYSIS, COMPENSATION TABLES AND NARRATIVE DISCUSSION CONTAINED ABOVE IN THIS PROXY STATEMENT.</w:t>
      </w:r>
    </w:p>
    <w:p>
      <w:pPr>
        <w:spacing w:after="0" w:line="161" w:lineRule="exact"/>
        <w:rPr>
          <w:sz w:val="20"/>
          <w:szCs w:val="20"/>
          <w:color w:val="auto"/>
        </w:rPr>
      </w:pPr>
    </w:p>
    <w:p>
      <w:pPr>
        <w:jc w:val="right"/>
        <w:spacing w:after="0"/>
        <w:tabs>
          <w:tab w:leader="none" w:pos="1960" w:val="left"/>
          <w:tab w:leader="none" w:pos="1720" w:val="left"/>
          <w:tab w:leader="none" w:pos="14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16"/>
          <w:szCs w:val="16"/>
          <w:b w:val="1"/>
          <w:bCs w:val="1"/>
          <w:color w:val="auto"/>
        </w:rPr>
        <w:t>|</w:t>
      </w:r>
      <w:r>
        <w:rPr>
          <w:sz w:val="20"/>
          <w:szCs w:val="20"/>
          <w:color w:val="auto"/>
        </w:rPr>
        <w:tab/>
      </w:r>
      <w:r>
        <w:rPr>
          <w:rFonts w:ascii="Arial" w:cs="Arial" w:eastAsia="Arial" w:hAnsi="Arial"/>
          <w:sz w:val="16"/>
          <w:szCs w:val="16"/>
          <w:color w:val="auto"/>
        </w:rPr>
        <w:t>2018 Proxy Statement</w:t>
      </w:r>
      <w:r>
        <w:rPr>
          <w:sz w:val="20"/>
          <w:szCs w:val="20"/>
          <w:color w:val="auto"/>
        </w:rPr>
        <w:tab/>
      </w: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139700</wp:posOffset>
            </wp:positionV>
            <wp:extent cx="7263130" cy="203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6" w:name="page67"/>
    <w:bookmarkEnd w:id="66"/>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7" w:lineRule="exact"/>
        <w:rPr>
          <w:sz w:val="20"/>
          <w:szCs w:val="20"/>
          <w:color w:val="auto"/>
        </w:rPr>
      </w:pPr>
    </w:p>
    <w:p>
      <w:pPr>
        <w:spacing w:after="0"/>
        <w:tabs>
          <w:tab w:leader="none" w:pos="580" w:val="left"/>
        </w:tabs>
        <w:rPr>
          <w:sz w:val="20"/>
          <w:szCs w:val="20"/>
          <w:color w:val="auto"/>
        </w:rPr>
      </w:pPr>
      <w:r>
        <w:rPr>
          <w:rFonts w:ascii="Arial" w:cs="Arial" w:eastAsia="Arial" w:hAnsi="Arial"/>
          <w:sz w:val="16"/>
          <w:szCs w:val="16"/>
          <w:b w:val="1"/>
          <w:bCs w:val="1"/>
          <w:color w:val="0048E0"/>
        </w:rPr>
        <w:t>VII.</w:t>
      </w:r>
      <w:r>
        <w:rPr>
          <w:sz w:val="20"/>
          <w:szCs w:val="20"/>
          <w:color w:val="auto"/>
        </w:rPr>
        <w:tab/>
      </w:r>
      <w:r>
        <w:rPr>
          <w:rFonts w:ascii="Arial" w:cs="Arial" w:eastAsia="Arial" w:hAnsi="Arial"/>
          <w:sz w:val="16"/>
          <w:szCs w:val="16"/>
          <w:b w:val="1"/>
          <w:bCs w:val="1"/>
          <w:color w:val="0048E0"/>
        </w:rPr>
        <w:t>PROPOSAL NO. 3—RATIFICATION OF INDEPENDENT REGISTERED CERTIFIED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258685" cy="1587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8685" cy="15875"/>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Introduction</w:t>
      </w:r>
    </w:p>
    <w:p>
      <w:pPr>
        <w:spacing w:after="0" w:line="215" w:lineRule="exact"/>
        <w:rPr>
          <w:sz w:val="20"/>
          <w:szCs w:val="20"/>
          <w:color w:val="auto"/>
        </w:rPr>
      </w:pPr>
    </w:p>
    <w:p>
      <w:pPr>
        <w:ind w:right="40" w:firstLine="558"/>
        <w:spacing w:after="0" w:line="270" w:lineRule="auto"/>
        <w:rPr>
          <w:sz w:val="20"/>
          <w:szCs w:val="20"/>
          <w:color w:val="auto"/>
        </w:rPr>
      </w:pPr>
      <w:r>
        <w:rPr>
          <w:rFonts w:ascii="Arial" w:cs="Arial" w:eastAsia="Arial" w:hAnsi="Arial"/>
          <w:sz w:val="16"/>
          <w:szCs w:val="16"/>
          <w:color w:val="auto"/>
        </w:rPr>
        <w:t>The Audit Committee appoints, compensates, retains and oversees our auditors. The Audit Committee engages in an annual evaluation of the independent registered certified public accounting firm's qualifications, performance and independence and considers the advisability and potential impact of selecting a different independent registered certified public accounting firm.</w:t>
      </w:r>
    </w:p>
    <w:p>
      <w:pPr>
        <w:spacing w:after="0" w:line="168" w:lineRule="exact"/>
        <w:rPr>
          <w:sz w:val="20"/>
          <w:szCs w:val="20"/>
          <w:color w:val="auto"/>
        </w:rPr>
      </w:pPr>
    </w:p>
    <w:p>
      <w:pPr>
        <w:ind w:right="40" w:firstLine="558"/>
        <w:spacing w:after="0" w:line="264" w:lineRule="auto"/>
        <w:rPr>
          <w:sz w:val="20"/>
          <w:szCs w:val="20"/>
          <w:color w:val="auto"/>
        </w:rPr>
      </w:pPr>
      <w:r>
        <w:rPr>
          <w:rFonts w:ascii="Arial" w:cs="Arial" w:eastAsia="Arial" w:hAnsi="Arial"/>
          <w:sz w:val="16"/>
          <w:szCs w:val="16"/>
          <w:color w:val="auto"/>
        </w:rPr>
        <w:t>The Audit Committee has selected PwC to serve as our independent registered public accounting firm for 2018. In accordance with SEC rules and PwC policies, audit partners are subject to rotation requirements to limit the number of consecutive years an individual partner may provide audit services to us. For lead and concurring review audit partners, the maximum number of consecutive years of service in that capacity is five years. The process for selection of our lead audit partner pursuant to this rotation policy includes meetings between the Chairman and the members of the Audit Committee and the candidates for the role, as well as discussion by the full Audit Committee and with management.</w:t>
      </w:r>
    </w:p>
    <w:p>
      <w:pPr>
        <w:spacing w:after="0" w:line="172" w:lineRule="exact"/>
        <w:rPr>
          <w:sz w:val="20"/>
          <w:szCs w:val="20"/>
          <w:color w:val="auto"/>
        </w:rPr>
      </w:pPr>
    </w:p>
    <w:p>
      <w:pPr>
        <w:ind w:right="20" w:firstLine="558"/>
        <w:spacing w:after="0" w:line="261" w:lineRule="auto"/>
        <w:rPr>
          <w:sz w:val="20"/>
          <w:szCs w:val="20"/>
          <w:color w:val="auto"/>
        </w:rPr>
      </w:pPr>
      <w:r>
        <w:rPr>
          <w:rFonts w:ascii="Arial" w:cs="Arial" w:eastAsia="Arial" w:hAnsi="Arial"/>
          <w:sz w:val="16"/>
          <w:szCs w:val="16"/>
          <w:color w:val="auto"/>
        </w:rPr>
        <w:t>The Audit Committee and the Board of Directors believe that the continued retention of PwC as our independent registered public accounting firm is in our best interests and those of our shareholders, and we are asking our shareholders to ratify the selection of PwC as our independent registered public accounting firm for 2018. Although the Board is submitting the selection of PwC to our shareholders for ratification, the Audit Committee is not required to take any action as a result of the outcome of the vote on this proposal. If our shareholders do not ratify the selection of PwC as our independent registered certified public accounting firm, other independent registered certified public accounting firms will be considered by our Audit Committee, but the Audit Committee may nonetheless choose to engage PwC. Even if the appointment is ratified, the Audit Committee, in its discretion, may select a different independent registered certified public accounting firm at any time during the year if it determines that such a change would be in the best interest of us and our shareholders.</w:t>
      </w:r>
    </w:p>
    <w:p>
      <w:pPr>
        <w:spacing w:after="0" w:line="178" w:lineRule="exact"/>
        <w:rPr>
          <w:sz w:val="20"/>
          <w:szCs w:val="20"/>
          <w:color w:val="auto"/>
        </w:rPr>
      </w:pPr>
    </w:p>
    <w:p>
      <w:pPr>
        <w:ind w:right="40" w:firstLine="561"/>
        <w:spacing w:after="0" w:line="284" w:lineRule="auto"/>
        <w:rPr>
          <w:sz w:val="20"/>
          <w:szCs w:val="20"/>
          <w:color w:val="auto"/>
        </w:rPr>
      </w:pPr>
      <w:r>
        <w:rPr>
          <w:rFonts w:ascii="Arial" w:cs="Arial" w:eastAsia="Arial" w:hAnsi="Arial"/>
          <w:sz w:val="16"/>
          <w:szCs w:val="16"/>
          <w:color w:val="auto"/>
        </w:rPr>
        <w:t>Representatives of PwC are expected to be present at the Annual Meeting, will have an opportunity to make a statement if they desire and will be available to respond to questions.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Fees and Services of PricewaterhouseCoopers LLP</w:t>
      </w:r>
    </w:p>
    <w:p>
      <w:pPr>
        <w:spacing w:after="0" w:line="215" w:lineRule="exact"/>
        <w:rPr>
          <w:sz w:val="20"/>
          <w:szCs w:val="20"/>
          <w:color w:val="auto"/>
        </w:rPr>
      </w:pPr>
    </w:p>
    <w:p>
      <w:pPr>
        <w:ind w:right="300" w:firstLine="558"/>
        <w:spacing w:after="0" w:line="262" w:lineRule="auto"/>
        <w:rPr>
          <w:sz w:val="20"/>
          <w:szCs w:val="20"/>
          <w:color w:val="auto"/>
        </w:rPr>
      </w:pPr>
      <w:r>
        <w:rPr>
          <w:rFonts w:ascii="Arial" w:cs="Arial" w:eastAsia="Arial" w:hAnsi="Arial"/>
          <w:sz w:val="16"/>
          <w:szCs w:val="16"/>
          <w:color w:val="auto"/>
        </w:rPr>
        <w:t>The following table presents aggregate fees for professional audit services rendered by PwC for the audit of our consolidated financial statements for the fiscal years ended December 31, 2017 and 2016, and fees billed for other services rendered by PwC during those periods.</w:t>
      </w:r>
    </w:p>
    <w:p>
      <w:pPr>
        <w:jc w:val="right"/>
        <w:spacing w:after="0"/>
        <w:tabs>
          <w:tab w:leader="none" w:pos="1960" w:val="left"/>
          <w:tab w:leader="none" w:pos="1720" w:val="left"/>
          <w:tab w:leader="none" w:pos="14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3"/>
          <w:szCs w:val="33"/>
          <w:b w:val="1"/>
          <w:bCs w:val="1"/>
          <w:color w:val="auto"/>
          <w:vertAlign w:val="subscript"/>
        </w:rPr>
        <w:t>|</w:t>
      </w:r>
      <w:r>
        <w:rPr>
          <w:sz w:val="20"/>
          <w:szCs w:val="20"/>
          <w:color w:val="auto"/>
        </w:rPr>
        <w:tab/>
      </w:r>
      <w:r>
        <w:rPr>
          <w:rFonts w:ascii="Arial" w:cs="Arial" w:eastAsia="Arial" w:hAnsi="Arial"/>
          <w:sz w:val="16"/>
          <w:szCs w:val="16"/>
          <w:color w:val="auto"/>
        </w:rPr>
        <w:t>2018 Proxy Statement</w:t>
      </w:r>
      <w:r>
        <w:rPr>
          <w:sz w:val="20"/>
          <w:szCs w:val="20"/>
          <w:color w:val="auto"/>
        </w:rPr>
        <w:tab/>
      </w: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133350</wp:posOffset>
            </wp:positionV>
            <wp:extent cx="7263130" cy="203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7" w:name="page68"/>
    <w:bookmarkEnd w:id="67"/>
    <w:p>
      <w:pPr>
        <w:ind w:left="1"/>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ind w:left="1"/>
        <w:spacing w:after="0"/>
        <w:rPr>
          <w:sz w:val="20"/>
          <w:szCs w:val="20"/>
          <w:color w:val="auto"/>
        </w:rPr>
      </w:pPr>
      <w:r>
        <w:rPr>
          <w:rFonts w:ascii="Arial" w:cs="Arial" w:eastAsia="Arial" w:hAnsi="Arial"/>
          <w:sz w:val="16"/>
          <w:szCs w:val="16"/>
          <w:i w:val="1"/>
          <w:iCs w:val="1"/>
          <w:color w:val="auto"/>
        </w:rPr>
        <w:t>Services Rendered</w:t>
      </w:r>
    </w:p>
    <w:p>
      <w:pPr>
        <w:spacing w:after="0" w:line="272" w:lineRule="exact"/>
        <w:rPr>
          <w:sz w:val="20"/>
          <w:szCs w:val="20"/>
          <w:color w:val="auto"/>
        </w:rPr>
      </w:pPr>
    </w:p>
    <w:tbl>
      <w:tblPr>
        <w:tblLayout w:type="fixed"/>
        <w:tblInd w:w="1141" w:type="dxa"/>
        <w:tblCellMar>
          <w:top w:w="0" w:type="dxa"/>
          <w:left w:w="0" w:type="dxa"/>
          <w:bottom w:w="0" w:type="dxa"/>
          <w:right w:w="0" w:type="dxa"/>
        </w:tblCellMar>
      </w:tblPr>
      <w:tr>
        <w:trPr>
          <w:trHeight w:val="156"/>
        </w:trPr>
        <w:tc>
          <w:tcPr>
            <w:tcW w:w="2700" w:type="dxa"/>
            <w:vAlign w:val="bottom"/>
          </w:tcPr>
          <w:p>
            <w:pPr>
              <w:spacing w:after="0"/>
              <w:rPr>
                <w:sz w:val="13"/>
                <w:szCs w:val="13"/>
                <w:color w:val="auto"/>
              </w:rPr>
            </w:pPr>
          </w:p>
        </w:tc>
        <w:tc>
          <w:tcPr>
            <w:tcW w:w="5080" w:type="dxa"/>
            <w:vAlign w:val="bottom"/>
          </w:tcPr>
          <w:p>
            <w:pPr>
              <w:spacing w:after="0"/>
              <w:rPr>
                <w:sz w:val="13"/>
                <w:szCs w:val="13"/>
                <w:color w:val="auto"/>
              </w:rPr>
            </w:pPr>
          </w:p>
        </w:tc>
        <w:tc>
          <w:tcPr>
            <w:tcW w:w="1360" w:type="dxa"/>
            <w:vAlign w:val="bottom"/>
            <w:gridSpan w:val="4"/>
          </w:tcPr>
          <w:p>
            <w:pPr>
              <w:ind w:left="340"/>
              <w:spacing w:after="0"/>
              <w:rPr>
                <w:sz w:val="20"/>
                <w:szCs w:val="20"/>
                <w:color w:val="auto"/>
              </w:rPr>
            </w:pPr>
            <w:r>
              <w:rPr>
                <w:rFonts w:ascii="Arial" w:cs="Arial" w:eastAsia="Arial" w:hAnsi="Arial"/>
                <w:sz w:val="12"/>
                <w:szCs w:val="12"/>
                <w:color w:val="auto"/>
              </w:rPr>
              <w:t>(In millions)</w:t>
            </w:r>
          </w:p>
        </w:tc>
      </w:tr>
      <w:tr>
        <w:trPr>
          <w:trHeight w:val="186"/>
        </w:trPr>
        <w:tc>
          <w:tcPr>
            <w:tcW w:w="2700" w:type="dxa"/>
            <w:vAlign w:val="bottom"/>
          </w:tcPr>
          <w:p>
            <w:pPr>
              <w:spacing w:after="0"/>
              <w:rPr>
                <w:sz w:val="16"/>
                <w:szCs w:val="16"/>
                <w:color w:val="auto"/>
              </w:rPr>
            </w:pPr>
          </w:p>
        </w:tc>
        <w:tc>
          <w:tcPr>
            <w:tcW w:w="5080" w:type="dxa"/>
            <w:vAlign w:val="bottom"/>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2017</w:t>
            </w:r>
          </w:p>
        </w:tc>
        <w:tc>
          <w:tcPr>
            <w:tcW w:w="300" w:type="dxa"/>
            <w:vAlign w:val="bottom"/>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2016</w:t>
            </w:r>
          </w:p>
        </w:tc>
        <w:tc>
          <w:tcPr>
            <w:tcW w:w="140" w:type="dxa"/>
            <w:vAlign w:val="bottom"/>
          </w:tcPr>
          <w:p>
            <w:pPr>
              <w:spacing w:after="0"/>
              <w:rPr>
                <w:sz w:val="16"/>
                <w:szCs w:val="16"/>
                <w:color w:val="auto"/>
              </w:rPr>
            </w:pPr>
          </w:p>
        </w:tc>
      </w:tr>
      <w:tr>
        <w:trPr>
          <w:trHeight w:val="227"/>
        </w:trPr>
        <w:tc>
          <w:tcPr>
            <w:tcW w:w="2700" w:type="dxa"/>
            <w:vAlign w:val="bottom"/>
            <w:shd w:val="clear" w:color="auto" w:fill="CCEEFF"/>
          </w:tcPr>
          <w:p>
            <w:pPr>
              <w:spacing w:after="0" w:line="226" w:lineRule="exact"/>
              <w:rPr>
                <w:sz w:val="20"/>
                <w:szCs w:val="20"/>
                <w:color w:val="auto"/>
              </w:rPr>
            </w:pPr>
            <w:r>
              <w:rPr>
                <w:rFonts w:ascii="Arial" w:cs="Arial" w:eastAsia="Arial" w:hAnsi="Arial"/>
                <w:sz w:val="16"/>
                <w:szCs w:val="16"/>
                <w:color w:val="auto"/>
              </w:rPr>
              <w:t>Audit Fees</w:t>
            </w:r>
            <w:r>
              <w:rPr>
                <w:rFonts w:ascii="Arial" w:cs="Arial" w:eastAsia="Arial" w:hAnsi="Arial"/>
                <w:sz w:val="26"/>
                <w:szCs w:val="26"/>
                <w:color w:val="auto"/>
                <w:vertAlign w:val="superscript"/>
              </w:rPr>
              <w:t>(1)</w:t>
            </w:r>
          </w:p>
        </w:tc>
        <w:tc>
          <w:tcPr>
            <w:tcW w:w="5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7.9</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5.8</w:t>
            </w:r>
          </w:p>
        </w:tc>
        <w:tc>
          <w:tcPr>
            <w:tcW w:w="140" w:type="dxa"/>
            <w:vAlign w:val="bottom"/>
            <w:shd w:val="clear" w:color="auto" w:fill="CCEEFF"/>
          </w:tcPr>
          <w:p>
            <w:pPr>
              <w:spacing w:after="0"/>
              <w:rPr>
                <w:sz w:val="19"/>
                <w:szCs w:val="19"/>
                <w:color w:val="auto"/>
              </w:rPr>
            </w:pPr>
          </w:p>
        </w:tc>
      </w:tr>
      <w:tr>
        <w:trPr>
          <w:trHeight w:val="234"/>
        </w:trPr>
        <w:tc>
          <w:tcPr>
            <w:tcW w:w="2700" w:type="dxa"/>
            <w:vAlign w:val="bottom"/>
          </w:tcPr>
          <w:p>
            <w:pPr>
              <w:spacing w:after="0" w:line="235" w:lineRule="exact"/>
              <w:rPr>
                <w:sz w:val="20"/>
                <w:szCs w:val="20"/>
                <w:color w:val="auto"/>
              </w:rPr>
            </w:pPr>
            <w:r>
              <w:rPr>
                <w:rFonts w:ascii="Arial" w:cs="Arial" w:eastAsia="Arial" w:hAnsi="Arial"/>
                <w:sz w:val="16"/>
                <w:szCs w:val="16"/>
                <w:color w:val="auto"/>
              </w:rPr>
              <w:t>Audit-Related Fees</w:t>
            </w:r>
            <w:r>
              <w:rPr>
                <w:rFonts w:ascii="Arial" w:cs="Arial" w:eastAsia="Arial" w:hAnsi="Arial"/>
                <w:sz w:val="26"/>
                <w:szCs w:val="26"/>
                <w:color w:val="auto"/>
                <w:vertAlign w:val="superscript"/>
              </w:rPr>
              <w:t>(2)</w:t>
            </w:r>
          </w:p>
        </w:tc>
        <w:tc>
          <w:tcPr>
            <w:tcW w:w="5540" w:type="dxa"/>
            <w:vAlign w:val="bottom"/>
            <w:gridSpan w:val="2"/>
          </w:tcPr>
          <w:p>
            <w:pPr>
              <w:jc w:val="right"/>
              <w:spacing w:after="0"/>
              <w:rPr>
                <w:sz w:val="20"/>
                <w:szCs w:val="20"/>
                <w:color w:val="auto"/>
              </w:rPr>
            </w:pPr>
            <w:r>
              <w:rPr>
                <w:rFonts w:ascii="Arial" w:cs="Arial" w:eastAsia="Arial" w:hAnsi="Arial"/>
                <w:sz w:val="16"/>
                <w:szCs w:val="16"/>
                <w:color w:val="auto"/>
              </w:rPr>
              <w:t>0.2</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0.1</w:t>
            </w:r>
          </w:p>
        </w:tc>
        <w:tc>
          <w:tcPr>
            <w:tcW w:w="140" w:type="dxa"/>
            <w:vAlign w:val="bottom"/>
          </w:tcPr>
          <w:p>
            <w:pPr>
              <w:spacing w:after="0"/>
              <w:rPr>
                <w:sz w:val="20"/>
                <w:szCs w:val="20"/>
                <w:color w:val="auto"/>
              </w:rPr>
            </w:pPr>
          </w:p>
        </w:tc>
      </w:tr>
      <w:tr>
        <w:trPr>
          <w:trHeight w:val="197"/>
        </w:trPr>
        <w:tc>
          <w:tcPr>
            <w:tcW w:w="2700" w:type="dxa"/>
            <w:vAlign w:val="bottom"/>
            <w:shd w:val="clear" w:color="auto" w:fill="CCEEFF"/>
          </w:tcPr>
          <w:p>
            <w:pPr>
              <w:spacing w:after="0"/>
              <w:rPr>
                <w:sz w:val="20"/>
                <w:szCs w:val="20"/>
                <w:color w:val="auto"/>
              </w:rPr>
            </w:pPr>
            <w:r>
              <w:rPr>
                <w:rFonts w:ascii="Arial" w:cs="Arial" w:eastAsia="Arial" w:hAnsi="Arial"/>
                <w:sz w:val="16"/>
                <w:szCs w:val="16"/>
                <w:color w:val="auto"/>
              </w:rPr>
              <w:t>Tax Fees</w:t>
            </w:r>
          </w:p>
        </w:tc>
        <w:tc>
          <w:tcPr>
            <w:tcW w:w="508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r>
      <w:tr>
        <w:trPr>
          <w:trHeight w:val="197"/>
        </w:trPr>
        <w:tc>
          <w:tcPr>
            <w:tcW w:w="2700" w:type="dxa"/>
            <w:vAlign w:val="bottom"/>
          </w:tcPr>
          <w:p>
            <w:pPr>
              <w:spacing w:after="0"/>
              <w:rPr>
                <w:sz w:val="20"/>
                <w:szCs w:val="20"/>
                <w:color w:val="auto"/>
              </w:rPr>
            </w:pPr>
            <w:r>
              <w:rPr>
                <w:rFonts w:ascii="Arial" w:cs="Arial" w:eastAsia="Arial" w:hAnsi="Arial"/>
                <w:sz w:val="16"/>
                <w:szCs w:val="16"/>
                <w:color w:val="auto"/>
              </w:rPr>
              <w:t>All Other Fees</w:t>
            </w:r>
          </w:p>
        </w:tc>
        <w:tc>
          <w:tcPr>
            <w:tcW w:w="5080" w:type="dxa"/>
            <w:vAlign w:val="bottom"/>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r>
      <w:tr>
        <w:trPr>
          <w:trHeight w:val="190"/>
        </w:trPr>
        <w:tc>
          <w:tcPr>
            <w:tcW w:w="2700" w:type="dxa"/>
            <w:vAlign w:val="bottom"/>
            <w:shd w:val="clear" w:color="auto" w:fill="CCEEFF"/>
          </w:tcPr>
          <w:p>
            <w:pPr>
              <w:spacing w:after="0"/>
              <w:rPr>
                <w:sz w:val="20"/>
                <w:szCs w:val="20"/>
                <w:color w:val="auto"/>
              </w:rPr>
            </w:pPr>
            <w:r>
              <w:rPr>
                <w:rFonts w:ascii="Arial" w:cs="Arial" w:eastAsia="Arial" w:hAnsi="Arial"/>
                <w:sz w:val="16"/>
                <w:szCs w:val="16"/>
                <w:color w:val="auto"/>
              </w:rPr>
              <w:t>Total</w:t>
            </w:r>
          </w:p>
        </w:tc>
        <w:tc>
          <w:tcPr>
            <w:tcW w:w="5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40" w:type="dxa"/>
            <w:vAlign w:val="bottom"/>
            <w:shd w:val="clear" w:color="auto" w:fill="CCEEFF"/>
          </w:tcPr>
          <w:p>
            <w:pPr>
              <w:spacing w:after="0"/>
              <w:rPr>
                <w:sz w:val="16"/>
                <w:szCs w:val="16"/>
                <w:color w:val="auto"/>
              </w:rPr>
            </w:pPr>
          </w:p>
        </w:tc>
      </w:tr>
      <w:tr>
        <w:trPr>
          <w:trHeight w:val="20"/>
        </w:trPr>
        <w:tc>
          <w:tcPr>
            <w:tcW w:w="270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76"/>
        </w:trPr>
        <w:tc>
          <w:tcPr>
            <w:tcW w:w="2700" w:type="dxa"/>
            <w:vAlign w:val="bottom"/>
            <w:tcBorders>
              <w:bottom w:val="single" w:sz="8" w:color="auto"/>
            </w:tcBorders>
          </w:tcPr>
          <w:p>
            <w:pPr>
              <w:spacing w:after="0"/>
              <w:rPr>
                <w:sz w:val="6"/>
                <w:szCs w:val="6"/>
                <w:color w:val="auto"/>
              </w:rPr>
            </w:pPr>
          </w:p>
        </w:tc>
        <w:tc>
          <w:tcPr>
            <w:tcW w:w="50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40" w:type="dxa"/>
            <w:vAlign w:val="bottom"/>
          </w:tcPr>
          <w:p>
            <w:pPr>
              <w:spacing w:after="0"/>
              <w:rPr>
                <w:sz w:val="6"/>
                <w:szCs w:val="6"/>
                <w:color w:val="auto"/>
              </w:rPr>
            </w:pPr>
          </w:p>
        </w:tc>
      </w:tr>
    </w:tbl>
    <w:p>
      <w:pPr>
        <w:spacing w:after="0" w:line="201" w:lineRule="exact"/>
        <w:rPr>
          <w:sz w:val="20"/>
          <w:szCs w:val="20"/>
          <w:color w:val="auto"/>
        </w:rPr>
      </w:pPr>
    </w:p>
    <w:p>
      <w:pPr>
        <w:ind w:left="1641" w:right="100" w:hanging="498"/>
        <w:spacing w:after="0" w:line="266" w:lineRule="auto"/>
        <w:tabs>
          <w:tab w:leader="none" w:pos="1641"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These amounts represent fees for professional services rendered for the audits of our consolidated financial statements included in our annual report on Form 10-K, reviews of the quarterly consolidated financial statements included in our quarterly reports on Form 10-Q, statutory audits, the assessment of our internal control assertions required by Section 404 of the Sarbanes-Oxley Act of 2002 and other SEC filings and accounting consultations on matters related to the annual audits or interim reviews.</w:t>
      </w:r>
    </w:p>
    <w:p>
      <w:pPr>
        <w:spacing w:after="0" w:line="195" w:lineRule="exact"/>
        <w:rPr>
          <w:rFonts w:ascii="Arial" w:cs="Arial" w:eastAsia="Arial" w:hAnsi="Arial"/>
          <w:sz w:val="16"/>
          <w:szCs w:val="16"/>
          <w:color w:val="auto"/>
        </w:rPr>
      </w:pPr>
    </w:p>
    <w:p>
      <w:pPr>
        <w:ind w:left="1641" w:right="240" w:hanging="498"/>
        <w:spacing w:after="0" w:line="284" w:lineRule="auto"/>
        <w:tabs>
          <w:tab w:leader="none" w:pos="1641"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This amount represents fees for professional services rendered in connection with service organization control reports in 2016 and 2017 and with the implementation of accounting-related software in 2017.</w:t>
      </w:r>
    </w:p>
    <w:p>
      <w:pPr>
        <w:spacing w:after="0" w:line="152"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Audit Committee Pre-Approval Policy</w:t>
      </w:r>
    </w:p>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Consistent with requirements of the SEC and the Public Company Accounting Oversight Board (PCAOB) regarding auditor independence, the Audit Committee</w:t>
      </w:r>
    </w:p>
    <w:p>
      <w:pPr>
        <w:spacing w:after="0" w:line="21" w:lineRule="exact"/>
        <w:rPr>
          <w:sz w:val="20"/>
          <w:szCs w:val="20"/>
          <w:color w:val="auto"/>
        </w:rPr>
      </w:pPr>
    </w:p>
    <w:p>
      <w:pPr>
        <w:ind w:left="1" w:right="40" w:hanging="1"/>
        <w:spacing w:after="0" w:line="279" w:lineRule="auto"/>
        <w:tabs>
          <w:tab w:leader="none" w:pos="193" w:val="left"/>
        </w:tabs>
        <w:numPr>
          <w:ilvl w:val="0"/>
          <w:numId w:val="72"/>
        </w:numPr>
        <w:rPr>
          <w:rFonts w:ascii="Arial" w:cs="Arial" w:eastAsia="Arial" w:hAnsi="Arial"/>
          <w:sz w:val="15"/>
          <w:szCs w:val="15"/>
          <w:color w:val="auto"/>
        </w:rPr>
      </w:pPr>
      <w:r>
        <w:rPr>
          <w:rFonts w:ascii="Arial" w:cs="Arial" w:eastAsia="Arial" w:hAnsi="Arial"/>
          <w:sz w:val="15"/>
          <w:szCs w:val="15"/>
          <w:color w:val="auto"/>
        </w:rPr>
        <w:t>appoints, (ii) negotiates and sets the compensation of and (iii) oversees the performance of the independent registered public accounting firm. In recognition of this responsibility, the Audit Committee has established a pre-approval policy for all audit and permitted non-audit services performed by our independent auditors to ensure that providing such services does not impair the auditors' independence. There are two types of pre-approval under the policy, general and specific. Under the general type of pre-approval, proposed services are pre-approved on a categorical basis for up to 12 months and must be detailed as to the particular services provided and sufficiently specific and objective so that no judgments by management are required to determine whether a specific service falls within the pre-approved category. The Audit Committee reviews the general pre-approval categories on a periodic basis and approves the fee levels for each category annually. Under the specific type of pre-approval, proposed services, such as the annual audit engagement terms and fees, are approved on a case-by-case basis. Any services that have not been generally pre-approved or that exceed the approved fee levels must be specifically pre-approved. Specific pre-approval must be obtained from the Audit Committee.</w:t>
      </w:r>
    </w:p>
    <w:p>
      <w:pPr>
        <w:spacing w:after="0" w:line="164" w:lineRule="exact"/>
        <w:rPr>
          <w:sz w:val="20"/>
          <w:szCs w:val="20"/>
          <w:color w:val="auto"/>
        </w:rPr>
      </w:pPr>
    </w:p>
    <w:p>
      <w:pPr>
        <w:ind w:left="1" w:right="20" w:firstLine="558"/>
        <w:spacing w:after="0" w:line="289" w:lineRule="auto"/>
        <w:rPr>
          <w:sz w:val="20"/>
          <w:szCs w:val="20"/>
          <w:color w:val="auto"/>
        </w:rPr>
      </w:pPr>
      <w:r>
        <w:rPr>
          <w:rFonts w:ascii="Arial" w:cs="Arial" w:eastAsia="Arial" w:hAnsi="Arial"/>
          <w:sz w:val="15"/>
          <w:szCs w:val="15"/>
          <w:color w:val="auto"/>
        </w:rPr>
        <w:t>The Audit Committee has delegated the authority to the Chairman of the Audit Committee to pre-approve audit and non-audit services to be provided by the independent registered certified public accounting firm so long as such services: (a) involve fees of less than $100,000, and (b) are subsequently reported to and approved by the full Audit Committee at its next scheduled meeting. The Audit Committee approved all services provided by, and all fees paid to, PwC. The Audit Committee has considered the services provided by PwC as described above and has determined that such services are compatible with maintaining PwC's independence.</w:t>
      </w:r>
    </w:p>
    <w:p>
      <w:pPr>
        <w:spacing w:after="0" w:line="152"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Report of the Audit Committee</w:t>
      </w:r>
    </w:p>
    <w:p>
      <w:pPr>
        <w:spacing w:after="0" w:line="215" w:lineRule="exact"/>
        <w:rPr>
          <w:sz w:val="20"/>
          <w:szCs w:val="20"/>
          <w:color w:val="auto"/>
        </w:rPr>
      </w:pPr>
    </w:p>
    <w:p>
      <w:pPr>
        <w:ind w:left="1" w:right="460" w:firstLine="558"/>
        <w:spacing w:after="0" w:line="284" w:lineRule="auto"/>
        <w:rPr>
          <w:sz w:val="20"/>
          <w:szCs w:val="20"/>
          <w:color w:val="auto"/>
        </w:rPr>
      </w:pPr>
      <w:r>
        <w:rPr>
          <w:rFonts w:ascii="Arial" w:cs="Arial" w:eastAsia="Arial" w:hAnsi="Arial"/>
          <w:sz w:val="16"/>
          <w:szCs w:val="16"/>
          <w:color w:val="auto"/>
        </w:rPr>
        <w:t>The Audit Committee has reviewed and discussed with management and with the independent registered certified public accounting firm the audited consolidated financial statements for the 2017</w:t>
      </w:r>
    </w:p>
    <w:p>
      <w:pPr>
        <w:spacing w:after="0" w:line="152" w:lineRule="exact"/>
        <w:rPr>
          <w:sz w:val="20"/>
          <w:szCs w:val="20"/>
          <w:color w:val="auto"/>
        </w:rPr>
      </w:pPr>
    </w:p>
    <w:p>
      <w:pPr>
        <w:jc w:val="right"/>
        <w:spacing w:after="0"/>
        <w:tabs>
          <w:tab w:leader="none" w:pos="1960" w:val="left"/>
          <w:tab w:leader="none" w:pos="1720" w:val="left"/>
          <w:tab w:leader="none" w:pos="14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16"/>
          <w:szCs w:val="16"/>
          <w:b w:val="1"/>
          <w:bCs w:val="1"/>
          <w:color w:val="auto"/>
        </w:rPr>
        <w:t>|</w:t>
      </w:r>
      <w:r>
        <w:rPr>
          <w:sz w:val="20"/>
          <w:szCs w:val="20"/>
          <w:color w:val="auto"/>
        </w:rPr>
        <w:tab/>
      </w:r>
      <w:r>
        <w:rPr>
          <w:rFonts w:ascii="Arial" w:cs="Arial" w:eastAsia="Arial" w:hAnsi="Arial"/>
          <w:sz w:val="16"/>
          <w:szCs w:val="16"/>
          <w:color w:val="auto"/>
        </w:rPr>
        <w:t>2018 Proxy Statement</w:t>
      </w:r>
      <w:r>
        <w:rPr>
          <w:sz w:val="20"/>
          <w:szCs w:val="20"/>
          <w:color w:val="auto"/>
        </w:rPr>
        <w:tab/>
      </w: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139700</wp:posOffset>
            </wp:positionV>
            <wp:extent cx="7263130" cy="203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1"/>
          </w:cols>
          <w:pgMar w:left="239" w:top="131" w:right="239" w:bottom="1440" w:gutter="0" w:footer="0" w:header="0"/>
        </w:sectPr>
      </w:pPr>
    </w:p>
    <w:bookmarkStart w:id="68" w:name="page69"/>
    <w:bookmarkEnd w:id="68"/>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fiscal year. The Audit Committee has also performed the other reviews and duties set forth in its charter. The Audit Committee discussed with the independent registered certified public accounting firm the matters required to be discussed by Auditing Standard No. 1301, Communication with Audit Committees, as adopted by the Public Company Accounting Oversight Board.</w:t>
      </w:r>
    </w:p>
    <w:p>
      <w:pPr>
        <w:spacing w:after="0" w:line="168" w:lineRule="exact"/>
        <w:rPr>
          <w:sz w:val="20"/>
          <w:szCs w:val="20"/>
          <w:color w:val="auto"/>
        </w:rPr>
      </w:pPr>
    </w:p>
    <w:p>
      <w:pPr>
        <w:ind w:right="40" w:firstLine="552"/>
        <w:spacing w:after="0" w:line="264" w:lineRule="auto"/>
        <w:rPr>
          <w:sz w:val="20"/>
          <w:szCs w:val="20"/>
          <w:color w:val="auto"/>
        </w:rPr>
      </w:pPr>
      <w:r>
        <w:rPr>
          <w:rFonts w:ascii="Arial" w:cs="Arial" w:eastAsia="Arial" w:hAnsi="Arial"/>
          <w:sz w:val="16"/>
          <w:szCs w:val="16"/>
          <w:color w:val="auto"/>
        </w:rPr>
        <w:t>Additionally, the Audit Committee has: (i) received the written disclosures and the letter from the independent registered certified public accounting firm required by the applicable requirements of the Public Company Accounting Oversight Board regarding the independent registered certified public accounting firm's communications with the Audit Committee concerning independence; (ii) considered whether the provision of tax and accounting research and other non-audit services by our independent registered certified public accounting firm is compatible with maintaining their independence; and (iii) discussed with the independent registered certified public accounting firm their independence from us and our management.</w:t>
      </w:r>
    </w:p>
    <w:p>
      <w:pPr>
        <w:spacing w:after="0" w:line="172" w:lineRule="exact"/>
        <w:rPr>
          <w:sz w:val="20"/>
          <w:szCs w:val="20"/>
          <w:color w:val="auto"/>
        </w:rPr>
      </w:pPr>
    </w:p>
    <w:p>
      <w:pPr>
        <w:ind w:right="380" w:firstLine="561"/>
        <w:spacing w:after="0" w:line="284" w:lineRule="auto"/>
        <w:rPr>
          <w:sz w:val="20"/>
          <w:szCs w:val="20"/>
          <w:color w:val="auto"/>
        </w:rPr>
      </w:pPr>
      <w:r>
        <w:rPr>
          <w:rFonts w:ascii="Arial" w:cs="Arial" w:eastAsia="Arial" w:hAnsi="Arial"/>
          <w:sz w:val="16"/>
          <w:szCs w:val="16"/>
          <w:color w:val="auto"/>
        </w:rPr>
        <w:t>In reliance on the foregoing reviews and discussions, the Audit Committee recommended to the Board that the audited consolidated financial statements referred to above be included in our Annual Report on Form 10-K for the 2017 fiscal year for filing with the SEC.</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John L. Manley, Chairman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Richard A. Kassar, Member</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J. Thomas Presby, Member</w:t>
      </w:r>
    </w:p>
    <w:p>
      <w:pPr>
        <w:spacing w:after="0" w:line="203" w:lineRule="exact"/>
        <w:rPr>
          <w:sz w:val="20"/>
          <w:szCs w:val="20"/>
          <w:color w:val="auto"/>
        </w:rPr>
      </w:pPr>
    </w:p>
    <w:p>
      <w:pPr>
        <w:ind w:right="340" w:firstLine="561"/>
        <w:spacing w:after="0" w:line="270" w:lineRule="auto"/>
        <w:rPr>
          <w:sz w:val="20"/>
          <w:szCs w:val="20"/>
          <w:color w:val="auto"/>
        </w:rPr>
      </w:pPr>
      <w:r>
        <w:rPr>
          <w:rFonts w:ascii="Arial" w:cs="Arial" w:eastAsia="Arial" w:hAnsi="Arial"/>
          <w:sz w:val="16"/>
          <w:szCs w:val="16"/>
          <w:i w:val="1"/>
          <w:iCs w:val="1"/>
          <w:color w:val="auto"/>
        </w:rPr>
        <w:t>Notwithstanding anything to the contrary set forth in any of our previous filings under the Securities Act of 1933, as amended, or the Exchange Act that might incorporate future filings, including this proxy statement, in whole or in part, the Report of the Audit Committee and the Compensation Committee Report above shall not be incorporated by reference into this proxy statement.</w:t>
      </w:r>
    </w:p>
    <w:p>
      <w:pPr>
        <w:spacing w:after="0" w:line="164" w:lineRule="exact"/>
        <w:rPr>
          <w:sz w:val="20"/>
          <w:szCs w:val="20"/>
          <w:color w:val="auto"/>
        </w:rPr>
      </w:pPr>
    </w:p>
    <w:p>
      <w:pPr>
        <w:jc w:val="center"/>
        <w:spacing w:after="0" w:line="261" w:lineRule="auto"/>
        <w:rPr>
          <w:sz w:val="20"/>
          <w:szCs w:val="20"/>
          <w:color w:val="auto"/>
        </w:rPr>
      </w:pPr>
      <w:r>
        <w:rPr>
          <w:rFonts w:ascii="Arial" w:cs="Arial" w:eastAsia="Arial" w:hAnsi="Arial"/>
          <w:sz w:val="16"/>
          <w:szCs w:val="16"/>
          <w:b w:val="1"/>
          <w:bCs w:val="1"/>
          <w:color w:val="auto"/>
        </w:rPr>
        <w:t>THE BOARD OF DIRECTORS UNANIMOUSLY RECOMMENDS A VOTE "FOR" THE RATIFICATION OF THE APPOINTMENT OF PRICEWATERHOUSECOOPERS LLP AS OUR INDEPENDENT REGISTERED CERTIFIED PUBLIC ACCOUNTING FIRM FOR THE 2018 FISCAL YEAR</w:t>
      </w:r>
    </w:p>
    <w:p>
      <w:pPr>
        <w:jc w:val="right"/>
        <w:spacing w:after="0"/>
        <w:tabs>
          <w:tab w:leader="none" w:pos="1960" w:val="left"/>
          <w:tab w:leader="none" w:pos="1720" w:val="left"/>
          <w:tab w:leader="none" w:pos="14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3"/>
          <w:szCs w:val="33"/>
          <w:b w:val="1"/>
          <w:bCs w:val="1"/>
          <w:color w:val="auto"/>
          <w:vertAlign w:val="subscript"/>
        </w:rPr>
        <w:t>|</w:t>
      </w:r>
      <w:r>
        <w:rPr>
          <w:sz w:val="20"/>
          <w:szCs w:val="20"/>
          <w:color w:val="auto"/>
        </w:rPr>
        <w:tab/>
      </w:r>
      <w:r>
        <w:rPr>
          <w:rFonts w:ascii="Arial" w:cs="Arial" w:eastAsia="Arial" w:hAnsi="Arial"/>
          <w:sz w:val="16"/>
          <w:szCs w:val="16"/>
          <w:color w:val="auto"/>
        </w:rPr>
        <w:t>2018 Proxy Statement</w:t>
      </w:r>
      <w:r>
        <w:rPr>
          <w:sz w:val="20"/>
          <w:szCs w:val="20"/>
          <w:color w:val="auto"/>
        </w:rPr>
        <w:tab/>
      </w: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133350</wp:posOffset>
            </wp:positionV>
            <wp:extent cx="7263130" cy="203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9" w:name="page70"/>
    <w:bookmarkEnd w:id="69"/>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7"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0048E0"/>
        </w:rPr>
        <w:t>VIII.</w:t>
        <w:tab/>
        <w:t>SECURITY OWNERSHIP OF CERTAIN BENEFICIAL OWNERS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258685" cy="1587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8685" cy="15875"/>
                    </a:xfrm>
                    <a:prstGeom prst="rect">
                      <a:avLst/>
                    </a:prstGeom>
                    <a:noFill/>
                  </pic:spPr>
                </pic:pic>
              </a:graphicData>
            </a:graphic>
          </wp:anchor>
        </w:drawing>
      </w:r>
    </w:p>
    <w:p>
      <w:pPr>
        <w:spacing w:after="0" w:line="219" w:lineRule="exact"/>
        <w:rPr>
          <w:sz w:val="20"/>
          <w:szCs w:val="20"/>
          <w:color w:val="auto"/>
        </w:rPr>
      </w:pPr>
    </w:p>
    <w:p>
      <w:pPr>
        <w:ind w:right="20" w:firstLine="558"/>
        <w:spacing w:after="0" w:line="266" w:lineRule="auto"/>
        <w:rPr>
          <w:sz w:val="20"/>
          <w:szCs w:val="20"/>
          <w:color w:val="auto"/>
        </w:rPr>
      </w:pPr>
      <w:r>
        <w:rPr>
          <w:rFonts w:ascii="Arial" w:cs="Arial" w:eastAsia="Arial" w:hAnsi="Arial"/>
          <w:sz w:val="16"/>
          <w:szCs w:val="16"/>
          <w:color w:val="auto"/>
        </w:rPr>
        <w:t>The following table sets forth certain information with respect to the beneficial ownership of our common stock, as of April 4, 2018 (the "Reporting Date"), by (i) each person known to us to beneficially own more than 5% of our outstanding common stock; (ii) our named executive officers for the fiscal year ended December 31, 2017; (iii) each director and nominee for director and (iv) all of the executive officers and directors as a group. Except as shown in the table, no other person is known by us to beneficially own more than 5% of our outstanding common stock.</w:t>
      </w:r>
    </w:p>
    <w:p>
      <w:pPr>
        <w:spacing w:after="0" w:line="164"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tcPr>
          <w:p>
            <w:pPr>
              <w:jc w:val="center"/>
              <w:spacing w:after="0"/>
              <w:rPr>
                <w:sz w:val="20"/>
                <w:szCs w:val="20"/>
                <w:color w:val="auto"/>
              </w:rPr>
            </w:pPr>
            <w:r>
              <w:rPr>
                <w:rFonts w:ascii="Arial" w:cs="Arial" w:eastAsia="Arial" w:hAnsi="Arial"/>
                <w:sz w:val="12"/>
                <w:szCs w:val="12"/>
                <w:b w:val="1"/>
                <w:bCs w:val="1"/>
                <w:color w:val="auto"/>
                <w:w w:val="91"/>
              </w:rPr>
              <w:t>Number of Shares of</w:t>
            </w: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31"/>
        </w:trPr>
        <w:tc>
          <w:tcPr>
            <w:tcW w:w="2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2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90"/>
              </w:rPr>
              <w:t>Common Stock</w:t>
            </w: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78"/>
        </w:trPr>
        <w:tc>
          <w:tcPr>
            <w:tcW w:w="6480" w:type="dxa"/>
            <w:vAlign w:val="bottom"/>
            <w:gridSpan w:val="3"/>
          </w:tcPr>
          <w:p>
            <w:pPr>
              <w:spacing w:after="0" w:line="178" w:lineRule="exact"/>
              <w:rPr>
                <w:sz w:val="20"/>
                <w:szCs w:val="20"/>
                <w:color w:val="auto"/>
              </w:rPr>
            </w:pPr>
            <w:r>
              <w:rPr>
                <w:rFonts w:ascii="Arial" w:cs="Arial" w:eastAsia="Arial" w:hAnsi="Arial"/>
                <w:sz w:val="12"/>
                <w:szCs w:val="12"/>
                <w:b w:val="1"/>
                <w:bCs w:val="1"/>
                <w:color w:val="auto"/>
              </w:rPr>
              <w:t>Name of Beneficial Owner</w:t>
            </w:r>
            <w:r>
              <w:rPr>
                <w:rFonts w:ascii="Arial" w:cs="Arial" w:eastAsia="Arial" w:hAnsi="Arial"/>
                <w:sz w:val="20"/>
                <w:szCs w:val="20"/>
                <w:b w:val="1"/>
                <w:bCs w:val="1"/>
                <w:color w:val="auto"/>
                <w:vertAlign w:val="superscript"/>
              </w:rPr>
              <w:t>(1)</w:t>
            </w:r>
          </w:p>
        </w:tc>
        <w:tc>
          <w:tcPr>
            <w:tcW w:w="140" w:type="dxa"/>
            <w:vAlign w:val="bottom"/>
          </w:tcPr>
          <w:p>
            <w:pPr>
              <w:spacing w:after="0"/>
              <w:rPr>
                <w:sz w:val="15"/>
                <w:szCs w:val="15"/>
                <w:color w:val="auto"/>
              </w:rPr>
            </w:pPr>
          </w:p>
        </w:tc>
        <w:tc>
          <w:tcPr>
            <w:tcW w:w="1520" w:type="dxa"/>
            <w:vAlign w:val="bottom"/>
          </w:tcPr>
          <w:p>
            <w:pPr>
              <w:jc w:val="center"/>
              <w:spacing w:after="0" w:line="178" w:lineRule="exact"/>
              <w:rPr>
                <w:sz w:val="20"/>
                <w:szCs w:val="20"/>
                <w:color w:val="auto"/>
              </w:rPr>
            </w:pPr>
            <w:r>
              <w:rPr>
                <w:rFonts w:ascii="Arial" w:cs="Arial" w:eastAsia="Arial" w:hAnsi="Arial"/>
                <w:sz w:val="12"/>
                <w:szCs w:val="12"/>
                <w:b w:val="1"/>
                <w:bCs w:val="1"/>
                <w:color w:val="auto"/>
                <w:w w:val="91"/>
              </w:rPr>
              <w:t>Beneficially Owned</w:t>
            </w:r>
            <w:r>
              <w:rPr>
                <w:rFonts w:ascii="Arial" w:cs="Arial" w:eastAsia="Arial" w:hAnsi="Arial"/>
                <w:sz w:val="20"/>
                <w:szCs w:val="20"/>
                <w:b w:val="1"/>
                <w:bCs w:val="1"/>
                <w:color w:val="auto"/>
                <w:w w:val="91"/>
                <w:vertAlign w:val="superscript"/>
              </w:rPr>
              <w:t>(2)</w:t>
            </w:r>
          </w:p>
        </w:tc>
        <w:tc>
          <w:tcPr>
            <w:tcW w:w="140" w:type="dxa"/>
            <w:vAlign w:val="bottom"/>
          </w:tcPr>
          <w:p>
            <w:pPr>
              <w:spacing w:after="0"/>
              <w:rPr>
                <w:sz w:val="15"/>
                <w:szCs w:val="15"/>
                <w:color w:val="auto"/>
              </w:rPr>
            </w:pPr>
          </w:p>
        </w:tc>
        <w:tc>
          <w:tcPr>
            <w:tcW w:w="860" w:type="dxa"/>
            <w:vAlign w:val="bottom"/>
          </w:tcPr>
          <w:p>
            <w:pPr>
              <w:jc w:val="right"/>
              <w:ind w:right="98"/>
              <w:spacing w:after="0" w:line="178" w:lineRule="exact"/>
              <w:rPr>
                <w:sz w:val="20"/>
                <w:szCs w:val="20"/>
                <w:color w:val="auto"/>
              </w:rPr>
            </w:pPr>
            <w:r>
              <w:rPr>
                <w:rFonts w:ascii="Arial" w:cs="Arial" w:eastAsia="Arial" w:hAnsi="Arial"/>
                <w:sz w:val="12"/>
                <w:szCs w:val="12"/>
                <w:b w:val="1"/>
                <w:bCs w:val="1"/>
                <w:color w:val="auto"/>
              </w:rPr>
              <w:t>Percent</w:t>
            </w:r>
            <w:r>
              <w:rPr>
                <w:rFonts w:ascii="Arial" w:cs="Arial" w:eastAsia="Arial" w:hAnsi="Arial"/>
                <w:sz w:val="20"/>
                <w:szCs w:val="20"/>
                <w:b w:val="1"/>
                <w:bCs w:val="1"/>
                <w:color w:val="auto"/>
                <w:vertAlign w:val="superscript"/>
              </w:rPr>
              <w:t>(2)</w:t>
            </w:r>
          </w:p>
        </w:tc>
      </w:tr>
      <w:tr>
        <w:trPr>
          <w:trHeight w:val="190"/>
        </w:trPr>
        <w:tc>
          <w:tcPr>
            <w:tcW w:w="20" w:type="dxa"/>
            <w:vAlign w:val="bottom"/>
          </w:tcPr>
          <w:p>
            <w:pPr>
              <w:spacing w:after="0"/>
              <w:rPr>
                <w:sz w:val="16"/>
                <w:szCs w:val="16"/>
                <w:color w:val="auto"/>
              </w:rPr>
            </w:pPr>
          </w:p>
        </w:tc>
        <w:tc>
          <w:tcPr>
            <w:tcW w:w="64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Holding more than 5%</w:t>
            </w:r>
          </w:p>
        </w:tc>
        <w:tc>
          <w:tcPr>
            <w:tcW w:w="140" w:type="dxa"/>
            <w:vAlign w:val="bottom"/>
            <w:shd w:val="clear" w:color="auto" w:fill="CCEEFF"/>
          </w:tcPr>
          <w:p>
            <w:pPr>
              <w:spacing w:after="0"/>
              <w:rPr>
                <w:sz w:val="16"/>
                <w:szCs w:val="16"/>
                <w:color w:val="auto"/>
              </w:rPr>
            </w:pPr>
          </w:p>
        </w:tc>
        <w:tc>
          <w:tcPr>
            <w:tcW w:w="152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r>
      <w:tr>
        <w:trPr>
          <w:trHeight w:val="234"/>
        </w:trPr>
        <w:tc>
          <w:tcPr>
            <w:tcW w:w="20" w:type="dxa"/>
            <w:vAlign w:val="bottom"/>
          </w:tcPr>
          <w:p>
            <w:pPr>
              <w:spacing w:after="0"/>
              <w:rPr>
                <w:sz w:val="20"/>
                <w:szCs w:val="20"/>
                <w:color w:val="auto"/>
              </w:rPr>
            </w:pPr>
          </w:p>
        </w:tc>
        <w:tc>
          <w:tcPr>
            <w:tcW w:w="6460" w:type="dxa"/>
            <w:vAlign w:val="bottom"/>
            <w:gridSpan w:val="2"/>
          </w:tcPr>
          <w:p>
            <w:pPr>
              <w:spacing w:after="0" w:line="235" w:lineRule="exact"/>
              <w:rPr>
                <w:sz w:val="20"/>
                <w:szCs w:val="20"/>
                <w:color w:val="auto"/>
              </w:rPr>
            </w:pPr>
            <w:r>
              <w:rPr>
                <w:rFonts w:ascii="Arial" w:cs="Arial" w:eastAsia="Arial" w:hAnsi="Arial"/>
                <w:sz w:val="16"/>
                <w:szCs w:val="16"/>
                <w:color w:val="auto"/>
              </w:rPr>
              <w:t>BlackRock, Inc.</w:t>
            </w:r>
            <w:r>
              <w:rPr>
                <w:rFonts w:ascii="Arial" w:cs="Arial" w:eastAsia="Arial" w:hAnsi="Arial"/>
                <w:sz w:val="26"/>
                <w:szCs w:val="26"/>
                <w:color w:val="auto"/>
                <w:vertAlign w:val="superscript"/>
              </w:rPr>
              <w:t>(3)</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5,804,509</w:t>
            </w:r>
          </w:p>
        </w:tc>
        <w:tc>
          <w:tcPr>
            <w:tcW w:w="1000" w:type="dxa"/>
            <w:vAlign w:val="bottom"/>
            <w:gridSpan w:val="2"/>
          </w:tcPr>
          <w:p>
            <w:pPr>
              <w:jc w:val="right"/>
              <w:ind w:right="198"/>
              <w:spacing w:after="0"/>
              <w:rPr>
                <w:sz w:val="20"/>
                <w:szCs w:val="20"/>
                <w:color w:val="auto"/>
              </w:rPr>
            </w:pPr>
            <w:r>
              <w:rPr>
                <w:rFonts w:ascii="Arial" w:cs="Arial" w:eastAsia="Arial" w:hAnsi="Arial"/>
                <w:sz w:val="16"/>
                <w:szCs w:val="16"/>
                <w:color w:val="auto"/>
              </w:rPr>
              <w:t>8.6%</w:t>
            </w:r>
          </w:p>
        </w:tc>
      </w:tr>
      <w:tr>
        <w:trPr>
          <w:trHeight w:val="234"/>
        </w:trPr>
        <w:tc>
          <w:tcPr>
            <w:tcW w:w="20" w:type="dxa"/>
            <w:vAlign w:val="bottom"/>
          </w:tcPr>
          <w:p>
            <w:pPr>
              <w:spacing w:after="0"/>
              <w:rPr>
                <w:sz w:val="20"/>
                <w:szCs w:val="20"/>
                <w:color w:val="auto"/>
              </w:rPr>
            </w:pPr>
          </w:p>
        </w:tc>
        <w:tc>
          <w:tcPr>
            <w:tcW w:w="6460" w:type="dxa"/>
            <w:vAlign w:val="bottom"/>
            <w:gridSpan w:val="2"/>
            <w:shd w:val="clear" w:color="auto" w:fill="CCEEFF"/>
          </w:tcPr>
          <w:p>
            <w:pPr>
              <w:spacing w:after="0" w:line="235" w:lineRule="exact"/>
              <w:rPr>
                <w:sz w:val="20"/>
                <w:szCs w:val="20"/>
                <w:color w:val="auto"/>
              </w:rPr>
            </w:pPr>
            <w:r>
              <w:rPr>
                <w:rFonts w:ascii="Arial" w:cs="Arial" w:eastAsia="Arial" w:hAnsi="Arial"/>
                <w:sz w:val="16"/>
                <w:szCs w:val="16"/>
                <w:color w:val="auto"/>
              </w:rPr>
              <w:t>The Vanguard Group, Inc.</w:t>
            </w:r>
            <w:r>
              <w:rPr>
                <w:rFonts w:ascii="Arial" w:cs="Arial" w:eastAsia="Arial" w:hAnsi="Arial"/>
                <w:sz w:val="26"/>
                <w:szCs w:val="26"/>
                <w:color w:val="auto"/>
                <w:vertAlign w:val="superscript"/>
              </w:rPr>
              <w:t>(4)</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5,554,655</w:t>
            </w:r>
          </w:p>
        </w:tc>
        <w:tc>
          <w:tcPr>
            <w:tcW w:w="1000" w:type="dxa"/>
            <w:vAlign w:val="bottom"/>
            <w:gridSpan w:val="2"/>
            <w:shd w:val="clear" w:color="auto" w:fill="CCEEFF"/>
          </w:tcPr>
          <w:p>
            <w:pPr>
              <w:jc w:val="right"/>
              <w:ind w:right="198"/>
              <w:spacing w:after="0"/>
              <w:rPr>
                <w:sz w:val="20"/>
                <w:szCs w:val="20"/>
                <w:color w:val="auto"/>
              </w:rPr>
            </w:pPr>
            <w:r>
              <w:rPr>
                <w:rFonts w:ascii="Arial" w:cs="Arial" w:eastAsia="Arial" w:hAnsi="Arial"/>
                <w:sz w:val="16"/>
                <w:szCs w:val="16"/>
                <w:color w:val="auto"/>
              </w:rPr>
              <w:t>8.2%</w:t>
            </w:r>
          </w:p>
        </w:tc>
      </w:tr>
      <w:tr>
        <w:trPr>
          <w:trHeight w:val="234"/>
        </w:trPr>
        <w:tc>
          <w:tcPr>
            <w:tcW w:w="20" w:type="dxa"/>
            <w:vAlign w:val="bottom"/>
          </w:tcPr>
          <w:p>
            <w:pPr>
              <w:spacing w:after="0"/>
              <w:rPr>
                <w:sz w:val="20"/>
                <w:szCs w:val="20"/>
                <w:color w:val="auto"/>
              </w:rPr>
            </w:pPr>
          </w:p>
        </w:tc>
        <w:tc>
          <w:tcPr>
            <w:tcW w:w="6460" w:type="dxa"/>
            <w:vAlign w:val="bottom"/>
            <w:gridSpan w:val="2"/>
          </w:tcPr>
          <w:p>
            <w:pPr>
              <w:spacing w:after="0" w:line="235" w:lineRule="exact"/>
              <w:rPr>
                <w:sz w:val="20"/>
                <w:szCs w:val="20"/>
                <w:color w:val="auto"/>
              </w:rPr>
            </w:pPr>
            <w:r>
              <w:rPr>
                <w:rFonts w:ascii="Arial" w:cs="Arial" w:eastAsia="Arial" w:hAnsi="Arial"/>
                <w:sz w:val="16"/>
                <w:szCs w:val="16"/>
                <w:color w:val="auto"/>
              </w:rPr>
              <w:t>FMR, LLC</w:t>
            </w:r>
            <w:r>
              <w:rPr>
                <w:rFonts w:ascii="Arial" w:cs="Arial" w:eastAsia="Arial" w:hAnsi="Arial"/>
                <w:sz w:val="26"/>
                <w:szCs w:val="26"/>
                <w:color w:val="auto"/>
                <w:vertAlign w:val="superscript"/>
              </w:rPr>
              <w:t>(5)</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3,969,199</w:t>
            </w:r>
          </w:p>
        </w:tc>
        <w:tc>
          <w:tcPr>
            <w:tcW w:w="1000" w:type="dxa"/>
            <w:vAlign w:val="bottom"/>
            <w:gridSpan w:val="2"/>
          </w:tcPr>
          <w:p>
            <w:pPr>
              <w:jc w:val="right"/>
              <w:ind w:right="198"/>
              <w:spacing w:after="0"/>
              <w:rPr>
                <w:sz w:val="20"/>
                <w:szCs w:val="20"/>
                <w:color w:val="auto"/>
              </w:rPr>
            </w:pPr>
            <w:r>
              <w:rPr>
                <w:rFonts w:ascii="Arial" w:cs="Arial" w:eastAsia="Arial" w:hAnsi="Arial"/>
                <w:sz w:val="16"/>
                <w:szCs w:val="16"/>
                <w:color w:val="auto"/>
              </w:rPr>
              <w:t>5.9%</w:t>
            </w:r>
          </w:p>
        </w:tc>
      </w:tr>
      <w:tr>
        <w:trPr>
          <w:trHeight w:val="234"/>
        </w:trPr>
        <w:tc>
          <w:tcPr>
            <w:tcW w:w="20" w:type="dxa"/>
            <w:vAlign w:val="bottom"/>
          </w:tcPr>
          <w:p>
            <w:pPr>
              <w:spacing w:after="0"/>
              <w:rPr>
                <w:sz w:val="20"/>
                <w:szCs w:val="20"/>
                <w:color w:val="auto"/>
              </w:rPr>
            </w:pPr>
          </w:p>
        </w:tc>
        <w:tc>
          <w:tcPr>
            <w:tcW w:w="6460" w:type="dxa"/>
            <w:vAlign w:val="bottom"/>
            <w:gridSpan w:val="2"/>
            <w:shd w:val="clear" w:color="auto" w:fill="CCEEFF"/>
          </w:tcPr>
          <w:p>
            <w:pPr>
              <w:spacing w:after="0" w:line="235" w:lineRule="exact"/>
              <w:rPr>
                <w:sz w:val="20"/>
                <w:szCs w:val="20"/>
                <w:color w:val="auto"/>
              </w:rPr>
            </w:pPr>
            <w:r>
              <w:rPr>
                <w:rFonts w:ascii="Arial" w:cs="Arial" w:eastAsia="Arial" w:hAnsi="Arial"/>
                <w:sz w:val="16"/>
                <w:szCs w:val="16"/>
                <w:color w:val="auto"/>
              </w:rPr>
              <w:t>Dimensional Fund Advisors LP</w:t>
            </w:r>
            <w:r>
              <w:rPr>
                <w:rFonts w:ascii="Arial" w:cs="Arial" w:eastAsia="Arial" w:hAnsi="Arial"/>
                <w:sz w:val="26"/>
                <w:szCs w:val="26"/>
                <w:color w:val="auto"/>
                <w:vertAlign w:val="superscript"/>
              </w:rPr>
              <w:t>(6)</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3,618,224</w:t>
            </w:r>
          </w:p>
        </w:tc>
        <w:tc>
          <w:tcPr>
            <w:tcW w:w="1000" w:type="dxa"/>
            <w:vAlign w:val="bottom"/>
            <w:gridSpan w:val="2"/>
            <w:shd w:val="clear" w:color="auto" w:fill="CCEEFF"/>
          </w:tcPr>
          <w:p>
            <w:pPr>
              <w:jc w:val="right"/>
              <w:ind w:right="198"/>
              <w:spacing w:after="0"/>
              <w:rPr>
                <w:sz w:val="20"/>
                <w:szCs w:val="20"/>
                <w:color w:val="auto"/>
              </w:rPr>
            </w:pPr>
            <w:r>
              <w:rPr>
                <w:rFonts w:ascii="Arial" w:cs="Arial" w:eastAsia="Arial" w:hAnsi="Arial"/>
                <w:sz w:val="16"/>
                <w:szCs w:val="16"/>
                <w:color w:val="auto"/>
              </w:rPr>
              <w:t>5.3%</w:t>
            </w:r>
          </w:p>
        </w:tc>
      </w:tr>
      <w:tr>
        <w:trPr>
          <w:trHeight w:val="197"/>
        </w:trPr>
        <w:tc>
          <w:tcPr>
            <w:tcW w:w="20" w:type="dxa"/>
            <w:vAlign w:val="bottom"/>
          </w:tcPr>
          <w:p>
            <w:pPr>
              <w:spacing w:after="0"/>
              <w:rPr>
                <w:sz w:val="17"/>
                <w:szCs w:val="17"/>
                <w:color w:val="auto"/>
              </w:rPr>
            </w:pPr>
          </w:p>
        </w:tc>
        <w:tc>
          <w:tcPr>
            <w:tcW w:w="6460" w:type="dxa"/>
            <w:vAlign w:val="bottom"/>
            <w:gridSpan w:val="2"/>
          </w:tcPr>
          <w:p>
            <w:pPr>
              <w:spacing w:after="0"/>
              <w:rPr>
                <w:sz w:val="20"/>
                <w:szCs w:val="20"/>
                <w:color w:val="auto"/>
              </w:rPr>
            </w:pPr>
            <w:r>
              <w:rPr>
                <w:rFonts w:ascii="Arial" w:cs="Arial" w:eastAsia="Arial" w:hAnsi="Arial"/>
                <w:sz w:val="16"/>
                <w:szCs w:val="16"/>
                <w:b w:val="1"/>
                <w:bCs w:val="1"/>
                <w:color w:val="auto"/>
              </w:rPr>
              <w:t>Named executive officers and directors:</w:t>
            </w:r>
          </w:p>
        </w:tc>
        <w:tc>
          <w:tcPr>
            <w:tcW w:w="1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6460" w:type="dxa"/>
            <w:vAlign w:val="bottom"/>
            <w:gridSpan w:val="2"/>
            <w:shd w:val="clear" w:color="auto" w:fill="CCEEFF"/>
          </w:tcPr>
          <w:p>
            <w:pPr>
              <w:spacing w:after="0" w:line="235" w:lineRule="exact"/>
              <w:rPr>
                <w:sz w:val="20"/>
                <w:szCs w:val="20"/>
                <w:color w:val="auto"/>
              </w:rPr>
            </w:pPr>
            <w:r>
              <w:rPr>
                <w:rFonts w:ascii="Arial" w:cs="Arial" w:eastAsia="Arial" w:hAnsi="Arial"/>
                <w:sz w:val="16"/>
                <w:szCs w:val="16"/>
                <w:color w:val="auto"/>
              </w:rPr>
              <w:t>Michael J. Kasbar</w:t>
            </w:r>
            <w:r>
              <w:rPr>
                <w:rFonts w:ascii="Arial" w:cs="Arial" w:eastAsia="Arial" w:hAnsi="Arial"/>
                <w:sz w:val="26"/>
                <w:szCs w:val="26"/>
                <w:color w:val="auto"/>
                <w:vertAlign w:val="superscript"/>
              </w:rPr>
              <w:t>(7)</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790,146</w:t>
            </w:r>
          </w:p>
        </w:tc>
        <w:tc>
          <w:tcPr>
            <w:tcW w:w="1000" w:type="dxa"/>
            <w:vAlign w:val="bottom"/>
            <w:gridSpan w:val="2"/>
            <w:shd w:val="clear" w:color="auto" w:fill="CCEEFF"/>
          </w:tcPr>
          <w:p>
            <w:pPr>
              <w:jc w:val="right"/>
              <w:ind w:right="198"/>
              <w:spacing w:after="0"/>
              <w:rPr>
                <w:sz w:val="20"/>
                <w:szCs w:val="20"/>
                <w:color w:val="auto"/>
              </w:rPr>
            </w:pPr>
            <w:r>
              <w:rPr>
                <w:rFonts w:ascii="Arial" w:cs="Arial" w:eastAsia="Arial" w:hAnsi="Arial"/>
                <w:sz w:val="16"/>
                <w:szCs w:val="16"/>
                <w:color w:val="auto"/>
              </w:rPr>
              <w:t>1.2%</w:t>
            </w:r>
          </w:p>
        </w:tc>
      </w:tr>
      <w:tr>
        <w:trPr>
          <w:trHeight w:val="234"/>
        </w:trPr>
        <w:tc>
          <w:tcPr>
            <w:tcW w:w="20" w:type="dxa"/>
            <w:vAlign w:val="bottom"/>
          </w:tcPr>
          <w:p>
            <w:pPr>
              <w:spacing w:after="0"/>
              <w:rPr>
                <w:sz w:val="20"/>
                <w:szCs w:val="20"/>
                <w:color w:val="auto"/>
              </w:rPr>
            </w:pPr>
          </w:p>
        </w:tc>
        <w:tc>
          <w:tcPr>
            <w:tcW w:w="6460" w:type="dxa"/>
            <w:vAlign w:val="bottom"/>
            <w:gridSpan w:val="2"/>
          </w:tcPr>
          <w:p>
            <w:pPr>
              <w:spacing w:after="0" w:line="235" w:lineRule="exact"/>
              <w:rPr>
                <w:sz w:val="20"/>
                <w:szCs w:val="20"/>
                <w:color w:val="auto"/>
              </w:rPr>
            </w:pPr>
            <w:r>
              <w:rPr>
                <w:rFonts w:ascii="Arial" w:cs="Arial" w:eastAsia="Arial" w:hAnsi="Arial"/>
                <w:sz w:val="16"/>
                <w:szCs w:val="16"/>
                <w:color w:val="auto"/>
              </w:rPr>
              <w:t>Ira M. Birns</w:t>
            </w:r>
            <w:r>
              <w:rPr>
                <w:rFonts w:ascii="Arial" w:cs="Arial" w:eastAsia="Arial" w:hAnsi="Arial"/>
                <w:sz w:val="26"/>
                <w:szCs w:val="26"/>
                <w:color w:val="auto"/>
                <w:vertAlign w:val="superscript"/>
              </w:rPr>
              <w:t>(8)</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105,503</w:t>
            </w:r>
          </w:p>
        </w:tc>
        <w:tc>
          <w:tcPr>
            <w:tcW w:w="1000" w:type="dxa"/>
            <w:vAlign w:val="bottom"/>
            <w:gridSpan w:val="2"/>
          </w:tcPr>
          <w:p>
            <w:pPr>
              <w:jc w:val="right"/>
              <w:ind w:right="318"/>
              <w:spacing w:after="0"/>
              <w:rPr>
                <w:sz w:val="20"/>
                <w:szCs w:val="20"/>
                <w:color w:val="auto"/>
              </w:rPr>
            </w:pPr>
            <w:r>
              <w:rPr>
                <w:rFonts w:ascii="Arial" w:cs="Arial" w:eastAsia="Arial" w:hAnsi="Arial"/>
                <w:sz w:val="16"/>
                <w:szCs w:val="16"/>
                <w:color w:val="auto"/>
              </w:rPr>
              <w:t>*</w:t>
            </w:r>
          </w:p>
        </w:tc>
      </w:tr>
      <w:tr>
        <w:trPr>
          <w:trHeight w:val="234"/>
        </w:trPr>
        <w:tc>
          <w:tcPr>
            <w:tcW w:w="20" w:type="dxa"/>
            <w:vAlign w:val="bottom"/>
          </w:tcPr>
          <w:p>
            <w:pPr>
              <w:spacing w:after="0"/>
              <w:rPr>
                <w:sz w:val="20"/>
                <w:szCs w:val="20"/>
                <w:color w:val="auto"/>
              </w:rPr>
            </w:pPr>
          </w:p>
        </w:tc>
        <w:tc>
          <w:tcPr>
            <w:tcW w:w="6460" w:type="dxa"/>
            <w:vAlign w:val="bottom"/>
            <w:gridSpan w:val="2"/>
            <w:shd w:val="clear" w:color="auto" w:fill="CCEEFF"/>
          </w:tcPr>
          <w:p>
            <w:pPr>
              <w:spacing w:after="0" w:line="235" w:lineRule="exact"/>
              <w:rPr>
                <w:sz w:val="20"/>
                <w:szCs w:val="20"/>
                <w:color w:val="auto"/>
              </w:rPr>
            </w:pPr>
            <w:r>
              <w:rPr>
                <w:rFonts w:ascii="Arial" w:cs="Arial" w:eastAsia="Arial" w:hAnsi="Arial"/>
                <w:sz w:val="16"/>
                <w:szCs w:val="16"/>
                <w:color w:val="auto"/>
              </w:rPr>
              <w:t>Michael J. Crosby</w:t>
            </w:r>
            <w:r>
              <w:rPr>
                <w:rFonts w:ascii="Arial" w:cs="Arial" w:eastAsia="Arial" w:hAnsi="Arial"/>
                <w:sz w:val="26"/>
                <w:szCs w:val="26"/>
                <w:color w:val="auto"/>
                <w:vertAlign w:val="superscript"/>
              </w:rPr>
              <w:t>(9)</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9,988</w:t>
            </w:r>
          </w:p>
        </w:tc>
        <w:tc>
          <w:tcPr>
            <w:tcW w:w="1000" w:type="dxa"/>
            <w:vAlign w:val="bottom"/>
            <w:gridSpan w:val="2"/>
            <w:shd w:val="clear" w:color="auto" w:fill="CCEEFF"/>
          </w:tcPr>
          <w:p>
            <w:pPr>
              <w:jc w:val="right"/>
              <w:ind w:right="318"/>
              <w:spacing w:after="0"/>
              <w:rPr>
                <w:sz w:val="20"/>
                <w:szCs w:val="20"/>
                <w:color w:val="auto"/>
              </w:rPr>
            </w:pPr>
            <w:r>
              <w:rPr>
                <w:rFonts w:ascii="Arial" w:cs="Arial" w:eastAsia="Arial" w:hAnsi="Arial"/>
                <w:sz w:val="16"/>
                <w:szCs w:val="16"/>
                <w:color w:val="auto"/>
              </w:rPr>
              <w:t>*</w:t>
            </w:r>
          </w:p>
        </w:tc>
      </w:tr>
      <w:tr>
        <w:trPr>
          <w:trHeight w:val="234"/>
        </w:trPr>
        <w:tc>
          <w:tcPr>
            <w:tcW w:w="20" w:type="dxa"/>
            <w:vAlign w:val="bottom"/>
          </w:tcPr>
          <w:p>
            <w:pPr>
              <w:spacing w:after="0"/>
              <w:rPr>
                <w:sz w:val="20"/>
                <w:szCs w:val="20"/>
                <w:color w:val="auto"/>
              </w:rPr>
            </w:pPr>
          </w:p>
        </w:tc>
        <w:tc>
          <w:tcPr>
            <w:tcW w:w="6460" w:type="dxa"/>
            <w:vAlign w:val="bottom"/>
            <w:gridSpan w:val="2"/>
          </w:tcPr>
          <w:p>
            <w:pPr>
              <w:spacing w:after="0" w:line="235" w:lineRule="exact"/>
              <w:rPr>
                <w:sz w:val="20"/>
                <w:szCs w:val="20"/>
                <w:color w:val="auto"/>
              </w:rPr>
            </w:pPr>
            <w:r>
              <w:rPr>
                <w:rFonts w:ascii="Arial" w:cs="Arial" w:eastAsia="Arial" w:hAnsi="Arial"/>
                <w:sz w:val="16"/>
                <w:szCs w:val="16"/>
                <w:color w:val="auto"/>
              </w:rPr>
              <w:t>John P. Rau</w:t>
            </w:r>
            <w:r>
              <w:rPr>
                <w:rFonts w:ascii="Arial" w:cs="Arial" w:eastAsia="Arial" w:hAnsi="Arial"/>
                <w:sz w:val="26"/>
                <w:szCs w:val="26"/>
                <w:color w:val="auto"/>
                <w:vertAlign w:val="superscript"/>
              </w:rPr>
              <w:t>(10)</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31,765</w:t>
            </w:r>
          </w:p>
        </w:tc>
        <w:tc>
          <w:tcPr>
            <w:tcW w:w="1000" w:type="dxa"/>
            <w:vAlign w:val="bottom"/>
            <w:gridSpan w:val="2"/>
          </w:tcPr>
          <w:p>
            <w:pPr>
              <w:jc w:val="right"/>
              <w:ind w:right="318"/>
              <w:spacing w:after="0"/>
              <w:rPr>
                <w:sz w:val="20"/>
                <w:szCs w:val="20"/>
                <w:color w:val="auto"/>
              </w:rPr>
            </w:pPr>
            <w:r>
              <w:rPr>
                <w:rFonts w:ascii="Arial" w:cs="Arial" w:eastAsia="Arial" w:hAnsi="Arial"/>
                <w:sz w:val="16"/>
                <w:szCs w:val="16"/>
                <w:color w:val="auto"/>
              </w:rPr>
              <w:t>*</w:t>
            </w:r>
          </w:p>
        </w:tc>
      </w:tr>
      <w:tr>
        <w:trPr>
          <w:trHeight w:val="234"/>
        </w:trPr>
        <w:tc>
          <w:tcPr>
            <w:tcW w:w="20" w:type="dxa"/>
            <w:vAlign w:val="bottom"/>
          </w:tcPr>
          <w:p>
            <w:pPr>
              <w:spacing w:after="0"/>
              <w:rPr>
                <w:sz w:val="20"/>
                <w:szCs w:val="20"/>
                <w:color w:val="auto"/>
              </w:rPr>
            </w:pPr>
          </w:p>
        </w:tc>
        <w:tc>
          <w:tcPr>
            <w:tcW w:w="6460" w:type="dxa"/>
            <w:vAlign w:val="bottom"/>
            <w:gridSpan w:val="2"/>
            <w:shd w:val="clear" w:color="auto" w:fill="CCEEFF"/>
          </w:tcPr>
          <w:p>
            <w:pPr>
              <w:spacing w:after="0" w:line="235" w:lineRule="exact"/>
              <w:rPr>
                <w:sz w:val="20"/>
                <w:szCs w:val="20"/>
                <w:color w:val="auto"/>
              </w:rPr>
            </w:pPr>
            <w:r>
              <w:rPr>
                <w:rFonts w:ascii="Arial" w:cs="Arial" w:eastAsia="Arial" w:hAnsi="Arial"/>
                <w:sz w:val="16"/>
                <w:szCs w:val="16"/>
                <w:color w:val="auto"/>
              </w:rPr>
              <w:t>Jeffrey P. Smith</w:t>
            </w:r>
            <w:r>
              <w:rPr>
                <w:rFonts w:ascii="Arial" w:cs="Arial" w:eastAsia="Arial" w:hAnsi="Arial"/>
                <w:sz w:val="26"/>
                <w:szCs w:val="26"/>
                <w:color w:val="auto"/>
                <w:vertAlign w:val="superscript"/>
              </w:rPr>
              <w:t>(11)</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318"/>
              <w:spacing w:after="0"/>
              <w:rPr>
                <w:sz w:val="20"/>
                <w:szCs w:val="20"/>
                <w:color w:val="auto"/>
              </w:rPr>
            </w:pPr>
            <w:r>
              <w:rPr>
                <w:rFonts w:ascii="Arial" w:cs="Arial" w:eastAsia="Arial" w:hAnsi="Arial"/>
                <w:sz w:val="16"/>
                <w:szCs w:val="16"/>
                <w:color w:val="auto"/>
              </w:rPr>
              <w:t>*</w:t>
            </w:r>
          </w:p>
        </w:tc>
      </w:tr>
      <w:tr>
        <w:trPr>
          <w:trHeight w:val="234"/>
        </w:trPr>
        <w:tc>
          <w:tcPr>
            <w:tcW w:w="20" w:type="dxa"/>
            <w:vAlign w:val="bottom"/>
          </w:tcPr>
          <w:p>
            <w:pPr>
              <w:spacing w:after="0"/>
              <w:rPr>
                <w:sz w:val="20"/>
                <w:szCs w:val="20"/>
                <w:color w:val="auto"/>
              </w:rPr>
            </w:pPr>
          </w:p>
        </w:tc>
        <w:tc>
          <w:tcPr>
            <w:tcW w:w="6460" w:type="dxa"/>
            <w:vAlign w:val="bottom"/>
            <w:gridSpan w:val="2"/>
          </w:tcPr>
          <w:p>
            <w:pPr>
              <w:spacing w:after="0" w:line="235" w:lineRule="exact"/>
              <w:rPr>
                <w:sz w:val="20"/>
                <w:szCs w:val="20"/>
                <w:color w:val="auto"/>
              </w:rPr>
            </w:pPr>
            <w:r>
              <w:rPr>
                <w:rFonts w:ascii="Arial" w:cs="Arial" w:eastAsia="Arial" w:hAnsi="Arial"/>
                <w:sz w:val="16"/>
                <w:szCs w:val="16"/>
                <w:color w:val="auto"/>
              </w:rPr>
              <w:t>Ken Bakshi</w:t>
            </w:r>
            <w:r>
              <w:rPr>
                <w:rFonts w:ascii="Arial" w:cs="Arial" w:eastAsia="Arial" w:hAnsi="Arial"/>
                <w:sz w:val="26"/>
                <w:szCs w:val="26"/>
                <w:color w:val="auto"/>
                <w:vertAlign w:val="superscript"/>
              </w:rPr>
              <w:t>(12)</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40,101</w:t>
            </w:r>
          </w:p>
        </w:tc>
        <w:tc>
          <w:tcPr>
            <w:tcW w:w="1000" w:type="dxa"/>
            <w:vAlign w:val="bottom"/>
            <w:gridSpan w:val="2"/>
          </w:tcPr>
          <w:p>
            <w:pPr>
              <w:jc w:val="right"/>
              <w:ind w:right="318"/>
              <w:spacing w:after="0"/>
              <w:rPr>
                <w:sz w:val="20"/>
                <w:szCs w:val="20"/>
                <w:color w:val="auto"/>
              </w:rPr>
            </w:pPr>
            <w:r>
              <w:rPr>
                <w:rFonts w:ascii="Arial" w:cs="Arial" w:eastAsia="Arial" w:hAnsi="Arial"/>
                <w:sz w:val="16"/>
                <w:szCs w:val="16"/>
                <w:color w:val="auto"/>
              </w:rPr>
              <w:t>*</w:t>
            </w:r>
          </w:p>
        </w:tc>
      </w:tr>
      <w:tr>
        <w:trPr>
          <w:trHeight w:val="234"/>
        </w:trPr>
        <w:tc>
          <w:tcPr>
            <w:tcW w:w="20" w:type="dxa"/>
            <w:vAlign w:val="bottom"/>
          </w:tcPr>
          <w:p>
            <w:pPr>
              <w:spacing w:after="0"/>
              <w:rPr>
                <w:sz w:val="20"/>
                <w:szCs w:val="20"/>
                <w:color w:val="auto"/>
              </w:rPr>
            </w:pPr>
          </w:p>
        </w:tc>
        <w:tc>
          <w:tcPr>
            <w:tcW w:w="6460" w:type="dxa"/>
            <w:vAlign w:val="bottom"/>
            <w:gridSpan w:val="2"/>
            <w:shd w:val="clear" w:color="auto" w:fill="CCEEFF"/>
          </w:tcPr>
          <w:p>
            <w:pPr>
              <w:spacing w:after="0" w:line="235" w:lineRule="exact"/>
              <w:rPr>
                <w:sz w:val="20"/>
                <w:szCs w:val="20"/>
                <w:color w:val="auto"/>
              </w:rPr>
            </w:pPr>
            <w:r>
              <w:rPr>
                <w:rFonts w:ascii="Arial" w:cs="Arial" w:eastAsia="Arial" w:hAnsi="Arial"/>
                <w:sz w:val="16"/>
                <w:szCs w:val="16"/>
                <w:color w:val="auto"/>
              </w:rPr>
              <w:t>Jorge L. Benitez</w:t>
            </w:r>
            <w:r>
              <w:rPr>
                <w:rFonts w:ascii="Arial" w:cs="Arial" w:eastAsia="Arial" w:hAnsi="Arial"/>
                <w:sz w:val="26"/>
                <w:szCs w:val="26"/>
                <w:color w:val="auto"/>
                <w:vertAlign w:val="superscript"/>
              </w:rPr>
              <w:t>(13)</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11,667</w:t>
            </w:r>
          </w:p>
        </w:tc>
        <w:tc>
          <w:tcPr>
            <w:tcW w:w="1000" w:type="dxa"/>
            <w:vAlign w:val="bottom"/>
            <w:gridSpan w:val="2"/>
            <w:shd w:val="clear" w:color="auto" w:fill="CCEEFF"/>
          </w:tcPr>
          <w:p>
            <w:pPr>
              <w:jc w:val="right"/>
              <w:ind w:right="318"/>
              <w:spacing w:after="0"/>
              <w:rPr>
                <w:sz w:val="20"/>
                <w:szCs w:val="20"/>
                <w:color w:val="auto"/>
              </w:rPr>
            </w:pPr>
            <w:r>
              <w:rPr>
                <w:rFonts w:ascii="Arial" w:cs="Arial" w:eastAsia="Arial" w:hAnsi="Arial"/>
                <w:sz w:val="16"/>
                <w:szCs w:val="16"/>
                <w:color w:val="auto"/>
              </w:rPr>
              <w:t>*</w:t>
            </w:r>
          </w:p>
        </w:tc>
      </w:tr>
      <w:tr>
        <w:trPr>
          <w:trHeight w:val="234"/>
        </w:trPr>
        <w:tc>
          <w:tcPr>
            <w:tcW w:w="20" w:type="dxa"/>
            <w:vAlign w:val="bottom"/>
          </w:tcPr>
          <w:p>
            <w:pPr>
              <w:spacing w:after="0"/>
              <w:rPr>
                <w:sz w:val="20"/>
                <w:szCs w:val="20"/>
                <w:color w:val="auto"/>
              </w:rPr>
            </w:pPr>
          </w:p>
        </w:tc>
        <w:tc>
          <w:tcPr>
            <w:tcW w:w="6460" w:type="dxa"/>
            <w:vAlign w:val="bottom"/>
            <w:gridSpan w:val="2"/>
          </w:tcPr>
          <w:p>
            <w:pPr>
              <w:spacing w:after="0" w:line="235" w:lineRule="exact"/>
              <w:rPr>
                <w:sz w:val="20"/>
                <w:szCs w:val="20"/>
                <w:color w:val="auto"/>
              </w:rPr>
            </w:pPr>
            <w:r>
              <w:rPr>
                <w:rFonts w:ascii="Arial" w:cs="Arial" w:eastAsia="Arial" w:hAnsi="Arial"/>
                <w:sz w:val="16"/>
                <w:szCs w:val="16"/>
                <w:color w:val="auto"/>
              </w:rPr>
              <w:t>Stephen J. Gold</w:t>
            </w:r>
            <w:r>
              <w:rPr>
                <w:rFonts w:ascii="Arial" w:cs="Arial" w:eastAsia="Arial" w:hAnsi="Arial"/>
                <w:sz w:val="26"/>
                <w:szCs w:val="26"/>
                <w:color w:val="auto"/>
                <w:vertAlign w:val="superscript"/>
              </w:rPr>
              <w:t>(14)</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2,732</w:t>
            </w:r>
          </w:p>
        </w:tc>
        <w:tc>
          <w:tcPr>
            <w:tcW w:w="1000" w:type="dxa"/>
            <w:vAlign w:val="bottom"/>
            <w:gridSpan w:val="2"/>
          </w:tcPr>
          <w:p>
            <w:pPr>
              <w:jc w:val="right"/>
              <w:ind w:right="318"/>
              <w:spacing w:after="0"/>
              <w:rPr>
                <w:sz w:val="20"/>
                <w:szCs w:val="20"/>
                <w:color w:val="auto"/>
              </w:rPr>
            </w:pPr>
            <w:r>
              <w:rPr>
                <w:rFonts w:ascii="Arial" w:cs="Arial" w:eastAsia="Arial" w:hAnsi="Arial"/>
                <w:sz w:val="16"/>
                <w:szCs w:val="16"/>
                <w:color w:val="auto"/>
              </w:rPr>
              <w:t>*</w:t>
            </w:r>
          </w:p>
        </w:tc>
      </w:tr>
      <w:tr>
        <w:trPr>
          <w:trHeight w:val="234"/>
        </w:trPr>
        <w:tc>
          <w:tcPr>
            <w:tcW w:w="20" w:type="dxa"/>
            <w:vAlign w:val="bottom"/>
          </w:tcPr>
          <w:p>
            <w:pPr>
              <w:spacing w:after="0"/>
              <w:rPr>
                <w:sz w:val="20"/>
                <w:szCs w:val="20"/>
                <w:color w:val="auto"/>
              </w:rPr>
            </w:pPr>
          </w:p>
        </w:tc>
        <w:tc>
          <w:tcPr>
            <w:tcW w:w="6460" w:type="dxa"/>
            <w:vAlign w:val="bottom"/>
            <w:gridSpan w:val="2"/>
            <w:shd w:val="clear" w:color="auto" w:fill="CCEEFF"/>
          </w:tcPr>
          <w:p>
            <w:pPr>
              <w:spacing w:after="0" w:line="235" w:lineRule="exact"/>
              <w:rPr>
                <w:sz w:val="20"/>
                <w:szCs w:val="20"/>
                <w:color w:val="auto"/>
              </w:rPr>
            </w:pPr>
            <w:r>
              <w:rPr>
                <w:rFonts w:ascii="Arial" w:cs="Arial" w:eastAsia="Arial" w:hAnsi="Arial"/>
                <w:sz w:val="16"/>
                <w:szCs w:val="16"/>
                <w:color w:val="auto"/>
              </w:rPr>
              <w:t>Richard A. Kassar</w:t>
            </w:r>
            <w:r>
              <w:rPr>
                <w:rFonts w:ascii="Arial" w:cs="Arial" w:eastAsia="Arial" w:hAnsi="Arial"/>
                <w:sz w:val="26"/>
                <w:szCs w:val="26"/>
                <w:color w:val="auto"/>
                <w:vertAlign w:val="superscript"/>
              </w:rPr>
              <w:t>(15)</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40,942</w:t>
            </w:r>
          </w:p>
        </w:tc>
        <w:tc>
          <w:tcPr>
            <w:tcW w:w="1000" w:type="dxa"/>
            <w:vAlign w:val="bottom"/>
            <w:gridSpan w:val="2"/>
            <w:shd w:val="clear" w:color="auto" w:fill="CCEEFF"/>
          </w:tcPr>
          <w:p>
            <w:pPr>
              <w:jc w:val="right"/>
              <w:ind w:right="318"/>
              <w:spacing w:after="0"/>
              <w:rPr>
                <w:sz w:val="20"/>
                <w:szCs w:val="20"/>
                <w:color w:val="auto"/>
              </w:rPr>
            </w:pPr>
            <w:r>
              <w:rPr>
                <w:rFonts w:ascii="Arial" w:cs="Arial" w:eastAsia="Arial" w:hAnsi="Arial"/>
                <w:sz w:val="16"/>
                <w:szCs w:val="16"/>
                <w:color w:val="auto"/>
              </w:rPr>
              <w:t>*</w:t>
            </w:r>
          </w:p>
        </w:tc>
      </w:tr>
      <w:tr>
        <w:trPr>
          <w:trHeight w:val="234"/>
        </w:trPr>
        <w:tc>
          <w:tcPr>
            <w:tcW w:w="20" w:type="dxa"/>
            <w:vAlign w:val="bottom"/>
          </w:tcPr>
          <w:p>
            <w:pPr>
              <w:spacing w:after="0"/>
              <w:rPr>
                <w:sz w:val="20"/>
                <w:szCs w:val="20"/>
                <w:color w:val="auto"/>
              </w:rPr>
            </w:pPr>
          </w:p>
        </w:tc>
        <w:tc>
          <w:tcPr>
            <w:tcW w:w="6460" w:type="dxa"/>
            <w:vAlign w:val="bottom"/>
            <w:gridSpan w:val="2"/>
          </w:tcPr>
          <w:p>
            <w:pPr>
              <w:spacing w:after="0" w:line="235" w:lineRule="exact"/>
              <w:rPr>
                <w:sz w:val="20"/>
                <w:szCs w:val="20"/>
                <w:color w:val="auto"/>
              </w:rPr>
            </w:pPr>
            <w:r>
              <w:rPr>
                <w:rFonts w:ascii="Arial" w:cs="Arial" w:eastAsia="Arial" w:hAnsi="Arial"/>
                <w:sz w:val="16"/>
                <w:szCs w:val="16"/>
                <w:color w:val="auto"/>
              </w:rPr>
              <w:t>John L. Manley</w:t>
            </w:r>
            <w:r>
              <w:rPr>
                <w:rFonts w:ascii="Arial" w:cs="Arial" w:eastAsia="Arial" w:hAnsi="Arial"/>
                <w:sz w:val="26"/>
                <w:szCs w:val="26"/>
                <w:color w:val="auto"/>
                <w:vertAlign w:val="superscript"/>
              </w:rPr>
              <w:t>(16)</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27,106</w:t>
            </w:r>
          </w:p>
        </w:tc>
        <w:tc>
          <w:tcPr>
            <w:tcW w:w="1000" w:type="dxa"/>
            <w:vAlign w:val="bottom"/>
            <w:gridSpan w:val="2"/>
          </w:tcPr>
          <w:p>
            <w:pPr>
              <w:jc w:val="right"/>
              <w:ind w:right="318"/>
              <w:spacing w:after="0"/>
              <w:rPr>
                <w:sz w:val="20"/>
                <w:szCs w:val="20"/>
                <w:color w:val="auto"/>
              </w:rPr>
            </w:pPr>
            <w:r>
              <w:rPr>
                <w:rFonts w:ascii="Arial" w:cs="Arial" w:eastAsia="Arial" w:hAnsi="Arial"/>
                <w:sz w:val="16"/>
                <w:szCs w:val="16"/>
                <w:color w:val="auto"/>
              </w:rPr>
              <w:t>*</w:t>
            </w:r>
          </w:p>
        </w:tc>
      </w:tr>
      <w:tr>
        <w:trPr>
          <w:trHeight w:val="234"/>
        </w:trPr>
        <w:tc>
          <w:tcPr>
            <w:tcW w:w="20" w:type="dxa"/>
            <w:vAlign w:val="bottom"/>
          </w:tcPr>
          <w:p>
            <w:pPr>
              <w:spacing w:after="0"/>
              <w:rPr>
                <w:sz w:val="20"/>
                <w:szCs w:val="20"/>
                <w:color w:val="auto"/>
              </w:rPr>
            </w:pPr>
          </w:p>
        </w:tc>
        <w:tc>
          <w:tcPr>
            <w:tcW w:w="6460" w:type="dxa"/>
            <w:vAlign w:val="bottom"/>
            <w:gridSpan w:val="2"/>
            <w:shd w:val="clear" w:color="auto" w:fill="CCEEFF"/>
          </w:tcPr>
          <w:p>
            <w:pPr>
              <w:spacing w:after="0" w:line="235" w:lineRule="exact"/>
              <w:rPr>
                <w:sz w:val="20"/>
                <w:szCs w:val="20"/>
                <w:color w:val="auto"/>
              </w:rPr>
            </w:pPr>
            <w:r>
              <w:rPr>
                <w:rFonts w:ascii="Arial" w:cs="Arial" w:eastAsia="Arial" w:hAnsi="Arial"/>
                <w:sz w:val="16"/>
                <w:szCs w:val="16"/>
                <w:color w:val="auto"/>
              </w:rPr>
              <w:t>J. Thomas Presby</w:t>
            </w:r>
            <w:r>
              <w:rPr>
                <w:rFonts w:ascii="Arial" w:cs="Arial" w:eastAsia="Arial" w:hAnsi="Arial"/>
                <w:sz w:val="26"/>
                <w:szCs w:val="26"/>
                <w:color w:val="auto"/>
                <w:vertAlign w:val="superscript"/>
              </w:rPr>
              <w:t>(17)</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37,831</w:t>
            </w:r>
          </w:p>
        </w:tc>
        <w:tc>
          <w:tcPr>
            <w:tcW w:w="1000" w:type="dxa"/>
            <w:vAlign w:val="bottom"/>
            <w:gridSpan w:val="2"/>
            <w:shd w:val="clear" w:color="auto" w:fill="CCEEFF"/>
          </w:tcPr>
          <w:p>
            <w:pPr>
              <w:jc w:val="right"/>
              <w:ind w:right="318"/>
              <w:spacing w:after="0"/>
              <w:rPr>
                <w:sz w:val="20"/>
                <w:szCs w:val="20"/>
                <w:color w:val="auto"/>
              </w:rPr>
            </w:pPr>
            <w:r>
              <w:rPr>
                <w:rFonts w:ascii="Arial" w:cs="Arial" w:eastAsia="Arial" w:hAnsi="Arial"/>
                <w:sz w:val="16"/>
                <w:szCs w:val="16"/>
                <w:color w:val="auto"/>
              </w:rPr>
              <w:t>*</w:t>
            </w:r>
          </w:p>
        </w:tc>
      </w:tr>
      <w:tr>
        <w:trPr>
          <w:trHeight w:val="234"/>
        </w:trPr>
        <w:tc>
          <w:tcPr>
            <w:tcW w:w="20" w:type="dxa"/>
            <w:vAlign w:val="bottom"/>
          </w:tcPr>
          <w:p>
            <w:pPr>
              <w:spacing w:after="0"/>
              <w:rPr>
                <w:sz w:val="20"/>
                <w:szCs w:val="20"/>
                <w:color w:val="auto"/>
              </w:rPr>
            </w:pPr>
          </w:p>
        </w:tc>
        <w:tc>
          <w:tcPr>
            <w:tcW w:w="6460" w:type="dxa"/>
            <w:vAlign w:val="bottom"/>
            <w:gridSpan w:val="2"/>
          </w:tcPr>
          <w:p>
            <w:pPr>
              <w:spacing w:after="0" w:line="235" w:lineRule="exact"/>
              <w:rPr>
                <w:sz w:val="20"/>
                <w:szCs w:val="20"/>
                <w:color w:val="auto"/>
              </w:rPr>
            </w:pPr>
            <w:r>
              <w:rPr>
                <w:rFonts w:ascii="Arial" w:cs="Arial" w:eastAsia="Arial" w:hAnsi="Arial"/>
                <w:sz w:val="16"/>
                <w:szCs w:val="16"/>
                <w:color w:val="auto"/>
              </w:rPr>
              <w:t>Stephen K. Roddenberry</w:t>
            </w:r>
            <w:r>
              <w:rPr>
                <w:rFonts w:ascii="Arial" w:cs="Arial" w:eastAsia="Arial" w:hAnsi="Arial"/>
                <w:sz w:val="26"/>
                <w:szCs w:val="26"/>
                <w:color w:val="auto"/>
                <w:vertAlign w:val="superscript"/>
              </w:rPr>
              <w:t>(18)</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73,657</w:t>
            </w:r>
          </w:p>
        </w:tc>
        <w:tc>
          <w:tcPr>
            <w:tcW w:w="1000" w:type="dxa"/>
            <w:vAlign w:val="bottom"/>
            <w:gridSpan w:val="2"/>
          </w:tcPr>
          <w:p>
            <w:pPr>
              <w:jc w:val="right"/>
              <w:ind w:right="318"/>
              <w:spacing w:after="0"/>
              <w:rPr>
                <w:sz w:val="20"/>
                <w:szCs w:val="20"/>
                <w:color w:val="auto"/>
              </w:rPr>
            </w:pPr>
            <w:r>
              <w:rPr>
                <w:rFonts w:ascii="Arial" w:cs="Arial" w:eastAsia="Arial" w:hAnsi="Arial"/>
                <w:sz w:val="16"/>
                <w:szCs w:val="16"/>
                <w:color w:val="auto"/>
              </w:rPr>
              <w:t>*</w:t>
            </w:r>
          </w:p>
        </w:tc>
      </w:tr>
      <w:tr>
        <w:trPr>
          <w:trHeight w:val="234"/>
        </w:trPr>
        <w:tc>
          <w:tcPr>
            <w:tcW w:w="20" w:type="dxa"/>
            <w:vAlign w:val="bottom"/>
          </w:tcPr>
          <w:p>
            <w:pPr>
              <w:spacing w:after="0"/>
              <w:rPr>
                <w:sz w:val="20"/>
                <w:szCs w:val="20"/>
                <w:color w:val="auto"/>
              </w:rPr>
            </w:pPr>
          </w:p>
        </w:tc>
        <w:tc>
          <w:tcPr>
            <w:tcW w:w="6460" w:type="dxa"/>
            <w:vAlign w:val="bottom"/>
            <w:gridSpan w:val="2"/>
            <w:shd w:val="clear" w:color="auto" w:fill="CCEEFF"/>
          </w:tcPr>
          <w:p>
            <w:pPr>
              <w:spacing w:after="0" w:line="235" w:lineRule="exact"/>
              <w:rPr>
                <w:sz w:val="20"/>
                <w:szCs w:val="20"/>
                <w:color w:val="auto"/>
              </w:rPr>
            </w:pPr>
            <w:r>
              <w:rPr>
                <w:rFonts w:ascii="Arial" w:cs="Arial" w:eastAsia="Arial" w:hAnsi="Arial"/>
                <w:sz w:val="16"/>
                <w:szCs w:val="16"/>
                <w:color w:val="auto"/>
              </w:rPr>
              <w:t>Paul H. Stebbins</w:t>
            </w:r>
            <w:r>
              <w:rPr>
                <w:rFonts w:ascii="Arial" w:cs="Arial" w:eastAsia="Arial" w:hAnsi="Arial"/>
                <w:sz w:val="26"/>
                <w:szCs w:val="26"/>
                <w:color w:val="auto"/>
                <w:vertAlign w:val="superscript"/>
              </w:rPr>
              <w:t>(19)</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245,413</w:t>
            </w:r>
          </w:p>
        </w:tc>
        <w:tc>
          <w:tcPr>
            <w:tcW w:w="1000" w:type="dxa"/>
            <w:vAlign w:val="bottom"/>
            <w:gridSpan w:val="2"/>
            <w:shd w:val="clear" w:color="auto" w:fill="CCEEFF"/>
          </w:tcPr>
          <w:p>
            <w:pPr>
              <w:jc w:val="right"/>
              <w:ind w:right="318"/>
              <w:spacing w:after="0"/>
              <w:rPr>
                <w:sz w:val="20"/>
                <w:szCs w:val="20"/>
                <w:color w:val="auto"/>
              </w:rPr>
            </w:pPr>
            <w:r>
              <w:rPr>
                <w:rFonts w:ascii="Arial" w:cs="Arial" w:eastAsia="Arial" w:hAnsi="Arial"/>
                <w:sz w:val="16"/>
                <w:szCs w:val="16"/>
                <w:color w:val="auto"/>
              </w:rPr>
              <w:t>*</w:t>
            </w:r>
          </w:p>
        </w:tc>
      </w:tr>
      <w:tr>
        <w:trPr>
          <w:trHeight w:val="333"/>
        </w:trPr>
        <w:tc>
          <w:tcPr>
            <w:tcW w:w="20" w:type="dxa"/>
            <w:vAlign w:val="bottom"/>
          </w:tcPr>
          <w:p>
            <w:pPr>
              <w:spacing w:after="0"/>
              <w:rPr>
                <w:sz w:val="24"/>
                <w:szCs w:val="24"/>
                <w:color w:val="auto"/>
              </w:rPr>
            </w:pPr>
          </w:p>
        </w:tc>
        <w:tc>
          <w:tcPr>
            <w:tcW w:w="6460" w:type="dxa"/>
            <w:vAlign w:val="bottom"/>
            <w:gridSpan w:val="2"/>
          </w:tcPr>
          <w:p>
            <w:pPr>
              <w:spacing w:after="0"/>
              <w:rPr>
                <w:sz w:val="20"/>
                <w:szCs w:val="20"/>
                <w:color w:val="auto"/>
              </w:rPr>
            </w:pPr>
            <w:r>
              <w:rPr>
                <w:rFonts w:ascii="Arial" w:cs="Arial" w:eastAsia="Arial" w:hAnsi="Arial"/>
                <w:sz w:val="16"/>
                <w:szCs w:val="16"/>
                <w:color w:val="auto"/>
              </w:rPr>
              <w:t>All executive officers and directors as a group (14 persons)</w:t>
            </w:r>
            <w:r>
              <w:rPr>
                <w:rFonts w:ascii="Arial" w:cs="Arial" w:eastAsia="Arial" w:hAnsi="Arial"/>
                <w:sz w:val="26"/>
                <w:szCs w:val="26"/>
                <w:color w:val="auto"/>
                <w:vertAlign w:val="superscript"/>
              </w:rPr>
              <w:t>(20)</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1,463,348</w:t>
            </w:r>
          </w:p>
        </w:tc>
        <w:tc>
          <w:tcPr>
            <w:tcW w:w="1000" w:type="dxa"/>
            <w:vAlign w:val="bottom"/>
            <w:gridSpan w:val="2"/>
          </w:tcPr>
          <w:p>
            <w:pPr>
              <w:jc w:val="right"/>
              <w:ind w:right="198"/>
              <w:spacing w:after="0"/>
              <w:rPr>
                <w:sz w:val="20"/>
                <w:szCs w:val="20"/>
                <w:color w:val="auto"/>
              </w:rPr>
            </w:pPr>
            <w:r>
              <w:rPr>
                <w:rFonts w:ascii="Arial" w:cs="Arial" w:eastAsia="Arial" w:hAnsi="Arial"/>
                <w:sz w:val="16"/>
                <w:szCs w:val="16"/>
                <w:color w:val="auto"/>
              </w:rPr>
              <w:t>2.2%</w:t>
            </w:r>
          </w:p>
        </w:tc>
      </w:tr>
      <w:tr>
        <w:trPr>
          <w:trHeight w:val="20"/>
        </w:trPr>
        <w:tc>
          <w:tcPr>
            <w:tcW w:w="20" w:type="dxa"/>
            <w:vAlign w:val="bottom"/>
            <w:shd w:val="clear" w:color="auto" w:fill="000000"/>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bl>
    <w:p>
      <w:pPr>
        <w:spacing w:after="0" w:line="201" w:lineRule="exact"/>
        <w:rPr>
          <w:sz w:val="20"/>
          <w:szCs w:val="20"/>
          <w:color w:val="auto"/>
        </w:rPr>
      </w:pPr>
    </w:p>
    <w:p>
      <w:pPr>
        <w:ind w:left="1640" w:hanging="498"/>
        <w:spacing w:after="0"/>
        <w:tabs>
          <w:tab w:leader="none" w:pos="1640" w:val="left"/>
        </w:tabs>
        <w:numPr>
          <w:ilvl w:val="0"/>
          <w:numId w:val="73"/>
        </w:numPr>
        <w:rPr>
          <w:rFonts w:ascii="Arial" w:cs="Arial" w:eastAsia="Arial" w:hAnsi="Arial"/>
          <w:sz w:val="16"/>
          <w:szCs w:val="16"/>
          <w:color w:val="auto"/>
        </w:rPr>
      </w:pPr>
      <w:r>
        <w:rPr>
          <w:rFonts w:ascii="Arial" w:cs="Arial" w:eastAsia="Arial" w:hAnsi="Arial"/>
          <w:sz w:val="16"/>
          <w:szCs w:val="16"/>
          <w:color w:val="auto"/>
        </w:rPr>
        <w:t>Less than one percent.</w:t>
      </w:r>
    </w:p>
    <w:p>
      <w:pPr>
        <w:spacing w:after="0" w:line="235" w:lineRule="exact"/>
        <w:rPr>
          <w:sz w:val="20"/>
          <w:szCs w:val="20"/>
          <w:color w:val="auto"/>
        </w:rPr>
      </w:pPr>
    </w:p>
    <w:p>
      <w:pPr>
        <w:ind w:left="1640" w:right="100" w:hanging="498"/>
        <w:spacing w:after="0" w:line="284" w:lineRule="auto"/>
        <w:tabs>
          <w:tab w:leader="none" w:pos="1640" w:val="left"/>
        </w:tabs>
        <w:numPr>
          <w:ilvl w:val="0"/>
          <w:numId w:val="74"/>
        </w:numPr>
        <w:rPr>
          <w:rFonts w:ascii="Arial" w:cs="Arial" w:eastAsia="Arial" w:hAnsi="Arial"/>
          <w:sz w:val="16"/>
          <w:szCs w:val="16"/>
          <w:color w:val="auto"/>
        </w:rPr>
      </w:pPr>
      <w:r>
        <w:rPr>
          <w:rFonts w:ascii="Arial" w:cs="Arial" w:eastAsia="Arial" w:hAnsi="Arial"/>
          <w:sz w:val="16"/>
          <w:szCs w:val="16"/>
          <w:color w:val="auto"/>
        </w:rPr>
        <w:t>Unless otherwise indicated, the address of each of the beneficial owners identified is c/o World Fuel Services Corporation, 9800 Northwest 41st Street, Miami, Florida 33178.</w:t>
      </w:r>
    </w:p>
    <w:p>
      <w:pPr>
        <w:spacing w:after="0" w:line="168" w:lineRule="exact"/>
        <w:rPr>
          <w:rFonts w:ascii="Arial" w:cs="Arial" w:eastAsia="Arial" w:hAnsi="Arial"/>
          <w:sz w:val="16"/>
          <w:szCs w:val="16"/>
          <w:color w:val="auto"/>
        </w:rPr>
      </w:pPr>
    </w:p>
    <w:p>
      <w:pPr>
        <w:ind w:left="1640" w:right="20" w:hanging="498"/>
        <w:spacing w:after="0" w:line="275" w:lineRule="auto"/>
        <w:tabs>
          <w:tab w:leader="none" w:pos="1640" w:val="left"/>
        </w:tabs>
        <w:numPr>
          <w:ilvl w:val="0"/>
          <w:numId w:val="74"/>
        </w:numPr>
        <w:rPr>
          <w:rFonts w:ascii="Arial" w:cs="Arial" w:eastAsia="Arial" w:hAnsi="Arial"/>
          <w:sz w:val="15"/>
          <w:szCs w:val="15"/>
          <w:color w:val="auto"/>
        </w:rPr>
      </w:pPr>
      <w:r>
        <w:rPr>
          <w:rFonts w:ascii="Arial" w:cs="Arial" w:eastAsia="Arial" w:hAnsi="Arial"/>
          <w:sz w:val="15"/>
          <w:szCs w:val="15"/>
          <w:color w:val="auto"/>
        </w:rPr>
        <w:t>The number and percentage of shares beneficially owned by each person has been determined in accordance with Rule 13d-3 of the Exchange Act and the information is not necessarily indicative of beneficial ownership for any other purpose. Accordingly, in determining the percentage of shares beneficially owned by each person, shares that may be acquired by such person within 60 days of the Reporting Date are deemed outstanding for purposes of determining the total number of outstanding shares for such person and are not deemed outstanding for such purpose for any other person. Unless otherwise indicated in the footnotes or table, each person or entity has sole voting and investment power with respect to the shares shown as beneficially owned. The number of shares of common stock that could be obtained on exercise of SSARs is calculated by (a) multiplying the number of outstanding SSARs which can be exercised within 60 days of the Reporting Date, by the difference between the closing price of $24.41 for our common stock on the Reporting Date and the SSAR exercise price and (b) dividing such number by $24.41. The percentages shown are based on 67,706,254 shares of common stock issued and outstanding on the Reporting Date.</w:t>
      </w:r>
    </w:p>
    <w:p>
      <w:pPr>
        <w:spacing w:after="0" w:line="4" w:lineRule="exact"/>
        <w:rPr>
          <w:sz w:val="20"/>
          <w:szCs w:val="20"/>
          <w:color w:val="auto"/>
        </w:rPr>
      </w:pPr>
    </w:p>
    <w:p>
      <w:pPr>
        <w:jc w:val="right"/>
        <w:spacing w:after="0"/>
        <w:tabs>
          <w:tab w:leader="none" w:pos="1960" w:val="left"/>
          <w:tab w:leader="none" w:pos="1720" w:val="left"/>
          <w:tab w:leader="none" w:pos="14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3"/>
          <w:szCs w:val="33"/>
          <w:b w:val="1"/>
          <w:bCs w:val="1"/>
          <w:color w:val="auto"/>
          <w:vertAlign w:val="subscript"/>
        </w:rPr>
        <w:t>|</w:t>
      </w:r>
      <w:r>
        <w:rPr>
          <w:sz w:val="20"/>
          <w:szCs w:val="20"/>
          <w:color w:val="auto"/>
        </w:rPr>
        <w:tab/>
      </w:r>
      <w:r>
        <w:rPr>
          <w:rFonts w:ascii="Arial" w:cs="Arial" w:eastAsia="Arial" w:hAnsi="Arial"/>
          <w:sz w:val="16"/>
          <w:szCs w:val="16"/>
          <w:color w:val="auto"/>
        </w:rPr>
        <w:t>2018 Proxy Statement</w:t>
      </w:r>
      <w:r>
        <w:rPr>
          <w:sz w:val="20"/>
          <w:szCs w:val="20"/>
          <w:color w:val="auto"/>
        </w:rPr>
        <w:tab/>
      </w: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133350</wp:posOffset>
            </wp:positionV>
            <wp:extent cx="7263130" cy="203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0" w:name="page71"/>
    <w:bookmarkEnd w:id="70"/>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ind w:left="1640" w:right="120" w:hanging="498"/>
        <w:spacing w:after="0" w:line="266" w:lineRule="auto"/>
        <w:tabs>
          <w:tab w:leader="none" w:pos="1640" w:val="left"/>
        </w:tabs>
        <w:numPr>
          <w:ilvl w:val="0"/>
          <w:numId w:val="75"/>
        </w:numPr>
        <w:rPr>
          <w:rFonts w:ascii="Arial" w:cs="Arial" w:eastAsia="Arial" w:hAnsi="Arial"/>
          <w:sz w:val="16"/>
          <w:szCs w:val="16"/>
          <w:color w:val="auto"/>
        </w:rPr>
      </w:pPr>
      <w:r>
        <w:rPr>
          <w:rFonts w:ascii="Arial" w:cs="Arial" w:eastAsia="Arial" w:hAnsi="Arial"/>
          <w:sz w:val="16"/>
          <w:szCs w:val="16"/>
          <w:color w:val="auto"/>
        </w:rPr>
        <w:t>Based on a Schedule 13G/A, as filed with the SEC on January 23, 2018. BlackRock, Inc., 55 East 52nd Street, New York, NY 10055, a parent holding company or control person in accordance with Rule 13d-1(b)(1)(ii)(G) of the Exchange Act, is the beneficial owner of 5,804,509 shares of our outstanding common stock, of which they hold sole voting power with respect to 5,483,375 shares and sole investment power with respect to all of the beneficially owned shares.</w:t>
      </w:r>
    </w:p>
    <w:p>
      <w:pPr>
        <w:spacing w:after="0" w:line="195" w:lineRule="exact"/>
        <w:rPr>
          <w:rFonts w:ascii="Arial" w:cs="Arial" w:eastAsia="Arial" w:hAnsi="Arial"/>
          <w:sz w:val="16"/>
          <w:szCs w:val="16"/>
          <w:color w:val="auto"/>
        </w:rPr>
      </w:pPr>
    </w:p>
    <w:p>
      <w:pPr>
        <w:ind w:left="1640" w:right="180" w:hanging="498"/>
        <w:spacing w:after="0" w:line="285" w:lineRule="auto"/>
        <w:tabs>
          <w:tab w:leader="none" w:pos="1640" w:val="left"/>
        </w:tabs>
        <w:numPr>
          <w:ilvl w:val="0"/>
          <w:numId w:val="75"/>
        </w:numPr>
        <w:rPr>
          <w:rFonts w:ascii="Arial" w:cs="Arial" w:eastAsia="Arial" w:hAnsi="Arial"/>
          <w:sz w:val="15"/>
          <w:szCs w:val="15"/>
          <w:color w:val="auto"/>
        </w:rPr>
      </w:pPr>
      <w:r>
        <w:rPr>
          <w:rFonts w:ascii="Arial" w:cs="Arial" w:eastAsia="Arial" w:hAnsi="Arial"/>
          <w:sz w:val="15"/>
          <w:szCs w:val="15"/>
          <w:color w:val="auto"/>
        </w:rPr>
        <w:t>Based on a Schedule 13G/A, as filed with the SEC on February 9, 2018. The Vanguard Group, Inc., 100 Vanguard Blvd., Malvern, PA 19355, an investment adviser in accordance with Rule 13d-1(b)(1)(ii)(E) and two wholly owned subsidiaries, Vanguard Fiduciary Trust Company and Vanguard Investments Australia, Ltd., are the beneficial owners of 5,554,655, 31,127 and 13,971 shares, respectively, of our outstanding common stock. The Vanguard Group, Inc. holds sole voting power with respect to 36,598 shares, shared voting power with respect to 8,500 shares, sole investment power with respect to 5,515,028 shares and shared investing power with respect to 39,627 shares beneficially owned.</w:t>
      </w:r>
    </w:p>
    <w:p>
      <w:pPr>
        <w:spacing w:after="0" w:line="171" w:lineRule="exact"/>
        <w:rPr>
          <w:rFonts w:ascii="Arial" w:cs="Arial" w:eastAsia="Arial" w:hAnsi="Arial"/>
          <w:sz w:val="15"/>
          <w:szCs w:val="15"/>
          <w:color w:val="auto"/>
        </w:rPr>
      </w:pPr>
    </w:p>
    <w:p>
      <w:pPr>
        <w:ind w:left="1640" w:hanging="498"/>
        <w:spacing w:after="0" w:line="326" w:lineRule="auto"/>
        <w:tabs>
          <w:tab w:leader="none" w:pos="1640" w:val="left"/>
        </w:tabs>
        <w:numPr>
          <w:ilvl w:val="0"/>
          <w:numId w:val="75"/>
        </w:numPr>
        <w:rPr>
          <w:rFonts w:ascii="Arial" w:cs="Arial" w:eastAsia="Arial" w:hAnsi="Arial"/>
          <w:sz w:val="14"/>
          <w:szCs w:val="14"/>
          <w:color w:val="auto"/>
        </w:rPr>
      </w:pPr>
      <w:r>
        <w:rPr>
          <w:rFonts w:ascii="Arial" w:cs="Arial" w:eastAsia="Arial" w:hAnsi="Arial"/>
          <w:sz w:val="14"/>
          <w:szCs w:val="14"/>
          <w:color w:val="auto"/>
        </w:rPr>
        <w:t>Based on a Schedule 13G/A, as filed with the SEC on February 13, 2018. FMR, LLC, 245 Summer Street, Boston, MA 02210, a parent holding company in accordance with Rule 13d-1(b)(ii)(G) of the Exchange Act, is the beneficial owner of 3,969,199 shares of our outstanding common stock, of which they hold sole voting power with respect to 514,646 shares and sole investment power with respect to all of the beneficially owned shares.</w:t>
      </w:r>
    </w:p>
    <w:p>
      <w:pPr>
        <w:spacing w:after="0" w:line="145" w:lineRule="exact"/>
        <w:rPr>
          <w:rFonts w:ascii="Arial" w:cs="Arial" w:eastAsia="Arial" w:hAnsi="Arial"/>
          <w:sz w:val="14"/>
          <w:szCs w:val="14"/>
          <w:color w:val="auto"/>
        </w:rPr>
      </w:pPr>
    </w:p>
    <w:p>
      <w:pPr>
        <w:ind w:left="1640" w:right="40" w:hanging="498"/>
        <w:spacing w:after="0" w:line="310" w:lineRule="auto"/>
        <w:tabs>
          <w:tab w:leader="none" w:pos="1640" w:val="left"/>
        </w:tabs>
        <w:numPr>
          <w:ilvl w:val="0"/>
          <w:numId w:val="75"/>
        </w:numPr>
        <w:rPr>
          <w:rFonts w:ascii="Arial" w:cs="Arial" w:eastAsia="Arial" w:hAnsi="Arial"/>
          <w:sz w:val="14"/>
          <w:szCs w:val="14"/>
          <w:color w:val="auto"/>
        </w:rPr>
      </w:pPr>
      <w:r>
        <w:rPr>
          <w:rFonts w:ascii="Arial" w:cs="Arial" w:eastAsia="Arial" w:hAnsi="Arial"/>
          <w:sz w:val="14"/>
          <w:szCs w:val="14"/>
          <w:color w:val="auto"/>
        </w:rPr>
        <w:t>Based on a Schedule 13G, as filed with the SEC on February 9, 2018. The Dimensional Fund Advisors LP, Building One, 6300 Bee Cave Road, Austin, TX 78746, an investment adviser in accordance with Rule 13d 1(b)(1)(ii)(E) serves as an investment manager or sub-adviser to investment companies, trusts and accounts, collectively referred to as the "Funds". In such role, Dimensional Fund Advisors LP or its subsidiaries may be deemed to be the beneficial owner of the shares held by the Funds. Dimensional Fund Advisors LP has sole voting power with respect to 3,505,009 shares and sole investment power with respect to 3,618,224 shares. Dimensional Fund Advisors LP disclaims beneficial ownership of such securities.</w:t>
      </w:r>
    </w:p>
    <w:p>
      <w:pPr>
        <w:spacing w:after="0" w:line="168" w:lineRule="exact"/>
        <w:rPr>
          <w:rFonts w:ascii="Arial" w:cs="Arial" w:eastAsia="Arial" w:hAnsi="Arial"/>
          <w:sz w:val="14"/>
          <w:szCs w:val="14"/>
          <w:color w:val="auto"/>
        </w:rPr>
      </w:pPr>
    </w:p>
    <w:p>
      <w:pPr>
        <w:ind w:left="1640" w:right="300" w:hanging="498"/>
        <w:spacing w:after="0" w:line="266" w:lineRule="auto"/>
        <w:tabs>
          <w:tab w:leader="none" w:pos="164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This amount includes 1,340 of the reported shares of common stock which are indirectly held by Mr. Kasbar's spouse. This amount excludes 28,179 RSUs that have not yet vested. Pursuant to the terms of the agreements governing these equity awards, Mr. Kasbar has contractually agreed not to exercise any voting rights with respect to the shares prior to vesting. This amount also includes 403,784 shares that were pledged as collateral for a personal loan.</w:t>
      </w:r>
    </w:p>
    <w:p>
      <w:pPr>
        <w:spacing w:after="0" w:line="183" w:lineRule="exact"/>
        <w:rPr>
          <w:rFonts w:ascii="Arial" w:cs="Arial" w:eastAsia="Arial" w:hAnsi="Arial"/>
          <w:sz w:val="16"/>
          <w:szCs w:val="16"/>
          <w:color w:val="auto"/>
        </w:rPr>
      </w:pPr>
    </w:p>
    <w:p>
      <w:pPr>
        <w:ind w:left="1640" w:right="380" w:hanging="498"/>
        <w:spacing w:after="0" w:line="284" w:lineRule="auto"/>
        <w:tabs>
          <w:tab w:leader="none" w:pos="164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This amount excludes 11,533 RSUs that have not yet vested. Pursuant to the terms of the agreements governing these equity awards, Mr. Birns has contractually agreed not to exercise any voting rights with respect to the shares prior to vesting.</w:t>
      </w:r>
    </w:p>
    <w:p>
      <w:pPr>
        <w:spacing w:after="0" w:line="168" w:lineRule="exact"/>
        <w:rPr>
          <w:rFonts w:ascii="Arial" w:cs="Arial" w:eastAsia="Arial" w:hAnsi="Arial"/>
          <w:sz w:val="16"/>
          <w:szCs w:val="16"/>
          <w:color w:val="auto"/>
        </w:rPr>
      </w:pPr>
    </w:p>
    <w:p>
      <w:pPr>
        <w:jc w:val="both"/>
        <w:ind w:left="1640" w:right="240" w:hanging="498"/>
        <w:spacing w:after="0" w:line="270" w:lineRule="auto"/>
        <w:tabs>
          <w:tab w:leader="none" w:pos="164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This amount includes 2,186 shares of common stock issuable pursuant to the settlement of RSUs that will vest within 60 days of the Reporting Date. This amount excludes 35,391 RSUs that have not yet vested. Pursuant to the terms of the agreements governing these equity awards, Mr. Crosby has contractually agreed not to exercise any voting rights with respect to the shares prior to vesting.</w:t>
      </w:r>
    </w:p>
    <w:p>
      <w:pPr>
        <w:spacing w:after="0" w:line="192" w:lineRule="exact"/>
        <w:rPr>
          <w:rFonts w:ascii="Arial" w:cs="Arial" w:eastAsia="Arial" w:hAnsi="Arial"/>
          <w:sz w:val="16"/>
          <w:szCs w:val="16"/>
          <w:color w:val="auto"/>
        </w:rPr>
      </w:pPr>
    </w:p>
    <w:p>
      <w:pPr>
        <w:ind w:left="1640" w:right="240" w:hanging="498"/>
        <w:spacing w:after="0" w:line="270" w:lineRule="auto"/>
        <w:tabs>
          <w:tab w:leader="none" w:pos="164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This amount includes 6,256 shares of common stock issuable pursuant to the settlement of RSUs that will vest within 60 days of the Reporting Date. This amount excludes 35,391 RSUs that have not yet vested. Pursuant to the terms of the agreements governing these equity awards, Mr. Rau has contractually agreed not to exercise any voting rights with respect to the shares prior to vesting.</w:t>
      </w:r>
    </w:p>
    <w:p>
      <w:pPr>
        <w:spacing w:after="0" w:line="164" w:lineRule="exact"/>
        <w:rPr>
          <w:sz w:val="20"/>
          <w:szCs w:val="20"/>
          <w:color w:val="auto"/>
        </w:rPr>
      </w:pPr>
    </w:p>
    <w:p>
      <w:pPr>
        <w:jc w:val="right"/>
        <w:spacing w:after="0"/>
        <w:tabs>
          <w:tab w:leader="none" w:pos="1960" w:val="left"/>
          <w:tab w:leader="none" w:pos="1720" w:val="left"/>
          <w:tab w:leader="none" w:pos="14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16"/>
          <w:szCs w:val="16"/>
          <w:b w:val="1"/>
          <w:bCs w:val="1"/>
          <w:color w:val="auto"/>
        </w:rPr>
        <w:t>|</w:t>
      </w:r>
      <w:r>
        <w:rPr>
          <w:sz w:val="20"/>
          <w:szCs w:val="20"/>
          <w:color w:val="auto"/>
        </w:rPr>
        <w:tab/>
      </w:r>
      <w:r>
        <w:rPr>
          <w:rFonts w:ascii="Arial" w:cs="Arial" w:eastAsia="Arial" w:hAnsi="Arial"/>
          <w:sz w:val="16"/>
          <w:szCs w:val="16"/>
          <w:color w:val="auto"/>
        </w:rPr>
        <w:t>2018 Proxy Statement</w:t>
      </w:r>
      <w:r>
        <w:rPr>
          <w:sz w:val="20"/>
          <w:szCs w:val="20"/>
          <w:color w:val="auto"/>
        </w:rPr>
        <w:tab/>
      </w: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139700</wp:posOffset>
            </wp:positionV>
            <wp:extent cx="7263130" cy="203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1" w:name="page72"/>
    <w:bookmarkEnd w:id="71"/>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ind w:left="1640" w:right="340" w:hanging="498"/>
        <w:spacing w:after="0" w:line="284" w:lineRule="auto"/>
        <w:tabs>
          <w:tab w:leader="none" w:pos="164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This amount excludes 55,949 RSUs that have not yet vested. Pursuant to the terms of the agreements governing these equity awards, Mr. Smith has contractually agreed not to exercise any voting rights with respect to the shares prior to vesting.</w:t>
      </w:r>
    </w:p>
    <w:p>
      <w:pPr>
        <w:spacing w:after="0" w:line="181" w:lineRule="exact"/>
        <w:rPr>
          <w:rFonts w:ascii="Arial" w:cs="Arial" w:eastAsia="Arial" w:hAnsi="Arial"/>
          <w:sz w:val="16"/>
          <w:szCs w:val="16"/>
          <w:color w:val="auto"/>
        </w:rPr>
      </w:pPr>
    </w:p>
    <w:p>
      <w:pPr>
        <w:ind w:left="1640" w:right="220" w:hanging="498"/>
        <w:spacing w:after="0" w:line="266" w:lineRule="auto"/>
        <w:tabs>
          <w:tab w:leader="none" w:pos="164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This amount includes 36,908 shares of common stock issuable pursuant to the settlement of stock units and RSUs that are vested or will vest within 60 days of the Reporting Date. Upon settlement, 29,552 shares will be delivered to Mr. Bakshi upon his departure from the Board, 2,140 will be delivered in May 2018 and the balance will be delivered on the earlier of his departure from the Board or the third anniversary of the respective grant date.</w:t>
      </w:r>
    </w:p>
    <w:p>
      <w:pPr>
        <w:spacing w:after="0" w:line="183" w:lineRule="exact"/>
        <w:rPr>
          <w:rFonts w:ascii="Arial" w:cs="Arial" w:eastAsia="Arial" w:hAnsi="Arial"/>
          <w:sz w:val="16"/>
          <w:szCs w:val="16"/>
          <w:color w:val="auto"/>
        </w:rPr>
      </w:pPr>
    </w:p>
    <w:p>
      <w:pPr>
        <w:jc w:val="both"/>
        <w:ind w:left="1640" w:right="400" w:hanging="498"/>
        <w:spacing w:after="0" w:line="270" w:lineRule="auto"/>
        <w:tabs>
          <w:tab w:leader="none" w:pos="164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This amount includes 7,356 shares of common stock issuable pursuant to the settlement of RSUs that are vested or will vest within 60 days of the Reporting Date. Upon settlement, 2,140 shares will be delivered to Mr. Benitez in May 2018 and the balance will be delivered on the earlier of his departure from the Board or the third anniversary of the respective grant date.</w:t>
      </w:r>
    </w:p>
    <w:p>
      <w:pPr>
        <w:spacing w:after="0" w:line="180" w:lineRule="exact"/>
        <w:rPr>
          <w:rFonts w:ascii="Arial" w:cs="Arial" w:eastAsia="Arial" w:hAnsi="Arial"/>
          <w:sz w:val="16"/>
          <w:szCs w:val="16"/>
          <w:color w:val="auto"/>
        </w:rPr>
      </w:pPr>
    </w:p>
    <w:p>
      <w:pPr>
        <w:ind w:left="1640" w:right="460" w:hanging="498"/>
        <w:spacing w:after="0" w:line="270" w:lineRule="auto"/>
        <w:tabs>
          <w:tab w:leader="none" w:pos="164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This amount includes 2,732 shares of common stock issuable pursuant to the settlement of RSUs that are vested or will vest within 60 days of the Reporting Date. Upon settlement, 1,366 shares will be delivered to Mr. Gold in May 2018 and the balance will be delivered on the earlier of his departure from the Board or the third anniversary of the grant date.</w:t>
      </w:r>
    </w:p>
    <w:p>
      <w:pPr>
        <w:spacing w:after="0" w:line="192" w:lineRule="exact"/>
        <w:rPr>
          <w:rFonts w:ascii="Arial" w:cs="Arial" w:eastAsia="Arial" w:hAnsi="Arial"/>
          <w:sz w:val="16"/>
          <w:szCs w:val="16"/>
          <w:color w:val="auto"/>
        </w:rPr>
      </w:pPr>
    </w:p>
    <w:p>
      <w:pPr>
        <w:ind w:left="1640" w:right="100" w:hanging="498"/>
        <w:spacing w:after="0" w:line="315" w:lineRule="auto"/>
        <w:tabs>
          <w:tab w:leader="none" w:pos="1640" w:val="left"/>
        </w:tabs>
        <w:numPr>
          <w:ilvl w:val="0"/>
          <w:numId w:val="76"/>
        </w:numPr>
        <w:rPr>
          <w:rFonts w:ascii="Arial" w:cs="Arial" w:eastAsia="Arial" w:hAnsi="Arial"/>
          <w:sz w:val="14"/>
          <w:szCs w:val="14"/>
          <w:color w:val="auto"/>
        </w:rPr>
      </w:pPr>
      <w:r>
        <w:rPr>
          <w:rFonts w:ascii="Arial" w:cs="Arial" w:eastAsia="Arial" w:hAnsi="Arial"/>
          <w:sz w:val="14"/>
          <w:szCs w:val="14"/>
          <w:color w:val="auto"/>
        </w:rPr>
        <w:t>This amount includes 24,035 shares of common stock issuable pursuant to the settlement of RSUs that are vested or will vest within 60 days of the Reporting Date. Upon settlement, 16,679 shares will be delivered to Mr. Kassar upon his departure from the Board, 2,140 shares will be delivered in May 2018 and the balance will be delivered on the earlier of his departure from the Board or the third anniversary of the respective grant date. 4,000 of the shares of common stock beneficially owned by Mr. Kassar are held by his defined benefit plan, for which Mr. Kassar serves as trustee.</w:t>
      </w:r>
    </w:p>
    <w:p>
      <w:pPr>
        <w:spacing w:after="0" w:line="153" w:lineRule="exact"/>
        <w:rPr>
          <w:rFonts w:ascii="Arial" w:cs="Arial" w:eastAsia="Arial" w:hAnsi="Arial"/>
          <w:sz w:val="14"/>
          <w:szCs w:val="14"/>
          <w:color w:val="auto"/>
        </w:rPr>
      </w:pPr>
    </w:p>
    <w:p>
      <w:pPr>
        <w:ind w:left="1640" w:right="280" w:hanging="498"/>
        <w:spacing w:after="0" w:line="326" w:lineRule="auto"/>
        <w:tabs>
          <w:tab w:leader="none" w:pos="1640" w:val="left"/>
        </w:tabs>
        <w:numPr>
          <w:ilvl w:val="0"/>
          <w:numId w:val="76"/>
        </w:numPr>
        <w:rPr>
          <w:rFonts w:ascii="Arial" w:cs="Arial" w:eastAsia="Arial" w:hAnsi="Arial"/>
          <w:sz w:val="14"/>
          <w:szCs w:val="14"/>
          <w:color w:val="auto"/>
        </w:rPr>
      </w:pPr>
      <w:r>
        <w:rPr>
          <w:rFonts w:ascii="Arial" w:cs="Arial" w:eastAsia="Arial" w:hAnsi="Arial"/>
          <w:sz w:val="14"/>
          <w:szCs w:val="14"/>
          <w:color w:val="auto"/>
        </w:rPr>
        <w:t>This amount includes 9,105 shares of common stock issuable pursuant to the settlement of RSUs that are vested or will vest within 60 days of the Reporting Date. Upon settlement, 1,749 shares will be delivered to Mr. Manley upon his departure from the Board, 2,140 shares will be delivered in May 2018 and the balance will be delivered on the earlier of his departure from the Board or the third anniversary of the respective grant date.</w:t>
      </w:r>
    </w:p>
    <w:p>
      <w:pPr>
        <w:spacing w:after="0" w:line="145" w:lineRule="exact"/>
        <w:rPr>
          <w:rFonts w:ascii="Arial" w:cs="Arial" w:eastAsia="Arial" w:hAnsi="Arial"/>
          <w:sz w:val="14"/>
          <w:szCs w:val="14"/>
          <w:color w:val="auto"/>
        </w:rPr>
      </w:pPr>
    </w:p>
    <w:p>
      <w:pPr>
        <w:ind w:left="1640" w:hanging="498"/>
        <w:spacing w:after="0"/>
        <w:tabs>
          <w:tab w:leader="none" w:pos="1640" w:val="left"/>
        </w:tabs>
        <w:numPr>
          <w:ilvl w:val="0"/>
          <w:numId w:val="76"/>
        </w:numPr>
        <w:rPr>
          <w:rFonts w:ascii="Arial" w:cs="Arial" w:eastAsia="Arial" w:hAnsi="Arial"/>
          <w:sz w:val="14"/>
          <w:szCs w:val="14"/>
          <w:color w:val="auto"/>
        </w:rPr>
      </w:pPr>
      <w:r>
        <w:rPr>
          <w:rFonts w:ascii="Arial" w:cs="Arial" w:eastAsia="Arial" w:hAnsi="Arial"/>
          <w:sz w:val="14"/>
          <w:szCs w:val="14"/>
          <w:color w:val="auto"/>
        </w:rPr>
        <w:t>This amount includes 28,266 shares of common stock issuable pursuant to the settlement of stock units and RSUs that are vested or will vest within</w:t>
      </w:r>
    </w:p>
    <w:p>
      <w:pPr>
        <w:spacing w:after="0" w:line="43" w:lineRule="exact"/>
        <w:rPr>
          <w:rFonts w:ascii="Arial" w:cs="Arial" w:eastAsia="Arial" w:hAnsi="Arial"/>
          <w:sz w:val="14"/>
          <w:szCs w:val="14"/>
          <w:color w:val="auto"/>
        </w:rPr>
      </w:pPr>
    </w:p>
    <w:p>
      <w:pPr>
        <w:ind w:left="1640" w:right="120"/>
        <w:spacing w:after="0" w:line="266" w:lineRule="auto"/>
        <w:rPr>
          <w:rFonts w:ascii="Arial" w:cs="Arial" w:eastAsia="Arial" w:hAnsi="Arial"/>
          <w:sz w:val="14"/>
          <w:szCs w:val="14"/>
          <w:color w:val="auto"/>
        </w:rPr>
      </w:pPr>
      <w:r>
        <w:rPr>
          <w:rFonts w:ascii="Arial" w:cs="Arial" w:eastAsia="Arial" w:hAnsi="Arial"/>
          <w:sz w:val="16"/>
          <w:szCs w:val="16"/>
          <w:color w:val="auto"/>
        </w:rPr>
        <w:t>60 days of the Reporting Date. Upon settlement, 20,910 shares will be delivered to Mr. Presby upon his departure from the Board, 2,140 shares will be delivered in May 2018 and the balance of the RSUs will be delivered on the earlier of his departure from the Board or the third anniversary of the respective grant date.</w:t>
      </w:r>
    </w:p>
    <w:p>
      <w:pPr>
        <w:spacing w:after="0" w:line="194" w:lineRule="exact"/>
        <w:rPr>
          <w:rFonts w:ascii="Arial" w:cs="Arial" w:eastAsia="Arial" w:hAnsi="Arial"/>
          <w:sz w:val="14"/>
          <w:szCs w:val="14"/>
          <w:color w:val="auto"/>
        </w:rPr>
      </w:pPr>
    </w:p>
    <w:p>
      <w:pPr>
        <w:ind w:left="1640" w:right="20" w:hanging="498"/>
        <w:spacing w:after="0" w:line="326" w:lineRule="auto"/>
        <w:tabs>
          <w:tab w:leader="none" w:pos="1640" w:val="left"/>
        </w:tabs>
        <w:numPr>
          <w:ilvl w:val="0"/>
          <w:numId w:val="76"/>
        </w:numPr>
        <w:rPr>
          <w:rFonts w:ascii="Arial" w:cs="Arial" w:eastAsia="Arial" w:hAnsi="Arial"/>
          <w:sz w:val="14"/>
          <w:szCs w:val="14"/>
          <w:color w:val="auto"/>
        </w:rPr>
      </w:pPr>
      <w:r>
        <w:rPr>
          <w:rFonts w:ascii="Arial" w:cs="Arial" w:eastAsia="Arial" w:hAnsi="Arial"/>
          <w:sz w:val="14"/>
          <w:szCs w:val="14"/>
          <w:color w:val="auto"/>
        </w:rPr>
        <w:t>This amount includes 24,035 shares of common stock issuable pursuant to the settlement of RSUs that are vested or will vest within 60 days of the Reporting Date. Upon settlement, 16,679 shares will be delivered to Mr. Roddenberry upon his departure from the Board, 2,140 shares will be delivered in May 2018 and the balance will be delivered on the earlier of his departure from the Board or the third anniversary of the respective grant date.</w:t>
      </w:r>
    </w:p>
    <w:p>
      <w:pPr>
        <w:spacing w:after="0" w:line="145" w:lineRule="exact"/>
        <w:rPr>
          <w:rFonts w:ascii="Arial" w:cs="Arial" w:eastAsia="Arial" w:hAnsi="Arial"/>
          <w:sz w:val="14"/>
          <w:szCs w:val="14"/>
          <w:color w:val="auto"/>
        </w:rPr>
      </w:pPr>
    </w:p>
    <w:p>
      <w:pPr>
        <w:ind w:left="1640" w:right="340" w:hanging="498"/>
        <w:spacing w:after="0" w:line="297" w:lineRule="auto"/>
        <w:tabs>
          <w:tab w:leader="none" w:pos="1640" w:val="left"/>
        </w:tabs>
        <w:numPr>
          <w:ilvl w:val="0"/>
          <w:numId w:val="76"/>
        </w:numPr>
        <w:rPr>
          <w:rFonts w:ascii="Arial" w:cs="Arial" w:eastAsia="Arial" w:hAnsi="Arial"/>
          <w:sz w:val="14"/>
          <w:szCs w:val="14"/>
          <w:color w:val="auto"/>
        </w:rPr>
      </w:pPr>
      <w:r>
        <w:rPr>
          <w:rFonts w:ascii="Arial" w:cs="Arial" w:eastAsia="Arial" w:hAnsi="Arial"/>
          <w:sz w:val="14"/>
          <w:szCs w:val="14"/>
          <w:color w:val="auto"/>
        </w:rPr>
        <w:t>This amount includes 6,872 shares of common stock issuable pursuant to the settlement of RSUs that are vested or will vest within 60 days of the Reporting Date. Upon settlement, 2,002 shares will be delivered to Mr. Stebbins in May 2018 and the balance will be delivered on the earlier of his departure from the Board or the third anniversary of the respective grant date. 233,664 of the shares of common stock beneficially owned by</w:t>
      </w:r>
    </w:p>
    <w:p>
      <w:pPr>
        <w:spacing w:after="0" w:line="1" w:lineRule="exact"/>
        <w:rPr>
          <w:rFonts w:ascii="Arial" w:cs="Arial" w:eastAsia="Arial" w:hAnsi="Arial"/>
          <w:sz w:val="14"/>
          <w:szCs w:val="14"/>
          <w:color w:val="auto"/>
        </w:rPr>
      </w:pPr>
    </w:p>
    <w:p>
      <w:pPr>
        <w:ind w:left="1640"/>
        <w:spacing w:after="0"/>
        <w:rPr>
          <w:rFonts w:ascii="Arial" w:cs="Arial" w:eastAsia="Arial" w:hAnsi="Arial"/>
          <w:sz w:val="14"/>
          <w:szCs w:val="14"/>
          <w:color w:val="auto"/>
        </w:rPr>
      </w:pPr>
      <w:r>
        <w:rPr>
          <w:rFonts w:ascii="Arial" w:cs="Arial" w:eastAsia="Arial" w:hAnsi="Arial"/>
          <w:sz w:val="16"/>
          <w:szCs w:val="16"/>
          <w:color w:val="auto"/>
        </w:rPr>
        <w:t>Mr. Stebbins are held by The Stebbins Childrens Trust, for which Mr. Stebbins serves as trustee.</w:t>
      </w:r>
    </w:p>
    <w:p>
      <w:pPr>
        <w:spacing w:after="0" w:line="215" w:lineRule="exact"/>
        <w:rPr>
          <w:rFonts w:ascii="Arial" w:cs="Arial" w:eastAsia="Arial" w:hAnsi="Arial"/>
          <w:sz w:val="14"/>
          <w:szCs w:val="14"/>
          <w:color w:val="auto"/>
        </w:rPr>
      </w:pPr>
    </w:p>
    <w:p>
      <w:pPr>
        <w:ind w:left="1640" w:right="240" w:hanging="498"/>
        <w:spacing w:after="0" w:line="262" w:lineRule="auto"/>
        <w:tabs>
          <w:tab w:leader="none" w:pos="164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This amount includes an aggregate of 154,935 shares issuable pursuant to RSUs or SSARs that vested or will vest within 60 days after the Reporting Date.</w:t>
      </w:r>
    </w:p>
    <w:p>
      <w:pPr>
        <w:jc w:val="right"/>
        <w:spacing w:after="0"/>
        <w:tabs>
          <w:tab w:leader="none" w:pos="1960" w:val="left"/>
          <w:tab w:leader="none" w:pos="1720" w:val="left"/>
          <w:tab w:leader="none" w:pos="14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3"/>
          <w:szCs w:val="33"/>
          <w:b w:val="1"/>
          <w:bCs w:val="1"/>
          <w:color w:val="auto"/>
          <w:vertAlign w:val="subscript"/>
        </w:rPr>
        <w:t>|</w:t>
      </w:r>
      <w:r>
        <w:rPr>
          <w:sz w:val="20"/>
          <w:szCs w:val="20"/>
          <w:color w:val="auto"/>
        </w:rPr>
        <w:tab/>
      </w:r>
      <w:r>
        <w:rPr>
          <w:rFonts w:ascii="Arial" w:cs="Arial" w:eastAsia="Arial" w:hAnsi="Arial"/>
          <w:sz w:val="16"/>
          <w:szCs w:val="16"/>
          <w:color w:val="auto"/>
        </w:rPr>
        <w:t>2018 Proxy Statement</w:t>
      </w:r>
      <w:r>
        <w:rPr>
          <w:sz w:val="20"/>
          <w:szCs w:val="20"/>
          <w:color w:val="auto"/>
        </w:rPr>
        <w:tab/>
      </w: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133350</wp:posOffset>
            </wp:positionV>
            <wp:extent cx="7263130" cy="203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2" w:name="page73"/>
    <w:bookmarkEnd w:id="72"/>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7"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0048E0"/>
        </w:rPr>
        <w:t>IX.</w:t>
      </w:r>
      <w:r>
        <w:rPr>
          <w:sz w:val="20"/>
          <w:szCs w:val="20"/>
          <w:color w:val="auto"/>
        </w:rPr>
        <w:tab/>
      </w:r>
      <w:r>
        <w:rPr>
          <w:rFonts w:ascii="Arial" w:cs="Arial" w:eastAsia="Arial" w:hAnsi="Arial"/>
          <w:sz w:val="16"/>
          <w:szCs w:val="16"/>
          <w:b w:val="1"/>
          <w:bCs w:val="1"/>
          <w:color w:val="0048E0"/>
        </w:rPr>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258685" cy="1587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8685" cy="15875"/>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Section 16(a) Beneficial Ownership Reporting Compliance</w:t>
      </w:r>
    </w:p>
    <w:p>
      <w:pPr>
        <w:spacing w:after="0" w:line="215" w:lineRule="exact"/>
        <w:rPr>
          <w:sz w:val="20"/>
          <w:szCs w:val="20"/>
          <w:color w:val="auto"/>
        </w:rPr>
      </w:pPr>
    </w:p>
    <w:p>
      <w:pPr>
        <w:jc w:val="both"/>
        <w:ind w:right="40" w:firstLine="561"/>
        <w:spacing w:after="0" w:line="297" w:lineRule="auto"/>
        <w:rPr>
          <w:sz w:val="20"/>
          <w:szCs w:val="20"/>
          <w:color w:val="auto"/>
        </w:rPr>
      </w:pPr>
      <w:r>
        <w:rPr>
          <w:rFonts w:ascii="Arial" w:cs="Arial" w:eastAsia="Arial" w:hAnsi="Arial"/>
          <w:sz w:val="15"/>
          <w:szCs w:val="15"/>
          <w:color w:val="auto"/>
        </w:rPr>
        <w:t>Section 16(a) of the Exchange Act requires our directors and certain officers, and persons who own more than 10% of our common stock, to file with the SEC reports of ownership and changes in ownership of our common stock and other equity securities. Based solely on a review of such reports that were filed with the SEC, all filings required of directors and Section 16 officers and persons who own more than 10% of our common stock in 2017 were made on a timely basis.</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Shareholder Proposals for the 2019 Annual Meeting</w:t>
      </w:r>
    </w:p>
    <w:p>
      <w:pPr>
        <w:spacing w:after="0" w:line="215" w:lineRule="exact"/>
        <w:rPr>
          <w:sz w:val="20"/>
          <w:szCs w:val="20"/>
          <w:color w:val="auto"/>
        </w:rPr>
      </w:pPr>
    </w:p>
    <w:p>
      <w:pPr>
        <w:ind w:right="180" w:firstLine="561"/>
        <w:spacing w:after="0" w:line="270" w:lineRule="auto"/>
        <w:rPr>
          <w:sz w:val="20"/>
          <w:szCs w:val="20"/>
          <w:color w:val="auto"/>
        </w:rPr>
      </w:pPr>
      <w:r>
        <w:rPr>
          <w:rFonts w:ascii="Arial" w:cs="Arial" w:eastAsia="Arial" w:hAnsi="Arial"/>
          <w:sz w:val="16"/>
          <w:szCs w:val="16"/>
          <w:i w:val="1"/>
          <w:iCs w:val="1"/>
          <w:color w:val="auto"/>
        </w:rPr>
        <w:t xml:space="preserve">Proposals for Inclusion in the Proxy Statement. </w:t>
      </w:r>
      <w:r>
        <w:rPr>
          <w:rFonts w:ascii="Arial" w:cs="Arial" w:eastAsia="Arial" w:hAnsi="Arial"/>
          <w:sz w:val="16"/>
          <w:szCs w:val="16"/>
          <w:color w:val="auto"/>
        </w:rPr>
        <w:t>The date by which shareholder proposals must be received by us for inclusion in proxy materials relating to the 2019</w:t>
      </w:r>
      <w:r>
        <w:rPr>
          <w:rFonts w:ascii="Arial" w:cs="Arial" w:eastAsia="Arial" w:hAnsi="Arial"/>
          <w:sz w:val="16"/>
          <w:szCs w:val="16"/>
          <w:i w:val="1"/>
          <w:iCs w:val="1"/>
          <w:color w:val="auto"/>
        </w:rPr>
        <w:t xml:space="preserve"> </w:t>
      </w:r>
      <w:r>
        <w:rPr>
          <w:rFonts w:ascii="Arial" w:cs="Arial" w:eastAsia="Arial" w:hAnsi="Arial"/>
          <w:sz w:val="16"/>
          <w:szCs w:val="16"/>
          <w:color w:val="auto"/>
        </w:rPr>
        <w:t>annual meeting of shareholders, or the "2019 Annual Meeting," is December 14, 2018. Upon receipt of any such proposal, we will determine whether or not to include such proposal in the proxy materials in accordance with SEC regulations governing the solicitation of proxies.</w:t>
      </w:r>
    </w:p>
    <w:p>
      <w:pPr>
        <w:spacing w:after="0" w:line="168" w:lineRule="exact"/>
        <w:rPr>
          <w:sz w:val="20"/>
          <w:szCs w:val="20"/>
          <w:color w:val="auto"/>
        </w:rPr>
      </w:pPr>
    </w:p>
    <w:p>
      <w:pPr>
        <w:ind w:firstLine="561"/>
        <w:spacing w:after="0" w:line="279" w:lineRule="auto"/>
        <w:rPr>
          <w:sz w:val="20"/>
          <w:szCs w:val="20"/>
          <w:color w:val="auto"/>
        </w:rPr>
      </w:pPr>
      <w:r>
        <w:rPr>
          <w:rFonts w:ascii="Arial" w:cs="Arial" w:eastAsia="Arial" w:hAnsi="Arial"/>
          <w:sz w:val="15"/>
          <w:szCs w:val="15"/>
          <w:i w:val="1"/>
          <w:iCs w:val="1"/>
          <w:color w:val="auto"/>
        </w:rPr>
        <w:t xml:space="preserve">Proposals not Included in the Proxy Statement and Nominations for Director. </w:t>
      </w:r>
      <w:r>
        <w:rPr>
          <w:rFonts w:ascii="Arial" w:cs="Arial" w:eastAsia="Arial" w:hAnsi="Arial"/>
          <w:sz w:val="15"/>
          <w:szCs w:val="15"/>
          <w:color w:val="auto"/>
        </w:rPr>
        <w:t>Shareholder proposals not included in our proxy statement and shareholder nominations</w:t>
      </w:r>
      <w:r>
        <w:rPr>
          <w:rFonts w:ascii="Arial" w:cs="Arial" w:eastAsia="Arial" w:hAnsi="Arial"/>
          <w:sz w:val="15"/>
          <w:szCs w:val="15"/>
          <w:i w:val="1"/>
          <w:iCs w:val="1"/>
          <w:color w:val="auto"/>
        </w:rPr>
        <w:t xml:space="preserve"> </w:t>
      </w:r>
      <w:r>
        <w:rPr>
          <w:rFonts w:ascii="Arial" w:cs="Arial" w:eastAsia="Arial" w:hAnsi="Arial"/>
          <w:sz w:val="15"/>
          <w:szCs w:val="15"/>
          <w:color w:val="auto"/>
        </w:rPr>
        <w:t>for director may be brought before an annual meeting of shareholders in accordance with the advance notice procedures described in our By-Laws. In general, notice must be received by the Corporate Secretary not less than 90 days nor more than 120 days prior to the anniversary date of the immediately preceding annual meeting (i.e., May 24, 2019) and must contain specified information concerning the matters to be brought before such meeting and concerning the shareholder proposing such matters. For the 2019 Annual Meeting, the Corporate Secretary must receive notice of the proposal on or after the close of business on January 24, 2019 and no later than the close of business on February 22, 2019. Shareholder proposals must be in proper written form and must meet the detailed disclosure requirements set forth in our By-Laws, including a description of the proposal, the relationship between the proposing shareholder and the underlying beneficial owner, if any, and such parties' stock holdings and derivative positions in our securities. If we hold the 2019 Annual Meeting more than 30 days earlier or more than 60 days later than such anniversary date, we must receive your notice not earlier than the 120th day prior to such annual meeting and not later than the close of business on the later of the 90th day prior to such annual meeting or the 10th day following the day on which public announcement of the date of such meeting is first made.</w:t>
      </w:r>
    </w:p>
    <w:p>
      <w:pPr>
        <w:spacing w:after="0" w:line="165" w:lineRule="exact"/>
        <w:rPr>
          <w:sz w:val="20"/>
          <w:szCs w:val="20"/>
          <w:color w:val="auto"/>
        </w:rPr>
      </w:pPr>
    </w:p>
    <w:p>
      <w:pPr>
        <w:ind w:right="240" w:firstLine="561"/>
        <w:spacing w:after="0" w:line="270" w:lineRule="auto"/>
        <w:rPr>
          <w:sz w:val="20"/>
          <w:szCs w:val="20"/>
          <w:color w:val="auto"/>
        </w:rPr>
      </w:pPr>
      <w:r>
        <w:rPr>
          <w:rFonts w:ascii="Arial" w:cs="Arial" w:eastAsia="Arial" w:hAnsi="Arial"/>
          <w:sz w:val="16"/>
          <w:szCs w:val="16"/>
          <w:color w:val="auto"/>
        </w:rPr>
        <w:t>Our By-Laws also require that shareholder proposals concerning nomination of directors provide additional disclosure, including information we deem appropriate to ascertain the nominee's qualifications to serve on the Board, disclosure of compensation arrangements between the nominee, the nominating shareholder and the underlying beneficial owner, if any, and other information required to comply with the proxy rules and applicable law.</w:t>
      </w:r>
    </w:p>
    <w:p>
      <w:pPr>
        <w:spacing w:after="0" w:line="168" w:lineRule="exact"/>
        <w:rPr>
          <w:sz w:val="20"/>
          <w:szCs w:val="20"/>
          <w:color w:val="auto"/>
        </w:rPr>
      </w:pPr>
    </w:p>
    <w:p>
      <w:pPr>
        <w:ind w:right="80" w:firstLine="558"/>
        <w:spacing w:after="0" w:line="284" w:lineRule="auto"/>
        <w:rPr>
          <w:sz w:val="20"/>
          <w:szCs w:val="20"/>
          <w:color w:val="auto"/>
        </w:rPr>
      </w:pPr>
      <w:r>
        <w:rPr>
          <w:rFonts w:ascii="Arial" w:cs="Arial" w:eastAsia="Arial" w:hAnsi="Arial"/>
          <w:sz w:val="16"/>
          <w:szCs w:val="16"/>
          <w:color w:val="auto"/>
        </w:rPr>
        <w:t>The specific requirements of these advance notice provisions are set forth in Article I, Sections 6 and 7 of our By-Laws, a copy of which is available upon request. Such request and any shareholder proposals or director nominations should be sent to our Corporate Secretary at our principal executive offices.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List of Shareholders Entitled to Vote at the Annual Meeting</w:t>
      </w:r>
    </w:p>
    <w:p>
      <w:pPr>
        <w:spacing w:after="0" w:line="215" w:lineRule="exact"/>
        <w:rPr>
          <w:sz w:val="20"/>
          <w:szCs w:val="20"/>
          <w:color w:val="auto"/>
        </w:rPr>
      </w:pPr>
    </w:p>
    <w:p>
      <w:pPr>
        <w:ind w:right="140" w:firstLine="558"/>
        <w:spacing w:after="0" w:line="262" w:lineRule="auto"/>
        <w:rPr>
          <w:sz w:val="20"/>
          <w:szCs w:val="20"/>
          <w:color w:val="auto"/>
        </w:rPr>
      </w:pPr>
      <w:r>
        <w:rPr>
          <w:rFonts w:ascii="Arial" w:cs="Arial" w:eastAsia="Arial" w:hAnsi="Arial"/>
          <w:sz w:val="16"/>
          <w:szCs w:val="16"/>
          <w:color w:val="auto"/>
        </w:rPr>
        <w:t>The names of shareholders of record entitled to vote at the Annual Meeting will be available at our corporate office for a period of 10 days prior to the Annual Meeting and continuing through the Annual Meeting.</w:t>
      </w:r>
    </w:p>
    <w:p>
      <w:pPr>
        <w:jc w:val="right"/>
        <w:spacing w:after="0"/>
        <w:tabs>
          <w:tab w:leader="none" w:pos="1960" w:val="left"/>
          <w:tab w:leader="none" w:pos="1720" w:val="left"/>
          <w:tab w:leader="none" w:pos="14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3"/>
          <w:szCs w:val="33"/>
          <w:b w:val="1"/>
          <w:bCs w:val="1"/>
          <w:color w:val="auto"/>
          <w:vertAlign w:val="subscript"/>
        </w:rPr>
        <w:t>|</w:t>
      </w:r>
      <w:r>
        <w:rPr>
          <w:sz w:val="20"/>
          <w:szCs w:val="20"/>
          <w:color w:val="auto"/>
        </w:rPr>
        <w:tab/>
      </w:r>
      <w:r>
        <w:rPr>
          <w:rFonts w:ascii="Arial" w:cs="Arial" w:eastAsia="Arial" w:hAnsi="Arial"/>
          <w:sz w:val="16"/>
          <w:szCs w:val="16"/>
          <w:color w:val="auto"/>
        </w:rPr>
        <w:t>2018 Proxy Statement</w:t>
      </w:r>
      <w:r>
        <w:rPr>
          <w:sz w:val="20"/>
          <w:szCs w:val="20"/>
          <w:color w:val="auto"/>
        </w:rPr>
        <w:tab/>
      </w: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133350</wp:posOffset>
            </wp:positionV>
            <wp:extent cx="7263130" cy="203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3" w:name="page74"/>
    <w:bookmarkEnd w:id="73"/>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Expenses Relating to this Proxy Solicitation</w:t>
      </w:r>
    </w:p>
    <w:p>
      <w:pPr>
        <w:spacing w:after="0" w:line="215" w:lineRule="exact"/>
        <w:rPr>
          <w:sz w:val="20"/>
          <w:szCs w:val="20"/>
          <w:color w:val="auto"/>
        </w:rPr>
      </w:pPr>
    </w:p>
    <w:p>
      <w:pPr>
        <w:ind w:right="80" w:firstLine="558"/>
        <w:spacing w:after="0" w:line="283" w:lineRule="auto"/>
        <w:rPr>
          <w:sz w:val="20"/>
          <w:szCs w:val="20"/>
          <w:color w:val="auto"/>
        </w:rPr>
      </w:pPr>
      <w:r>
        <w:rPr>
          <w:rFonts w:ascii="Arial" w:cs="Arial" w:eastAsia="Arial" w:hAnsi="Arial"/>
          <w:sz w:val="15"/>
          <w:szCs w:val="15"/>
          <w:color w:val="auto"/>
        </w:rPr>
        <w:t>We will bear the cost of the solicitation of proxies from our shareholders, including preparing, printing and mailing the Notice and this proxy statement. In addition to solicitations by mail, our directors, officers and employees, and those of our subsidiaries and affiliates, may solicit proxies from shareholders by telephone or other electronic means or in person but will receive no additional compensation for soliciting such proxies. We will cause banks and brokerage firms and other custodians, nominees and fiduciaries to forward solicitation materials to the beneficial owners of our common stock held of record by such banks, brokerage firms, custodians, nominees and fiduciaries. We may reimburse such banks, brokerage firms, custodians, nominees and fiduciaries for their reasonable out-of-pocket expenses in doing so. We may also retain the services of a solicitor to assist in soliciting proxies and pay them a fee as well as other costs and expenses.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Communication with our Board of Directors</w:t>
      </w:r>
    </w:p>
    <w:p>
      <w:pPr>
        <w:spacing w:after="0" w:line="215" w:lineRule="exact"/>
        <w:rPr>
          <w:sz w:val="20"/>
          <w:szCs w:val="20"/>
          <w:color w:val="auto"/>
        </w:rPr>
      </w:pPr>
    </w:p>
    <w:p>
      <w:pPr>
        <w:ind w:firstLine="552"/>
        <w:spacing w:after="0" w:line="310" w:lineRule="auto"/>
        <w:rPr>
          <w:sz w:val="20"/>
          <w:szCs w:val="20"/>
          <w:color w:val="auto"/>
        </w:rPr>
      </w:pPr>
      <w:r>
        <w:rPr>
          <w:rFonts w:ascii="Arial" w:cs="Arial" w:eastAsia="Arial" w:hAnsi="Arial"/>
          <w:sz w:val="14"/>
          <w:szCs w:val="14"/>
          <w:color w:val="auto"/>
        </w:rPr>
        <w:t>Any interested party can contact our Board, any Board committee, our presiding director, our lead independent director, the non- management directors as a group or any individual director by (i) writing to any of them, c/o Corporate Secretary, at our principal office at 9800 Northwest 41st Street, Miami, Florida 33178, (ii) contacting our compliance hotline at (877) 787-8742 (Toll Free Domestic) or (770) 776-5690 (Collect) or (iii) accessing www.reportlineweb.com/wfs on the Internet. Such communications may be submitted on an anonymous or confidential basis. Any communications received from interested parties in the manner described above will be collected and organized by our Corporate Secretary and will be periodically, but in any event prior to each regularly-scheduled Board meeting, reported and/or delivered to the appropriate director or directors.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Available Information</w:t>
      </w:r>
    </w:p>
    <w:p>
      <w:pPr>
        <w:spacing w:after="0" w:line="215" w:lineRule="exact"/>
        <w:rPr>
          <w:sz w:val="20"/>
          <w:szCs w:val="20"/>
          <w:color w:val="auto"/>
        </w:rPr>
      </w:pPr>
    </w:p>
    <w:p>
      <w:pPr>
        <w:ind w:right="100" w:firstLine="558"/>
        <w:spacing w:after="0" w:line="266" w:lineRule="auto"/>
        <w:rPr>
          <w:sz w:val="20"/>
          <w:szCs w:val="20"/>
          <w:color w:val="auto"/>
        </w:rPr>
      </w:pPr>
      <w:r>
        <w:rPr>
          <w:rFonts w:ascii="Arial" w:cs="Arial" w:eastAsia="Arial" w:hAnsi="Arial"/>
          <w:sz w:val="16"/>
          <w:szCs w:val="16"/>
          <w:color w:val="auto"/>
        </w:rPr>
        <w:t>We maintain an Internet website at www.wfscorp.com. Copies of the Committee charters of each of the Audit Committee, Compensation Committee, Governance Committee and Technology and Operations Committee, together with other corporate governance materials, such as our Corporate Governance Principles and Code of Conduct, can be found under the Investor Relations—Corporate Governance section of our website located at www.wfscorp.com, and such information is also available in print to any shareholder who requests it by writing to our Corporate Secretary at the address below.</w:t>
      </w:r>
    </w:p>
    <w:p>
      <w:pPr>
        <w:spacing w:after="0" w:line="171" w:lineRule="exact"/>
        <w:rPr>
          <w:sz w:val="20"/>
          <w:szCs w:val="20"/>
          <w:color w:val="auto"/>
        </w:rPr>
      </w:pPr>
    </w:p>
    <w:p>
      <w:pPr>
        <w:ind w:right="100" w:firstLine="558"/>
        <w:spacing w:after="0" w:line="264" w:lineRule="auto"/>
        <w:rPr>
          <w:sz w:val="20"/>
          <w:szCs w:val="20"/>
          <w:color w:val="auto"/>
        </w:rPr>
      </w:pPr>
      <w:r>
        <w:rPr>
          <w:rFonts w:ascii="Arial" w:cs="Arial" w:eastAsia="Arial" w:hAnsi="Arial"/>
          <w:sz w:val="16"/>
          <w:szCs w:val="16"/>
          <w:color w:val="auto"/>
        </w:rPr>
        <w:t>We will furnish without charge to each person whose proxy is being solicited, upon request of any such person, a copy of our 2017 annual report on Form 10-K as filed with the SEC, including the financial statements and schedules thereto. In addition, such report is available, free of charge, through the Investor Relations—Corporate Governance section of our Internet website, located at www.wfscorp.com. You should direct a request for a copy of this report to World Fuel Services Corporation, 9800 Northwest 41st Street, Miami, Florida 33178, Attention: Corporate Secretary. We will forward you a copy of any exhibit to the 2017 annual report on Form 10-K when you send a written request to Investor Relations.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Electronic Delivery</w:t>
      </w:r>
    </w:p>
    <w:p>
      <w:pPr>
        <w:spacing w:after="0" w:line="215" w:lineRule="exact"/>
        <w:rPr>
          <w:sz w:val="20"/>
          <w:szCs w:val="20"/>
          <w:color w:val="auto"/>
        </w:rPr>
      </w:pPr>
    </w:p>
    <w:p>
      <w:pPr>
        <w:ind w:right="160" w:firstLine="561"/>
        <w:spacing w:after="0" w:line="296" w:lineRule="auto"/>
        <w:rPr>
          <w:sz w:val="20"/>
          <w:szCs w:val="20"/>
          <w:color w:val="auto"/>
        </w:rPr>
      </w:pPr>
      <w:r>
        <w:rPr>
          <w:rFonts w:ascii="Arial" w:cs="Arial" w:eastAsia="Arial" w:hAnsi="Arial"/>
          <w:sz w:val="14"/>
          <w:szCs w:val="14"/>
          <w:color w:val="auto"/>
        </w:rPr>
        <w:t>Pursuant to rules adopted by the SEC, we are furnishing our proxy materials to our shareholders over the Internet and providing a Notice of Internet Availability of Proxy Materials by mail instead of mailing a printed copy of our proxy materials, which include our proxy statement and annual report. This process has allowed us to expedite our shareholders' receipt of proxy materials, lower the costs of distribution and reduce the environmental impact of our Annual Meeting. All shareholders receiving the Notice will have the ability to access the proxy materials over the Internet and receive a paper copy of the proxy materials by mail at no charge upon request.</w:t>
      </w:r>
    </w:p>
    <w:p>
      <w:pPr>
        <w:spacing w:after="0" w:line="2" w:lineRule="exact"/>
        <w:rPr>
          <w:sz w:val="20"/>
          <w:szCs w:val="20"/>
          <w:color w:val="auto"/>
        </w:rPr>
      </w:pPr>
    </w:p>
    <w:p>
      <w:pPr>
        <w:jc w:val="right"/>
        <w:spacing w:after="0"/>
        <w:tabs>
          <w:tab w:leader="none" w:pos="1960" w:val="left"/>
          <w:tab w:leader="none" w:pos="1720" w:val="left"/>
          <w:tab w:leader="none" w:pos="14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3"/>
          <w:szCs w:val="33"/>
          <w:b w:val="1"/>
          <w:bCs w:val="1"/>
          <w:color w:val="auto"/>
          <w:vertAlign w:val="subscript"/>
        </w:rPr>
        <w:t>|</w:t>
      </w:r>
      <w:r>
        <w:rPr>
          <w:sz w:val="20"/>
          <w:szCs w:val="20"/>
          <w:color w:val="auto"/>
        </w:rPr>
        <w:tab/>
      </w:r>
      <w:r>
        <w:rPr>
          <w:rFonts w:ascii="Arial" w:cs="Arial" w:eastAsia="Arial" w:hAnsi="Arial"/>
          <w:sz w:val="16"/>
          <w:szCs w:val="16"/>
          <w:color w:val="auto"/>
        </w:rPr>
        <w:t>2018 Proxy Statement</w:t>
      </w:r>
      <w:r>
        <w:rPr>
          <w:sz w:val="20"/>
          <w:szCs w:val="20"/>
          <w:color w:val="auto"/>
        </w:rPr>
        <w:tab/>
      </w: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133350</wp:posOffset>
            </wp:positionV>
            <wp:extent cx="7263130" cy="203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4" w:name="page75"/>
    <w:bookmarkEnd w:id="74"/>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Householding</w:t>
      </w:r>
    </w:p>
    <w:p>
      <w:pPr>
        <w:spacing w:after="0" w:line="215" w:lineRule="exact"/>
        <w:rPr>
          <w:sz w:val="20"/>
          <w:szCs w:val="20"/>
          <w:color w:val="auto"/>
        </w:rPr>
      </w:pPr>
    </w:p>
    <w:p>
      <w:pPr>
        <w:jc w:val="both"/>
        <w:ind w:right="160" w:firstLine="558"/>
        <w:spacing w:after="0" w:line="270" w:lineRule="auto"/>
        <w:rPr>
          <w:sz w:val="20"/>
          <w:szCs w:val="20"/>
          <w:color w:val="auto"/>
        </w:rPr>
      </w:pPr>
      <w:r>
        <w:rPr>
          <w:rFonts w:ascii="Arial" w:cs="Arial" w:eastAsia="Arial" w:hAnsi="Arial"/>
          <w:sz w:val="16"/>
          <w:szCs w:val="16"/>
          <w:color w:val="auto"/>
        </w:rPr>
        <w:t>We have adopted a procedure approved by the SEC called "householding." Under this procedure, shareholders of record who have the same address and last name will receive only one copy of our Notice, unless one or more of these shareholders notifies us that they wish to continue receiving individual copies. This procedure will reduce our printing costs and postage fees.</w:t>
      </w:r>
    </w:p>
    <w:p>
      <w:pPr>
        <w:spacing w:after="0" w:line="168" w:lineRule="exact"/>
        <w:rPr>
          <w:sz w:val="20"/>
          <w:szCs w:val="20"/>
          <w:color w:val="auto"/>
        </w:rPr>
      </w:pPr>
    </w:p>
    <w:p>
      <w:pPr>
        <w:ind w:firstLine="561"/>
        <w:spacing w:after="0" w:line="270" w:lineRule="auto"/>
        <w:rPr>
          <w:sz w:val="20"/>
          <w:szCs w:val="20"/>
          <w:color w:val="auto"/>
        </w:rPr>
      </w:pPr>
      <w:r>
        <w:rPr>
          <w:rFonts w:ascii="Arial" w:cs="Arial" w:eastAsia="Arial" w:hAnsi="Arial"/>
          <w:sz w:val="16"/>
          <w:szCs w:val="16"/>
          <w:color w:val="auto"/>
        </w:rPr>
        <w:t>If you are eligible for householding, but you and other shareholders of record with whom you share an address currently receive multiple copies of the Notice, or if you hold stock in more than one account, and in either case you wish to receive only a single copy of the Notice for your household, please contact our transfer agent, EQ Shareowner Services (in writing: P.O. Box 64854, St. Paul, MN 55164-0854, or by telephone: (800) 468-9716 or (651) 450-4064).</w:t>
      </w:r>
    </w:p>
    <w:p>
      <w:pPr>
        <w:spacing w:after="0" w:line="168" w:lineRule="exact"/>
        <w:rPr>
          <w:sz w:val="20"/>
          <w:szCs w:val="20"/>
          <w:color w:val="auto"/>
        </w:rPr>
      </w:pPr>
    </w:p>
    <w:p>
      <w:pPr>
        <w:ind w:right="200" w:firstLine="561"/>
        <w:spacing w:after="0" w:line="260" w:lineRule="auto"/>
        <w:rPr>
          <w:sz w:val="20"/>
          <w:szCs w:val="20"/>
          <w:color w:val="auto"/>
        </w:rPr>
      </w:pPr>
      <w:r>
        <w:rPr>
          <w:rFonts w:ascii="Arial" w:cs="Arial" w:eastAsia="Arial" w:hAnsi="Arial"/>
          <w:sz w:val="16"/>
          <w:szCs w:val="16"/>
          <w:color w:val="auto"/>
        </w:rPr>
        <w:t>If you participate in householding and wish to receive a separate copy of the Notice, or if you do not wish to participate in householding and prefer to receive separate copies of the Notice in the future, please contact EQ Shareowner Services as indicated above. Beneficial shareholders can request information about householding from their broker, bank, trustee, agent or other record holder.</w:t>
      </w:r>
    </w:p>
    <w:p>
      <w:pPr>
        <w:spacing w:after="0" w:line="1" w:lineRule="exact"/>
        <w:rPr>
          <w:sz w:val="20"/>
          <w:szCs w:val="20"/>
          <w:color w:val="auto"/>
        </w:rPr>
      </w:pPr>
    </w:p>
    <w:p>
      <w:pPr>
        <w:jc w:val="right"/>
        <w:spacing w:after="0"/>
        <w:tabs>
          <w:tab w:leader="none" w:pos="1960" w:val="left"/>
          <w:tab w:leader="none" w:pos="1720" w:val="left"/>
          <w:tab w:leader="none" w:pos="14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3"/>
          <w:szCs w:val="33"/>
          <w:b w:val="1"/>
          <w:bCs w:val="1"/>
          <w:color w:val="auto"/>
          <w:vertAlign w:val="subscript"/>
        </w:rPr>
        <w:t>|</w:t>
      </w:r>
      <w:r>
        <w:rPr>
          <w:sz w:val="20"/>
          <w:szCs w:val="20"/>
          <w:color w:val="auto"/>
        </w:rPr>
        <w:tab/>
      </w:r>
      <w:r>
        <w:rPr>
          <w:rFonts w:ascii="Arial" w:cs="Arial" w:eastAsia="Arial" w:hAnsi="Arial"/>
          <w:sz w:val="16"/>
          <w:szCs w:val="16"/>
          <w:color w:val="auto"/>
        </w:rPr>
        <w:t>2018 Proxy Statement</w:t>
      </w:r>
      <w:r>
        <w:rPr>
          <w:sz w:val="20"/>
          <w:szCs w:val="20"/>
          <w:color w:val="auto"/>
        </w:rPr>
        <w:tab/>
      </w: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133350</wp:posOffset>
            </wp:positionV>
            <wp:extent cx="7263130" cy="203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5" w:name="page76"/>
    <w:bookmarkEnd w:id="7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222250</wp:posOffset>
            </wp:positionV>
            <wp:extent cx="7315835" cy="103822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clrChange>
                        <a:clrFrom>
                          <a:srgbClr val="FFFFFF"/>
                        </a:clrFrom>
                        <a:clrTo>
                          <a:srgbClr val="FFFFFF">
                            <a:alpha val="0"/>
                          </a:srgbClr>
                        </a:clrTo>
                      </a:clrChange>
                      <a:extLst>
                        <a:ext uri="{28A0092B-C50C-407E-A947-70E740481C1C}"/>
                      </a:extLst>
                    </a:blip>
                    <a:srcRect/>
                    <a:stretch>
                      <a:fillRect/>
                    </a:stretch>
                  </pic:blipFill>
                  <pic:spPr bwMode="auto">
                    <a:xfrm>
                      <a:off x="0" y="0"/>
                      <a:ext cx="7315835" cy="103822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88900</wp:posOffset>
            </wp:positionV>
            <wp:extent cx="7315835" cy="785368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315835" cy="785368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63B9EA"/>
    <w:multiLevelType w:val="hybridMultilevel"/>
    <w:lvl w:ilvl="0">
      <w:lvlJc w:val="left"/>
      <w:lvlText w:val="☒"/>
      <w:numFmt w:val="bullet"/>
      <w:start w:val="1"/>
    </w:lvl>
  </w:abstractNum>
  <w:abstractNum w:abstractNumId="1">
    <w:nsid w:val="5E884ADC"/>
    <w:multiLevelType w:val="hybridMultilevel"/>
    <w:lvl w:ilvl="0">
      <w:lvlJc w:val="left"/>
      <w:lvlText w:val="o"/>
      <w:numFmt w:val="bullet"/>
      <w:start w:val="1"/>
    </w:lvl>
    <w:lvl w:ilvl="1">
      <w:lvlJc w:val="left"/>
      <w:lvlText w:val="(%2)"/>
      <w:numFmt w:val="decimal"/>
      <w:start w:val="1"/>
    </w:lvl>
  </w:abstractNum>
  <w:abstractNum w:abstractNumId="2">
    <w:nsid w:val="51EAD36B"/>
    <w:multiLevelType w:val="hybridMultilevel"/>
    <w:lvl w:ilvl="0">
      <w:lvlJc w:val="left"/>
      <w:lvlText w:val="%1."/>
      <w:numFmt w:val="decimal"/>
      <w:start w:val="1"/>
    </w:lvl>
  </w:abstractNum>
  <w:abstractNum w:abstractNumId="3">
    <w:nsid w:val="2D517796"/>
    <w:multiLevelType w:val="hybridMultilevel"/>
    <w:lvl w:ilvl="0">
      <w:lvlJc w:val="left"/>
      <w:lvlText w:val="✓"/>
      <w:numFmt w:val="bullet"/>
      <w:start w:val="1"/>
    </w:lvl>
  </w:abstractNum>
  <w:abstractNum w:abstractNumId="4">
    <w:nsid w:val="580BD78F"/>
    <w:multiLevelType w:val="hybridMultilevel"/>
    <w:lvl w:ilvl="0">
      <w:lvlJc w:val="left"/>
      <w:lvlText w:val="✗"/>
      <w:numFmt w:val="bullet"/>
      <w:start w:val="1"/>
    </w:lvl>
  </w:abstractNum>
  <w:abstractNum w:abstractNumId="5">
    <w:nsid w:val="153EA438"/>
    <w:multiLevelType w:val="hybridMultilevel"/>
    <w:lvl w:ilvl="0">
      <w:lvlJc w:val="left"/>
      <w:lvlText w:val="✓"/>
      <w:numFmt w:val="bullet"/>
      <w:start w:val="1"/>
    </w:lvl>
  </w:abstractNum>
  <w:abstractNum w:abstractNumId="6">
    <w:nsid w:val="3855585C"/>
    <w:multiLevelType w:val="hybridMultilevel"/>
    <w:lvl w:ilvl="0">
      <w:lvlJc w:val="left"/>
      <w:lvlText w:val="✓"/>
      <w:numFmt w:val="bullet"/>
      <w:start w:val="1"/>
    </w:lvl>
  </w:abstractNum>
  <w:abstractNum w:abstractNumId="7">
    <w:nsid w:val="70A64E2A"/>
    <w:multiLevelType w:val="hybridMultilevel"/>
    <w:lvl w:ilvl="0">
      <w:lvlJc w:val="left"/>
      <w:lvlText w:val="•"/>
      <w:numFmt w:val="bullet"/>
      <w:start w:val="1"/>
    </w:lvl>
  </w:abstractNum>
  <w:abstractNum w:abstractNumId="8">
    <w:nsid w:val="6A2342EC"/>
    <w:multiLevelType w:val="hybridMultilevel"/>
    <w:lvl w:ilvl="0">
      <w:lvlJc w:val="left"/>
      <w:lvlText w:val="•"/>
      <w:numFmt w:val="bullet"/>
      <w:start w:val="1"/>
    </w:lvl>
    <w:lvl w:ilvl="1">
      <w:lvlJc w:val="left"/>
      <w:lvlText w:val="%2)"/>
      <w:numFmt w:val="decimal"/>
      <w:start w:val="1"/>
    </w:lvl>
  </w:abstractNum>
  <w:abstractNum w:abstractNumId="9">
    <w:nsid w:val="2A487CB0"/>
    <w:multiLevelType w:val="hybridMultilevel"/>
    <w:lvl w:ilvl="0">
      <w:lvlJc w:val="left"/>
      <w:lvlText w:val="%1."/>
      <w:numFmt w:val="upperLetter"/>
      <w:start w:val="9"/>
    </w:lvl>
  </w:abstractNum>
  <w:abstractNum w:abstractNumId="10">
    <w:nsid w:val="1D4ED43B"/>
    <w:multiLevelType w:val="hybridMultilevel"/>
    <w:lvl w:ilvl="0">
      <w:lvlJc w:val="left"/>
      <w:lvlText w:val="•"/>
      <w:numFmt w:val="bullet"/>
      <w:start w:val="1"/>
    </w:lvl>
  </w:abstractNum>
  <w:abstractNum w:abstractNumId="11">
    <w:nsid w:val="725A06FB"/>
    <w:multiLevelType w:val="hybridMultilevel"/>
    <w:lvl w:ilvl="0">
      <w:lvlJc w:val="left"/>
      <w:lvlText w:val="•"/>
      <w:numFmt w:val="bullet"/>
      <w:start w:val="1"/>
    </w:lvl>
  </w:abstractNum>
  <w:abstractNum w:abstractNumId="12">
    <w:nsid w:val="2CD89A32"/>
    <w:multiLevelType w:val="hybridMultilevel"/>
    <w:lvl w:ilvl="0">
      <w:lvlJc w:val="left"/>
      <w:lvlText w:val="•"/>
      <w:numFmt w:val="bullet"/>
      <w:start w:val="1"/>
    </w:lvl>
  </w:abstractNum>
  <w:abstractNum w:abstractNumId="13">
    <w:nsid w:val="57E4CCAF"/>
    <w:multiLevelType w:val="hybridMultilevel"/>
    <w:lvl w:ilvl="0">
      <w:lvlJc w:val="left"/>
      <w:lvlText w:val="•"/>
      <w:numFmt w:val="bullet"/>
      <w:start w:val="1"/>
    </w:lvl>
  </w:abstractNum>
  <w:abstractNum w:abstractNumId="14">
    <w:nsid w:val="7A6D8D3C"/>
    <w:multiLevelType w:val="hybridMultilevel"/>
    <w:lvl w:ilvl="0">
      <w:lvlJc w:val="left"/>
      <w:lvlText w:val="•"/>
      <w:numFmt w:val="bullet"/>
      <w:start w:val="1"/>
    </w:lvl>
  </w:abstractNum>
  <w:abstractNum w:abstractNumId="15">
    <w:nsid w:val="4B588F54"/>
    <w:multiLevelType w:val="hybridMultilevel"/>
    <w:lvl w:ilvl="0">
      <w:lvlJc w:val="left"/>
      <w:lvlText w:val="•"/>
      <w:numFmt w:val="bullet"/>
      <w:start w:val="1"/>
    </w:lvl>
  </w:abstractNum>
  <w:abstractNum w:abstractNumId="16">
    <w:nsid w:val="542289EC"/>
    <w:multiLevelType w:val="hybridMultilevel"/>
    <w:lvl w:ilvl="0">
      <w:lvlJc w:val="left"/>
      <w:lvlText w:val="•"/>
      <w:numFmt w:val="bullet"/>
      <w:start w:val="1"/>
    </w:lvl>
  </w:abstractNum>
  <w:abstractNum w:abstractNumId="17">
    <w:nsid w:val="6DE91B18"/>
    <w:multiLevelType w:val="hybridMultilevel"/>
    <w:lvl w:ilvl="0">
      <w:lvlJc w:val="left"/>
      <w:lvlText w:val="•"/>
      <w:numFmt w:val="bullet"/>
      <w:start w:val="1"/>
    </w:lvl>
  </w:abstractNum>
  <w:abstractNum w:abstractNumId="18">
    <w:nsid w:val="38437FDB"/>
    <w:multiLevelType w:val="hybridMultilevel"/>
    <w:lvl w:ilvl="0">
      <w:lvlJc w:val="left"/>
      <w:lvlText w:val="%1."/>
      <w:numFmt w:val="upperLetter"/>
      <w:start w:val="35"/>
    </w:lvl>
  </w:abstractNum>
  <w:abstractNum w:abstractNumId="19">
    <w:nsid w:val="7644A45C"/>
    <w:multiLevelType w:val="hybridMultilevel"/>
    <w:lvl w:ilvl="0">
      <w:lvlJc w:val="left"/>
      <w:lvlText w:val="•"/>
      <w:numFmt w:val="bullet"/>
      <w:start w:val="1"/>
    </w:lvl>
  </w:abstractNum>
  <w:abstractNum w:abstractNumId="20">
    <w:nsid w:val="32FFF902"/>
    <w:multiLevelType w:val="hybridMultilevel"/>
    <w:lvl w:ilvl="0">
      <w:lvlJc w:val="left"/>
      <w:lvlText w:val="•"/>
      <w:numFmt w:val="bullet"/>
      <w:start w:val="1"/>
    </w:lvl>
  </w:abstractNum>
  <w:abstractNum w:abstractNumId="21">
    <w:nsid w:val="684A481A"/>
    <w:multiLevelType w:val="hybridMultilevel"/>
    <w:lvl w:ilvl="0">
      <w:lvlJc w:val="left"/>
      <w:lvlText w:val="•"/>
      <w:numFmt w:val="bullet"/>
      <w:start w:val="1"/>
    </w:lvl>
  </w:abstractNum>
  <w:abstractNum w:abstractNumId="22">
    <w:nsid w:val="579478FE"/>
    <w:multiLevelType w:val="hybridMultilevel"/>
    <w:lvl w:ilvl="0">
      <w:lvlJc w:val="left"/>
      <w:lvlText w:val="•"/>
      <w:numFmt w:val="bullet"/>
      <w:start w:val="1"/>
    </w:lvl>
  </w:abstractNum>
  <w:abstractNum w:abstractNumId="23">
    <w:nsid w:val="749ABB43"/>
    <w:multiLevelType w:val="hybridMultilevel"/>
    <w:lvl w:ilvl="0">
      <w:lvlJc w:val="left"/>
      <w:lvlText w:val="•"/>
      <w:numFmt w:val="bullet"/>
      <w:start w:val="1"/>
    </w:lvl>
  </w:abstractNum>
  <w:abstractNum w:abstractNumId="24">
    <w:nsid w:val="3DC240FB"/>
    <w:multiLevelType w:val="hybridMultilevel"/>
    <w:lvl w:ilvl="0">
      <w:lvlJc w:val="left"/>
      <w:lvlText w:val="•"/>
      <w:numFmt w:val="bullet"/>
      <w:start w:val="1"/>
    </w:lvl>
  </w:abstractNum>
  <w:abstractNum w:abstractNumId="25">
    <w:nsid w:val="1BA026FA"/>
    <w:multiLevelType w:val="hybridMultilevel"/>
    <w:lvl w:ilvl="0">
      <w:lvlJc w:val="left"/>
      <w:lvlText w:val="•"/>
      <w:numFmt w:val="bullet"/>
      <w:start w:val="1"/>
    </w:lvl>
  </w:abstractNum>
  <w:abstractNum w:abstractNumId="26">
    <w:nsid w:val="79A1DEAA"/>
    <w:multiLevelType w:val="hybridMultilevel"/>
    <w:lvl w:ilvl="0">
      <w:lvlJc w:val="left"/>
      <w:lvlText w:val="•"/>
      <w:numFmt w:val="bullet"/>
      <w:start w:val="1"/>
    </w:lvl>
  </w:abstractNum>
  <w:abstractNum w:abstractNumId="27">
    <w:nsid w:val="75C6C33A"/>
    <w:multiLevelType w:val="hybridMultilevel"/>
    <w:lvl w:ilvl="0">
      <w:lvlJc w:val="left"/>
      <w:lvlText w:val="•"/>
      <w:numFmt w:val="bullet"/>
      <w:start w:val="1"/>
    </w:lvl>
  </w:abstractNum>
  <w:abstractNum w:abstractNumId="28">
    <w:nsid w:val="12E685FB"/>
    <w:multiLevelType w:val="hybridMultilevel"/>
    <w:lvl w:ilvl="0">
      <w:lvlJc w:val="left"/>
      <w:lvlText w:val="•"/>
      <w:numFmt w:val="bullet"/>
      <w:start w:val="1"/>
    </w:lvl>
  </w:abstractNum>
  <w:abstractNum w:abstractNumId="29">
    <w:nsid w:val="70C6A529"/>
    <w:multiLevelType w:val="hybridMultilevel"/>
    <w:lvl w:ilvl="0">
      <w:lvlJc w:val="left"/>
      <w:lvlText w:val="•"/>
      <w:numFmt w:val="bullet"/>
      <w:start w:val="1"/>
    </w:lvl>
  </w:abstractNum>
  <w:abstractNum w:abstractNumId="30">
    <w:nsid w:val="520EEDD1"/>
    <w:multiLevelType w:val="hybridMultilevel"/>
    <w:lvl w:ilvl="0">
      <w:lvlJc w:val="left"/>
      <w:lvlText w:val="•"/>
      <w:numFmt w:val="bullet"/>
      <w:start w:val="1"/>
    </w:lvl>
  </w:abstractNum>
  <w:abstractNum w:abstractNumId="31">
    <w:nsid w:val="374A3FE6"/>
    <w:multiLevelType w:val="hybridMultilevel"/>
    <w:lvl w:ilvl="0">
      <w:lvlJc w:val="left"/>
      <w:lvlText w:val="•"/>
      <w:numFmt w:val="bullet"/>
      <w:start w:val="1"/>
    </w:lvl>
  </w:abstractNum>
  <w:abstractNum w:abstractNumId="32">
    <w:nsid w:val="4F4EF005"/>
    <w:multiLevelType w:val="hybridMultilevel"/>
    <w:lvl w:ilvl="0">
      <w:lvlJc w:val="left"/>
      <w:lvlText w:val="•"/>
      <w:numFmt w:val="bullet"/>
      <w:start w:val="1"/>
    </w:lvl>
  </w:abstractNum>
  <w:abstractNum w:abstractNumId="33">
    <w:nsid w:val="23F9C13C"/>
    <w:multiLevelType w:val="hybridMultilevel"/>
    <w:lvl w:ilvl="0">
      <w:lvlJc w:val="left"/>
      <w:lvlText w:val="(%1)"/>
      <w:numFmt w:val="lowerRoman"/>
      <w:start w:val="1"/>
    </w:lvl>
  </w:abstractNum>
  <w:abstractNum w:abstractNumId="34">
    <w:nsid w:val="649BB77C"/>
    <w:multiLevelType w:val="hybridMultilevel"/>
    <w:lvl w:ilvl="0">
      <w:lvlJc w:val="left"/>
      <w:lvlText w:val="(%1)"/>
      <w:numFmt w:val="lowerRoman"/>
      <w:start w:val="3"/>
    </w:lvl>
  </w:abstractNum>
  <w:abstractNum w:abstractNumId="35">
    <w:nsid w:val="275AC794"/>
    <w:multiLevelType w:val="hybridMultilevel"/>
    <w:lvl w:ilvl="0">
      <w:lvlJc w:val="left"/>
      <w:lvlText w:val="•"/>
      <w:numFmt w:val="bullet"/>
      <w:start w:val="1"/>
    </w:lvl>
  </w:abstractNum>
  <w:abstractNum w:abstractNumId="36">
    <w:nsid w:val="39386575"/>
    <w:multiLevelType w:val="hybridMultilevel"/>
    <w:lvl w:ilvl="0">
      <w:lvlJc w:val="left"/>
      <w:lvlText w:val="(%1)"/>
      <w:numFmt w:val="decimal"/>
      <w:start w:val="1"/>
    </w:lvl>
  </w:abstractNum>
  <w:abstractNum w:abstractNumId="37">
    <w:nsid w:val="1CF10FD8"/>
    <w:multiLevelType w:val="hybridMultilevel"/>
    <w:lvl w:ilvl="0">
      <w:lvlJc w:val="left"/>
      <w:lvlText w:val="(%1)"/>
      <w:numFmt w:val="decimal"/>
      <w:start w:val="2"/>
    </w:lvl>
  </w:abstractNum>
  <w:abstractNum w:abstractNumId="38">
    <w:nsid w:val="180115BE"/>
    <w:multiLevelType w:val="hybridMultilevel"/>
    <w:lvl w:ilvl="0">
      <w:lvlJc w:val="left"/>
      <w:lvlText w:val="(%1)"/>
      <w:numFmt w:val="lowerLetter"/>
      <w:start w:val="1"/>
    </w:lvl>
  </w:abstractNum>
  <w:abstractNum w:abstractNumId="39">
    <w:nsid w:val="235BA861"/>
    <w:multiLevelType w:val="hybridMultilevel"/>
    <w:lvl w:ilvl="0">
      <w:lvlJc w:val="left"/>
      <w:lvlText w:val="(%1)"/>
      <w:numFmt w:val="decimal"/>
      <w:start w:val="3"/>
    </w:lvl>
  </w:abstractNum>
  <w:abstractNum w:abstractNumId="40">
    <w:nsid w:val="47398C89"/>
    <w:multiLevelType w:val="hybridMultilevel"/>
    <w:lvl w:ilvl="0">
      <w:lvlJc w:val="left"/>
      <w:lvlText w:val="%1."/>
      <w:numFmt w:val="upperLetter"/>
      <w:start w:val="61"/>
    </w:lvl>
  </w:abstractNum>
  <w:abstractNum w:abstractNumId="41">
    <w:nsid w:val="354FE9F9"/>
    <w:multiLevelType w:val="hybridMultilevel"/>
    <w:lvl w:ilvl="0">
      <w:lvlJc w:val="left"/>
      <w:lvlText w:val="•"/>
      <w:numFmt w:val="bullet"/>
      <w:start w:val="1"/>
    </w:lvl>
  </w:abstractNum>
  <w:abstractNum w:abstractNumId="42">
    <w:nsid w:val="15B5AF5C"/>
    <w:multiLevelType w:val="hybridMultilevel"/>
    <w:lvl w:ilvl="0">
      <w:lvlJc w:val="left"/>
      <w:lvlText w:val="•"/>
      <w:numFmt w:val="bullet"/>
      <w:start w:val="1"/>
    </w:lvl>
  </w:abstractNum>
  <w:abstractNum w:abstractNumId="43">
    <w:nsid w:val="741226BB"/>
    <w:multiLevelType w:val="hybridMultilevel"/>
    <w:lvl w:ilvl="0">
      <w:lvlJc w:val="left"/>
      <w:lvlText w:val="•"/>
      <w:numFmt w:val="bullet"/>
      <w:start w:val="1"/>
    </w:lvl>
  </w:abstractNum>
  <w:abstractNum w:abstractNumId="44">
    <w:nsid w:val="D34B6A8"/>
    <w:multiLevelType w:val="hybridMultilevel"/>
    <w:lvl w:ilvl="0">
      <w:lvlJc w:val="left"/>
      <w:lvlText w:val="•"/>
      <w:numFmt w:val="bullet"/>
      <w:start w:val="1"/>
    </w:lvl>
  </w:abstractNum>
  <w:abstractNum w:abstractNumId="45">
    <w:nsid w:val="10233C99"/>
    <w:multiLevelType w:val="hybridMultilevel"/>
    <w:lvl w:ilvl="0">
      <w:lvlJc w:val="left"/>
      <w:lvlText w:val="•"/>
      <w:numFmt w:val="bullet"/>
      <w:start w:val="1"/>
    </w:lvl>
  </w:abstractNum>
  <w:abstractNum w:abstractNumId="46">
    <w:nsid w:val="3F6AB60F"/>
    <w:multiLevelType w:val="hybridMultilevel"/>
    <w:lvl w:ilvl="0">
      <w:lvlJc w:val="left"/>
      <w:lvlText w:val="•"/>
      <w:numFmt w:val="bullet"/>
      <w:start w:val="1"/>
    </w:lvl>
  </w:abstractNum>
  <w:abstractNum w:abstractNumId="47">
    <w:nsid w:val="61574095"/>
    <w:multiLevelType w:val="hybridMultilevel"/>
    <w:lvl w:ilvl="0">
      <w:lvlJc w:val="left"/>
      <w:lvlText w:val="•"/>
      <w:numFmt w:val="bullet"/>
      <w:start w:val="1"/>
    </w:lvl>
  </w:abstractNum>
  <w:abstractNum w:abstractNumId="48">
    <w:nsid w:val="7E0C57B1"/>
    <w:multiLevelType w:val="hybridMultilevel"/>
    <w:lvl w:ilvl="0">
      <w:lvlJc w:val="left"/>
      <w:lvlText w:val="•"/>
      <w:numFmt w:val="bullet"/>
      <w:start w:val="1"/>
    </w:lvl>
  </w:abstractNum>
  <w:abstractNum w:abstractNumId="49">
    <w:nsid w:val="77AE35EB"/>
    <w:multiLevelType w:val="hybridMultilevel"/>
    <w:lvl w:ilvl="0">
      <w:lvlJc w:val="left"/>
      <w:lvlText w:val="(%1)"/>
      <w:numFmt w:val="decimal"/>
      <w:start w:val="1"/>
    </w:lvl>
  </w:abstractNum>
  <w:abstractNum w:abstractNumId="50">
    <w:nsid w:val="579BE4F1"/>
    <w:multiLevelType w:val="hybridMultilevel"/>
    <w:lvl w:ilvl="0">
      <w:lvlJc w:val="left"/>
      <w:lvlText w:val="•"/>
      <w:numFmt w:val="bullet"/>
      <w:start w:val="1"/>
    </w:lvl>
  </w:abstractNum>
  <w:abstractNum w:abstractNumId="51">
    <w:nsid w:val="310C50B3"/>
    <w:multiLevelType w:val="hybridMultilevel"/>
    <w:lvl w:ilvl="0">
      <w:lvlJc w:val="left"/>
      <w:lvlText w:val="%1."/>
      <w:numFmt w:val="upperLetter"/>
      <w:start w:val="22"/>
    </w:lvl>
  </w:abstractNum>
  <w:abstractNum w:abstractNumId="52">
    <w:nsid w:val="5FF87E05"/>
    <w:multiLevelType w:val="hybridMultilevel"/>
    <w:lvl w:ilvl="0">
      <w:lvlJc w:val="left"/>
      <w:lvlText w:val="(%1)"/>
      <w:numFmt w:val="decimal"/>
      <w:start w:val="1"/>
    </w:lvl>
  </w:abstractNum>
  <w:abstractNum w:abstractNumId="53">
    <w:nsid w:val="2F305DEF"/>
    <w:multiLevelType w:val="hybridMultilevel"/>
    <w:lvl w:ilvl="0">
      <w:lvlJc w:val="left"/>
      <w:lvlText w:val="(%1)"/>
      <w:numFmt w:val="decimal"/>
      <w:start w:val="7"/>
    </w:lvl>
  </w:abstractNum>
  <w:abstractNum w:abstractNumId="54">
    <w:nsid w:val="25A70BF7"/>
    <w:multiLevelType w:val="hybridMultilevel"/>
    <w:lvl w:ilvl="0">
      <w:lvlJc w:val="left"/>
      <w:lvlText w:val="(%1)"/>
      <w:numFmt w:val="decimal"/>
      <w:start w:val="1"/>
    </w:lvl>
  </w:abstractNum>
  <w:abstractNum w:abstractNumId="55">
    <w:nsid w:val="1DBABF00"/>
    <w:multiLevelType w:val="hybridMultilevel"/>
    <w:lvl w:ilvl="0">
      <w:lvlJc w:val="left"/>
      <w:lvlText w:val="(%1)"/>
      <w:numFmt w:val="decimal"/>
      <w:start w:val="4"/>
    </w:lvl>
  </w:abstractNum>
  <w:abstractNum w:abstractNumId="56">
    <w:nsid w:val="4AD084E9"/>
    <w:multiLevelType w:val="hybridMultilevel"/>
    <w:lvl w:ilvl="0">
      <w:lvlJc w:val="left"/>
      <w:lvlText w:val="(%1)"/>
      <w:numFmt w:val="decimal"/>
      <w:start w:val="1"/>
    </w:lvl>
  </w:abstractNum>
  <w:abstractNum w:abstractNumId="57">
    <w:nsid w:val="1F48EAA1"/>
    <w:multiLevelType w:val="hybridMultilevel"/>
    <w:lvl w:ilvl="0">
      <w:lvlJc w:val="left"/>
      <w:lvlText w:val="(%1)"/>
      <w:numFmt w:val="decimal"/>
      <w:start w:val="8"/>
    </w:lvl>
  </w:abstractNum>
  <w:abstractNum w:abstractNumId="58">
    <w:nsid w:val="1381823A"/>
    <w:multiLevelType w:val="hybridMultilevel"/>
    <w:lvl w:ilvl="0">
      <w:lvlJc w:val="left"/>
      <w:lvlText w:val="(%1)"/>
      <w:numFmt w:val="decimal"/>
      <w:start w:val="1"/>
    </w:lvl>
  </w:abstractNum>
  <w:abstractNum w:abstractNumId="59">
    <w:nsid w:val="5DB70AE5"/>
    <w:multiLevelType w:val="hybridMultilevel"/>
    <w:lvl w:ilvl="0">
      <w:lvlJc w:val="left"/>
      <w:lvlText w:val="(%1)"/>
      <w:numFmt w:val="decimal"/>
      <w:start w:val="1"/>
    </w:lvl>
  </w:abstractNum>
  <w:abstractNum w:abstractNumId="60">
    <w:nsid w:val="100F8FCA"/>
    <w:multiLevelType w:val="hybridMultilevel"/>
    <w:lvl w:ilvl="0">
      <w:lvlJc w:val="left"/>
      <w:lvlText w:val="(%1)"/>
      <w:numFmt w:val="decimal"/>
      <w:start w:val="2"/>
    </w:lvl>
  </w:abstractNum>
  <w:abstractNum w:abstractNumId="61">
    <w:nsid w:val="6590700B"/>
    <w:multiLevelType w:val="hybridMultilevel"/>
    <w:lvl w:ilvl="0">
      <w:lvlJc w:val="left"/>
      <w:lvlText w:val="(%1)"/>
      <w:numFmt w:val="lowerRoman"/>
      <w:start w:val="5"/>
    </w:lvl>
  </w:abstractNum>
  <w:abstractNum w:abstractNumId="62">
    <w:nsid w:val="15014ACB"/>
    <w:multiLevelType w:val="hybridMultilevel"/>
    <w:lvl w:ilvl="0">
      <w:lvlJc w:val="left"/>
      <w:lvlText w:val="(%1)"/>
      <w:numFmt w:val="lowerRoman"/>
      <w:start w:val="1"/>
    </w:lvl>
  </w:abstractNum>
  <w:abstractNum w:abstractNumId="63">
    <w:nsid w:val="5F5E7FD0"/>
    <w:multiLevelType w:val="hybridMultilevel"/>
    <w:lvl w:ilvl="0">
      <w:lvlJc w:val="left"/>
      <w:lvlText w:val="(%1)"/>
      <w:numFmt w:val="lowerLetter"/>
      <w:start w:val="61"/>
    </w:lvl>
  </w:abstractNum>
  <w:abstractNum w:abstractNumId="64">
    <w:nsid w:val="98A3148"/>
    <w:multiLevelType w:val="hybridMultilevel"/>
    <w:lvl w:ilvl="0">
      <w:lvlJc w:val="left"/>
      <w:lvlText w:val="(%1)"/>
      <w:numFmt w:val="lowerRoman"/>
      <w:start w:val="4"/>
    </w:lvl>
  </w:abstractNum>
  <w:abstractNum w:abstractNumId="65">
    <w:nsid w:val="799D0247"/>
    <w:multiLevelType w:val="hybridMultilevel"/>
    <w:lvl w:ilvl="0">
      <w:lvlJc w:val="left"/>
      <w:lvlText w:val="(%1)"/>
      <w:numFmt w:val="lowerRoman"/>
      <w:start w:val="1"/>
    </w:lvl>
  </w:abstractNum>
  <w:abstractNum w:abstractNumId="66">
    <w:nsid w:val="6B94764"/>
    <w:multiLevelType w:val="hybridMultilevel"/>
    <w:lvl w:ilvl="0">
      <w:lvlJc w:val="left"/>
      <w:lvlText w:val="(%1)"/>
      <w:numFmt w:val="decimal"/>
      <w:start w:val="1"/>
    </w:lvl>
  </w:abstractNum>
  <w:abstractNum w:abstractNumId="67">
    <w:nsid w:val="42C296BD"/>
    <w:multiLevelType w:val="hybridMultilevel"/>
    <w:lvl w:ilvl="0">
      <w:lvlJc w:val="left"/>
      <w:lvlText w:val="(%1)"/>
      <w:numFmt w:val="decimal"/>
      <w:start w:val="4"/>
    </w:lvl>
  </w:abstractNum>
  <w:abstractNum w:abstractNumId="68">
    <w:nsid w:val="168E121F"/>
    <w:multiLevelType w:val="hybridMultilevel"/>
    <w:lvl w:ilvl="0">
      <w:lvlJc w:val="left"/>
      <w:lvlText w:val="(%1)"/>
      <w:numFmt w:val="decimal"/>
      <w:start w:val="1"/>
    </w:lvl>
  </w:abstractNum>
  <w:abstractNum w:abstractNumId="69">
    <w:nsid w:val="1EBA5D23"/>
    <w:multiLevelType w:val="hybridMultilevel"/>
    <w:lvl w:ilvl="0">
      <w:lvlJc w:val="left"/>
      <w:lvlText w:val="•"/>
      <w:numFmt w:val="bullet"/>
      <w:start w:val="1"/>
    </w:lvl>
  </w:abstractNum>
  <w:abstractNum w:abstractNumId="70">
    <w:nsid w:val="661E3F1E"/>
    <w:multiLevelType w:val="hybridMultilevel"/>
    <w:lvl w:ilvl="0">
      <w:lvlJc w:val="left"/>
      <w:lvlText w:val="(%1)"/>
      <w:numFmt w:val="decimal"/>
      <w:start w:val="1"/>
    </w:lvl>
  </w:abstractNum>
  <w:abstractNum w:abstractNumId="71">
    <w:nsid w:val="5DC79EA8"/>
    <w:multiLevelType w:val="hybridMultilevel"/>
    <w:lvl w:ilvl="0">
      <w:lvlJc w:val="left"/>
      <w:lvlText w:val="(%1)"/>
      <w:numFmt w:val="lowerRoman"/>
      <w:start w:val="1"/>
    </w:lvl>
  </w:abstractNum>
  <w:abstractNum w:abstractNumId="72">
    <w:nsid w:val="540A471C"/>
    <w:multiLevelType w:val="hybridMultilevel"/>
    <w:lvl w:ilvl="0">
      <w:lvlJc w:val="left"/>
      <w:lvlText w:val="*"/>
      <w:numFmt w:val="bullet"/>
      <w:start w:val="1"/>
    </w:lvl>
  </w:abstractNum>
  <w:abstractNum w:abstractNumId="73">
    <w:nsid w:val="7BD3EE7B"/>
    <w:multiLevelType w:val="hybridMultilevel"/>
    <w:lvl w:ilvl="0">
      <w:lvlJc w:val="left"/>
      <w:lvlText w:val="(%1)"/>
      <w:numFmt w:val="decimal"/>
      <w:start w:val="1"/>
    </w:lvl>
  </w:abstractNum>
  <w:abstractNum w:abstractNumId="74">
    <w:nsid w:val="51D9C564"/>
    <w:multiLevelType w:val="hybridMultilevel"/>
    <w:lvl w:ilvl="0">
      <w:lvlJc w:val="left"/>
      <w:lvlText w:val="(%1)"/>
      <w:numFmt w:val="decimal"/>
      <w:start w:val="3"/>
    </w:lvl>
  </w:abstractNum>
  <w:abstractNum w:abstractNumId="75">
    <w:nsid w:val="613EFDC5"/>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2019-12-05T15:23:53Z</dcterms:created>
  <dcterms:modified xsi:type="dcterms:W3CDTF">2019-12-05T15:23:53Z</dcterms:modified>
</cp:coreProperties>
</file>