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8</w:t>
      </w:r>
    </w:p>
    <w:p>
      <w:pPr>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#981475106</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#981475106</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 ]</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514,646</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3,969,199</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3,969,199</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5.869%</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#981475106</w:t>
            </w:r>
          </w:p>
        </w:tc>
        <w:tc>
          <w:tcPr>
            <w:tcW w:w="8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3,969,199</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3,969,199</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5.869%</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w w:val="96"/>
              </w:rPr>
              <w:t>WORLD FUEL SERVICES CORP</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9800 N.W. 41st Street</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Suite 400</w:t>
            </w:r>
          </w:p>
        </w:tc>
        <w:tc>
          <w:tcPr>
            <w:tcW w:w="8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Miami, FL 33178</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608"/>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8"/>
                <w:szCs w:val="18"/>
                <w:color w:val="auto"/>
              </w:rPr>
              <w:t>FMR LLC</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8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8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8"/>
                <w:szCs w:val="18"/>
                <w:color w:val="auto"/>
              </w:rPr>
              <w:t>Not applicable</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8"/>
                <w:szCs w:val="18"/>
                <w:color w:val="auto"/>
              </w:rPr>
              <w:t>COMMON STOCK</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8"/>
                <w:szCs w:val="18"/>
                <w:color w:val="auto"/>
              </w:rPr>
              <w:t>981475106</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8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 filing, FMR LLC,</w:t>
            </w:r>
          </w:p>
        </w:tc>
        <w:tc>
          <w:tcPr>
            <w:tcW w:w="64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is a parent holding company in accordance with</w:t>
            </w:r>
          </w:p>
        </w:tc>
      </w:tr>
      <w:tr>
        <w:trPr>
          <w:trHeight w:val="203"/>
        </w:trPr>
        <w:tc>
          <w:tcPr>
            <w:tcW w:w="66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Section 240.13d-1(b)(1)(ii)(G).   (Note:  See Exhibit A).</w:t>
            </w: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360" w:type="dxa"/>
            <w:vAlign w:val="bottom"/>
            <w:gridSpan w:val="2"/>
          </w:tcPr>
          <w:p>
            <w:pPr>
              <w:spacing w:after="0"/>
              <w:rPr>
                <w:sz w:val="20"/>
                <w:szCs w:val="20"/>
                <w:color w:val="auto"/>
              </w:rPr>
            </w:pPr>
            <w:r>
              <w:rPr>
                <w:rFonts w:ascii="Courier New" w:cs="Courier New" w:eastAsia="Courier New" w:hAnsi="Courier New"/>
                <w:sz w:val="18"/>
                <w:szCs w:val="18"/>
                <w:color w:val="auto"/>
              </w:rPr>
              <w:t>Amount Beneficially Owned:</w:t>
            </w:r>
          </w:p>
        </w:tc>
        <w:tc>
          <w:tcPr>
            <w:tcW w:w="232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3,969,199</w:t>
            </w: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620" w:type="dxa"/>
            <w:vAlign w:val="bottom"/>
          </w:tcPr>
          <w:p>
            <w:pPr>
              <w:spacing w:after="0"/>
              <w:rPr>
                <w:sz w:val="20"/>
                <w:szCs w:val="20"/>
                <w:color w:val="auto"/>
              </w:rPr>
            </w:pPr>
            <w:r>
              <w:rPr>
                <w:rFonts w:ascii="Courier New" w:cs="Courier New" w:eastAsia="Courier New" w:hAnsi="Courier New"/>
                <w:sz w:val="18"/>
                <w:szCs w:val="18"/>
                <w:color w:val="auto"/>
              </w:rPr>
              <w:t>Percent of Class:</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5.869%</w:t>
            </w: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(c)</w:t>
            </w:r>
          </w:p>
        </w:tc>
        <w:tc>
          <w:tcPr>
            <w:tcW w:w="5680" w:type="dxa"/>
            <w:vAlign w:val="bottom"/>
            <w:gridSpan w:val="3"/>
          </w:tcPr>
          <w:p>
            <w:pPr>
              <w:spacing w:after="0"/>
              <w:rPr>
                <w:sz w:val="20"/>
                <w:szCs w:val="20"/>
                <w:color w:val="auto"/>
              </w:rPr>
            </w:pPr>
            <w:r>
              <w:rPr>
                <w:rFonts w:ascii="Courier New" w:cs="Courier New" w:eastAsia="Courier New" w:hAnsi="Courier New"/>
                <w:sz w:val="18"/>
                <w:szCs w:val="18"/>
                <w:color w:val="auto"/>
              </w:rPr>
              <w:t>Number of shares as to which such person has:</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sole power to</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vote or to</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direct the vote:</w:t>
            </w:r>
          </w:p>
        </w:tc>
        <w:tc>
          <w:tcPr>
            <w:tcW w:w="42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514,646</w:t>
            </w: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50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3,969,199</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33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Not applicable.</w:t>
            </w:r>
          </w:p>
        </w:tc>
        <w:tc>
          <w:tcPr>
            <w:tcW w:w="1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3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w:t>
      </w:r>
    </w:p>
    <w:p>
      <w:pPr>
        <w:spacing w:after="0" w:line="6"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sale of, the COMMON STOCK of WORLD FUEL SERVICES CORP. No one other person's interest in the COMMON STOCK of WORLD FUEL SERVICES CORP is more than five percent of the total outstanding COMMON STOCK.</w:t>
      </w:r>
    </w:p>
    <w:p>
      <w:pPr>
        <w:spacing w:after="0" w:line="209"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2018</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line="236" w:lineRule="auto"/>
        <w:rPr>
          <w:sz w:val="20"/>
          <w:szCs w:val="20"/>
          <w:color w:val="auto"/>
        </w:rPr>
      </w:pPr>
      <w:r>
        <w:rPr>
          <w:rFonts w:ascii="Courier New" w:cs="Courier New" w:eastAsia="Courier New" w:hAnsi="Courier New"/>
          <w:sz w:val="18"/>
          <w:szCs w:val="18"/>
          <w:color w:val="auto"/>
        </w:rPr>
        <w:t>Entity ITEM 3 Classification FMR CO., INC * IA STRATEGIC ADVISERS, INC.</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ectPr>
          <w:pgSz w:w="11900" w:h="16838" w:orient="portrait"/>
          <w:cols w:equalWidth="0" w:num="2">
            <w:col w:w="3060" w:space="320"/>
            <w:col w:w="6839"/>
          </w:cols>
          <w:pgMar w:left="240" w:top="344" w:right="1440" w:bottom="0" w:gutter="0" w:footer="0" w:header="0"/>
        </w:sectPr>
      </w:pPr>
    </w:p>
    <w:p>
      <w:pPr>
        <w:spacing w:after="0" w:line="209" w:lineRule="exact"/>
        <w:rPr>
          <w:sz w:val="20"/>
          <w:szCs w:val="20"/>
          <w:color w:val="auto"/>
        </w:rPr>
      </w:pPr>
    </w:p>
    <w:p>
      <w:pPr>
        <w:ind w:right="2519" w:firstLine="8"/>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3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6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13, 2018, agree and consent to the joint filing on their behalf of this Schedule 13G in connection with their beneficial ownership of the COMMON STOCK of WORLD FUEL SERVICES CORP at December 29, 2017.</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December 16, 2015,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419" w:firstLine="8"/>
        <w:spacing w:after="0" w:line="290" w:lineRule="auto"/>
        <w:tabs>
          <w:tab w:leader="none" w:pos="21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power of attorney is incorporated herein by reference to Exhibit 24 to the Schedule 13G filed by FMR LLC on June 10, 2016, accession number:</w:t>
      </w:r>
    </w:p>
    <w:p>
      <w:pPr>
        <w:sectPr>
          <w:pgSz w:w="11900" w:h="16838" w:orient="portrait"/>
          <w:cols w:equalWidth="0" w:num="1">
            <w:col w:w="10219"/>
          </w:cols>
          <w:pgMar w:left="240" w:top="344"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0000315066-16-005935</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0"/>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2019-12-16T03:44:45Z</dcterms:created>
  <dcterms:modified xsi:type="dcterms:W3CDTF">2019-12-16T03:44:45Z</dcterms:modified>
</cp:coreProperties>
</file>