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64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645785"/>
                    </a:xfrm>
                    <a:prstGeom prst="rect">
                      <a:avLst/>
                    </a:prstGeom>
                    <a:noFill/>
                  </pic:spPr>
                </pic:pic>
              </a:graphicData>
            </a:graphic>
          </wp:anchor>
        </w:drawing>
      </w:r>
    </w:p>
    <w:p>
      <w:pPr>
        <w:spacing w:after="0" w:line="83"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KASBAR MICHAEL J</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00"/>
        <w:spacing w:after="0" w:line="359" w:lineRule="auto"/>
        <w:rPr>
          <w:sz w:val="20"/>
          <w:szCs w:val="20"/>
          <w:color w:val="auto"/>
        </w:rPr>
      </w:pPr>
      <w:r>
        <w:rPr>
          <w:rFonts w:ascii="Arial" w:cs="Arial" w:eastAsia="Arial" w:hAnsi="Arial"/>
          <w:sz w:val="16"/>
          <w:szCs w:val="16"/>
          <w:color w:val="0000FF"/>
        </w:rPr>
        <w:t>C/O WORLD FUEL SERVICES CORPORATION 9800 N.W. 41ST STREET</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20" w:type="dxa"/>
            <w:vAlign w:val="bottom"/>
          </w:tcPr>
          <w:p>
            <w:pPr>
              <w:ind w:left="420"/>
              <w:spacing w:after="0"/>
              <w:rPr>
                <w:sz w:val="20"/>
                <w:szCs w:val="20"/>
                <w:color w:val="auto"/>
              </w:rPr>
            </w:pPr>
            <w:r>
              <w:rPr>
                <w:rFonts w:ascii="Arial" w:cs="Arial" w:eastAsia="Arial" w:hAnsi="Arial"/>
                <w:sz w:val="16"/>
                <w:szCs w:val="16"/>
                <w:color w:val="0000FF"/>
              </w:rPr>
              <w:t>33178</w:t>
            </w:r>
          </w:p>
        </w:tc>
      </w:tr>
      <w:tr>
        <w:trPr>
          <w:trHeight w:val="146"/>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3820" w:type="dxa"/>
            <w:vAlign w:val="bottom"/>
            <w:gridSpan w:val="4"/>
          </w:tcPr>
          <w:p>
            <w:pPr>
              <w:ind w:left="60"/>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WORLD FUEL SERVICES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INT</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920" w:type="dxa"/>
            <w:vAlign w:val="bottom"/>
            <w:gridSpan w:val="3"/>
          </w:tcPr>
          <w:p>
            <w:pPr>
              <w:ind w:left="60"/>
              <w:spacing w:after="0"/>
              <w:rPr>
                <w:sz w:val="20"/>
                <w:szCs w:val="20"/>
                <w:color w:val="auto"/>
              </w:rPr>
            </w:pPr>
            <w:r>
              <w:rPr>
                <w:rFonts w:ascii="Arial" w:cs="Arial" w:eastAsia="Arial" w:hAnsi="Arial"/>
                <w:sz w:val="16"/>
                <w:szCs w:val="16"/>
                <w:color w:val="0000FF"/>
              </w:rPr>
              <w:t>03/15/2020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160"/>
              <w:spacing w:after="0"/>
              <w:rPr>
                <w:sz w:val="20"/>
                <w:szCs w:val="20"/>
                <w:color w:val="auto"/>
              </w:rPr>
            </w:pPr>
            <w:r>
              <w:rPr>
                <w:rFonts w:ascii="Arial" w:cs="Arial" w:eastAsia="Arial" w:hAnsi="Arial"/>
                <w:sz w:val="16"/>
                <w:szCs w:val="16"/>
                <w:color w:val="0000FF"/>
              </w:rPr>
              <w:t>Chairman, CEO and President</w:t>
            </w: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0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gridSpan w:val="2"/>
          </w:tcPr>
          <w:p>
            <w:pPr>
              <w:jc w:val="center"/>
              <w:ind w:left="552"/>
              <w:spacing w:after="0"/>
              <w:rPr>
                <w:sz w:val="20"/>
                <w:szCs w:val="20"/>
                <w:color w:val="auto"/>
              </w:rPr>
            </w:pPr>
            <w:r>
              <w:rPr>
                <w:rFonts w:ascii="Arial" w:cs="Arial" w:eastAsia="Arial" w:hAnsi="Arial"/>
                <w:sz w:val="11"/>
                <w:szCs w:val="11"/>
                <w:b w:val="1"/>
                <w:bCs w:val="1"/>
                <w:color w:val="auto"/>
              </w:rPr>
              <w:t>(Month/Day/Year)</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4"/>
              </w:rPr>
              <w:t>03/15/2020</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0000FF"/>
                <w:w w:val="85"/>
              </w:rPr>
              <w:t>44,690</w:t>
            </w:r>
            <w:r>
              <w:rPr>
                <w:rFonts w:ascii="Arial" w:cs="Arial" w:eastAsia="Arial" w:hAnsi="Arial"/>
                <w:sz w:val="20"/>
                <w:szCs w:val="20"/>
                <w:color w:val="008000"/>
                <w:w w:val="85"/>
                <w:vertAlign w:val="superscript"/>
              </w:rPr>
              <w:t>(1)</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786,061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4"/>
              </w:rPr>
              <w:t>03/15/2020</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0000FF"/>
                <w:w w:val="85"/>
              </w:rPr>
              <w:t>17,586</w:t>
            </w:r>
            <w:r>
              <w:rPr>
                <w:rFonts w:ascii="Arial" w:cs="Arial" w:eastAsia="Arial" w:hAnsi="Arial"/>
                <w:sz w:val="20"/>
                <w:szCs w:val="20"/>
                <w:color w:val="008000"/>
                <w:w w:val="85"/>
                <w:vertAlign w:val="superscript"/>
              </w:rPr>
              <w:t>(2)</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22.67</w:t>
            </w:r>
            <w:r>
              <w:rPr>
                <w:rFonts w:ascii="Arial" w:cs="Arial" w:eastAsia="Arial" w:hAnsi="Arial"/>
                <w:sz w:val="20"/>
                <w:szCs w:val="20"/>
                <w:color w:val="008000"/>
                <w:w w:val="88"/>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768,475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4"/>
              </w:rPr>
              <w:t>03/15/2020</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0000FF"/>
                <w:w w:val="85"/>
              </w:rPr>
              <w:t>8,527</w:t>
            </w:r>
            <w:r>
              <w:rPr>
                <w:rFonts w:ascii="Arial" w:cs="Arial" w:eastAsia="Arial" w:hAnsi="Arial"/>
                <w:sz w:val="20"/>
                <w:szCs w:val="20"/>
                <w:color w:val="008000"/>
                <w:w w:val="85"/>
                <w:vertAlign w:val="superscript"/>
              </w:rPr>
              <w:t>(4)</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22.67</w:t>
            </w:r>
            <w:r>
              <w:rPr>
                <w:rFonts w:ascii="Arial" w:cs="Arial" w:eastAsia="Arial" w:hAnsi="Arial"/>
                <w:sz w:val="20"/>
                <w:szCs w:val="20"/>
                <w:color w:val="008000"/>
                <w:w w:val="88"/>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759,948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52"/>
              <w:spacing w:after="0"/>
              <w:rPr>
                <w:sz w:val="20"/>
                <w:szCs w:val="20"/>
                <w:color w:val="auto"/>
              </w:rPr>
            </w:pPr>
            <w:r>
              <w:rPr>
                <w:rFonts w:ascii="Arial" w:cs="Arial" w:eastAsia="Arial" w:hAnsi="Arial"/>
                <w:sz w:val="16"/>
                <w:szCs w:val="16"/>
                <w:color w:val="0000FF"/>
                <w:w w:val="94"/>
              </w:rPr>
              <w:t>03/15/2020</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33"/>
              <w:spacing w:after="0"/>
              <w:rPr>
                <w:sz w:val="20"/>
                <w:szCs w:val="20"/>
                <w:color w:val="auto"/>
              </w:rPr>
            </w:pPr>
            <w:r>
              <w:rPr>
                <w:rFonts w:ascii="Arial" w:cs="Arial" w:eastAsia="Arial" w:hAnsi="Arial"/>
                <w:sz w:val="16"/>
                <w:szCs w:val="16"/>
                <w:color w:val="0000FF"/>
                <w:w w:val="85"/>
              </w:rPr>
              <w:t>80,815</w:t>
            </w:r>
            <w:r>
              <w:rPr>
                <w:rFonts w:ascii="Arial" w:cs="Arial" w:eastAsia="Arial" w:hAnsi="Arial"/>
                <w:sz w:val="20"/>
                <w:szCs w:val="20"/>
                <w:color w:val="008000"/>
                <w:w w:val="85"/>
                <w:vertAlign w:val="superscript"/>
              </w:rPr>
              <w:t>(5)</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840,763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0000FF"/>
              </w:rPr>
              <w:t>Common Stock</w:t>
            </w:r>
          </w:p>
        </w:tc>
        <w:tc>
          <w:tcPr>
            <w:tcW w:w="10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1,340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6"/>
                <w:szCs w:val="16"/>
                <w:color w:val="0000FF"/>
              </w:rPr>
              <w:t>I</w:t>
            </w:r>
          </w:p>
        </w:tc>
        <w:tc>
          <w:tcPr>
            <w:tcW w:w="820" w:type="dxa"/>
            <w:vAlign w:val="bottom"/>
            <w:gridSpan w:val="3"/>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6"/>
                <w:szCs w:val="16"/>
                <w:color w:val="0000FF"/>
              </w:rPr>
              <w:t>Spouse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center"/>
              <w:ind w:right="20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00" w:type="dxa"/>
            <w:vAlign w:val="bottom"/>
            <w:gridSpan w:val="10"/>
          </w:tcPr>
          <w:p>
            <w:pPr>
              <w:jc w:val="center"/>
              <w:ind w:left="35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tcPr>
          <w:p>
            <w:pPr>
              <w:ind w:left="60"/>
              <w:spacing w:after="0" w:line="139" w:lineRule="exact"/>
              <w:rPr>
                <w:sz w:val="20"/>
                <w:szCs w:val="20"/>
                <w:color w:val="auto"/>
              </w:rPr>
            </w:pPr>
            <w:r>
              <w:rPr>
                <w:rFonts w:ascii="Arial" w:cs="Arial" w:eastAsia="Arial" w:hAnsi="Arial"/>
                <w:sz w:val="13"/>
                <w:szCs w:val="13"/>
                <w:color w:val="0000FF"/>
              </w:rPr>
              <w:t>Settled</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22.67</w:t>
            </w:r>
            <w:r>
              <w:rPr>
                <w:rFonts w:ascii="Arial" w:cs="Arial" w:eastAsia="Arial" w:hAnsi="Arial"/>
                <w:sz w:val="20"/>
                <w:szCs w:val="20"/>
                <w:color w:val="008000"/>
                <w:vertAlign w:val="superscript"/>
              </w:rPr>
              <w:t>(3)</w:t>
            </w: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(6)</w:t>
            </w:r>
          </w:p>
        </w:tc>
        <w:tc>
          <w:tcPr>
            <w:tcW w:w="7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spacing w:after="0"/>
              <w:rPr>
                <w:sz w:val="20"/>
                <w:szCs w:val="20"/>
                <w:color w:val="auto"/>
              </w:rPr>
            </w:pPr>
            <w:r>
              <w:rPr>
                <w:rFonts w:ascii="Arial" w:cs="Arial" w:eastAsia="Arial" w:hAnsi="Arial"/>
                <w:sz w:val="16"/>
                <w:szCs w:val="16"/>
                <w:color w:val="0000FF"/>
              </w:rPr>
              <w:t>140,449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20" w:type="dxa"/>
            <w:vAlign w:val="bottom"/>
          </w:tcPr>
          <w:p>
            <w:pPr>
              <w:jc w:val="right"/>
              <w:ind w:right="142"/>
              <w:spacing w:after="0" w:line="123" w:lineRule="exact"/>
              <w:rPr>
                <w:sz w:val="20"/>
                <w:szCs w:val="20"/>
                <w:color w:val="auto"/>
              </w:rPr>
            </w:pPr>
            <w:r>
              <w:rPr>
                <w:rFonts w:ascii="Arial" w:cs="Arial" w:eastAsia="Arial" w:hAnsi="Arial"/>
                <w:sz w:val="13"/>
                <w:szCs w:val="13"/>
                <w:color w:val="0000FF"/>
              </w:rPr>
              <w:t>03/15/2020</w:t>
            </w:r>
          </w:p>
        </w:tc>
        <w:tc>
          <w:tcPr>
            <w:tcW w:w="1100" w:type="dxa"/>
            <w:vAlign w:val="bottom"/>
          </w:tcPr>
          <w:p>
            <w:pPr>
              <w:spacing w:after="0"/>
              <w:rPr>
                <w:sz w:val="10"/>
                <w:szCs w:val="10"/>
                <w:color w:val="auto"/>
              </w:rPr>
            </w:pP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3"/>
                <w:szCs w:val="13"/>
                <w:color w:val="0000FF"/>
              </w:rPr>
              <w:t>140,449</w:t>
            </w: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3"/>
                <w:szCs w:val="13"/>
                <w:color w:val="0000FF"/>
              </w:rPr>
              <w:t>03/15/2025</w:t>
            </w:r>
          </w:p>
        </w:tc>
        <w:tc>
          <w:tcPr>
            <w:tcW w:w="6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20"/>
              <w:spacing w:after="0" w:line="123" w:lineRule="exact"/>
              <w:rPr>
                <w:sz w:val="20"/>
                <w:szCs w:val="20"/>
                <w:color w:val="auto"/>
              </w:rPr>
            </w:pPr>
            <w:r>
              <w:rPr>
                <w:rFonts w:ascii="Arial" w:cs="Arial" w:eastAsia="Arial" w:hAnsi="Arial"/>
                <w:sz w:val="13"/>
                <w:szCs w:val="13"/>
                <w:color w:val="0000FF"/>
              </w:rPr>
              <w:t>140,449</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w w:val="96"/>
              </w:rPr>
              <w:t>Appreciation</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an award of shares of common stock earned by the reporting person based on the level of performance criteria satisfied under certain performance-based restricted stock units ("PRSUs").</w:t>
      </w:r>
    </w:p>
    <w:p>
      <w:pPr>
        <w:spacing w:after="0" w:line="50" w:lineRule="exact"/>
        <w:rPr>
          <w:rFonts w:ascii="Arial" w:cs="Arial" w:eastAsia="Arial" w:hAnsi="Arial"/>
          <w:sz w:val="12"/>
          <w:szCs w:val="12"/>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issuer withheld the reported shares to cover the reporting person's tax liability associated with the shares of common stock received in connection with the vesting of the PRSUs.</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shown is the closing price of the issuer's common stock on the NYSE on March 16, 2020.</w:t>
      </w:r>
    </w:p>
    <w:p>
      <w:pPr>
        <w:spacing w:after="0" w:line="39" w:lineRule="exact"/>
        <w:rPr>
          <w:rFonts w:ascii="Arial" w:cs="Arial" w:eastAsia="Arial" w:hAnsi="Arial"/>
          <w:sz w:val="13"/>
          <w:szCs w:val="13"/>
          <w:color w:val="008000"/>
        </w:rPr>
      </w:pPr>
    </w:p>
    <w:p>
      <w:pPr>
        <w:ind w:left="40" w:right="28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 aggregate of 21,668 restricted stock units held by the reporting person vested and settled on March 15, 2020. The issuer withheld the reported shares to cover the reporting person's tax liability associated with these restricted stock units.</w:t>
      </w:r>
    </w:p>
    <w:p>
      <w:pPr>
        <w:spacing w:after="0" w:line="29" w:lineRule="exact"/>
        <w:rPr>
          <w:rFonts w:ascii="Arial" w:cs="Arial" w:eastAsia="Arial" w:hAnsi="Arial"/>
          <w:sz w:val="13"/>
          <w:szCs w:val="13"/>
          <w:color w:val="008000"/>
        </w:rPr>
      </w:pPr>
    </w:p>
    <w:p>
      <w:pPr>
        <w:ind w:left="40" w:right="200" w:hanging="2"/>
        <w:spacing w:after="0" w:line="239"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earned by the reporting person based on the level of performance criteria met for fiscal year 2019. These restricted stock units will vest in three equal annual installments beginning on March 15, 2021.</w:t>
      </w:r>
    </w:p>
    <w:p>
      <w:pPr>
        <w:spacing w:after="0" w:line="29"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stock-settled stock appreciation rights will vest on March 15, 2023.</w:t>
      </w:r>
    </w:p>
    <w:p>
      <w:pPr>
        <w:sectPr>
          <w:pgSz w:w="11900" w:h="16838" w:orient="portrait"/>
          <w:cols w:equalWidth="0" w:num="1">
            <w:col w:w="11080"/>
          </w:cols>
          <w:pgMar w:left="460" w:top="219"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Amy A. Quintana,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0</wp:posOffset>
            </wp:positionV>
            <wp:extent cx="1322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15"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-10795</wp:posOffset>
            </wp:positionV>
            <wp:extent cx="271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1145" cy="8255"/>
                    </a:xfrm>
                    <a:prstGeom prst="rect">
                      <a:avLst/>
                    </a:prstGeom>
                    <a:noFill/>
                  </pic:spPr>
                </pic:pic>
              </a:graphicData>
            </a:graphic>
          </wp:anchor>
        </w:drawing>
      </w:r>
    </w:p>
    <w:p>
      <w:pPr>
        <w:spacing w:after="0" w:line="5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0000FF"/>
        </w:rPr>
        <w:t>03/17/2020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4"/>
          <w:szCs w:val="24"/>
          <w:color w:val="auto"/>
        </w:rPr>
      </w:pPr>
    </w:p>
    <w:p>
      <w:pPr>
        <w:sectPr>
          <w:pgSz w:w="11900" w:h="16838" w:orient="portrait"/>
          <w:cols w:equalWidth="0" w:num="2">
            <w:col w:w="8680" w:space="12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2020-03-17T19:58:52Z</dcterms:created>
  <dcterms:modified xsi:type="dcterms:W3CDTF">2020-03-17T19:58:52Z</dcterms:modified>
</cp:coreProperties>
</file>