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_________________________</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66"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_________________________</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Date of Report (Date of earliest event reported): November 30, 2018</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WORLD FUEL SERVICES CORPORATION</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400"/>
          </w:cols>
          <w:pgMar w:left="240" w:top="477" w:right="259" w:bottom="1440" w:gutter="0" w:footer="0" w:header="0"/>
        </w:sectPr>
      </w:pPr>
    </w:p>
    <w:p>
      <w:pPr>
        <w:spacing w:after="0" w:line="385" w:lineRule="exact"/>
        <w:rPr>
          <w:sz w:val="24"/>
          <w:szCs w:val="24"/>
          <w:color w:val="auto"/>
        </w:rPr>
      </w:pPr>
    </w:p>
    <w:p>
      <w:pPr>
        <w:jc w:val="center"/>
        <w:ind w:left="280"/>
        <w:spacing w:after="0"/>
        <w:rPr>
          <w:sz w:val="20"/>
          <w:szCs w:val="20"/>
          <w:color w:val="auto"/>
        </w:rPr>
      </w:pPr>
      <w:r>
        <w:rPr>
          <w:rFonts w:ascii="Arial" w:cs="Arial" w:eastAsia="Arial" w:hAnsi="Arial"/>
          <w:sz w:val="22"/>
          <w:szCs w:val="22"/>
          <w:b w:val="1"/>
          <w:bCs w:val="1"/>
          <w:color w:val="auto"/>
        </w:rPr>
        <w:t>Florida</w:t>
      </w:r>
    </w:p>
    <w:p>
      <w:pPr>
        <w:spacing w:after="0" w:line="14" w:lineRule="exact"/>
        <w:rPr>
          <w:sz w:val="24"/>
          <w:szCs w:val="24"/>
          <w:color w:val="auto"/>
        </w:rPr>
      </w:pPr>
    </w:p>
    <w:p>
      <w:pPr>
        <w:jc w:val="center"/>
        <w:ind w:left="280"/>
        <w:spacing w:after="0"/>
        <w:rPr>
          <w:sz w:val="20"/>
          <w:szCs w:val="20"/>
          <w:color w:val="auto"/>
        </w:rPr>
      </w:pPr>
      <w:r>
        <w:rPr>
          <w:rFonts w:ascii="Arial" w:cs="Arial" w:eastAsia="Arial" w:hAnsi="Arial"/>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1-9533</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59-2459427</w:t>
      </w:r>
    </w:p>
    <w:p>
      <w:pPr>
        <w:spacing w:after="0" w:line="14" w:lineRule="exact"/>
        <w:rPr>
          <w:sz w:val="24"/>
          <w:szCs w:val="24"/>
          <w:color w:val="auto"/>
        </w:rPr>
      </w:pPr>
    </w:p>
    <w:p>
      <w:pPr>
        <w:jc w:val="center"/>
        <w:ind w:right="60"/>
        <w:spacing w:after="0"/>
        <w:rPr>
          <w:sz w:val="20"/>
          <w:szCs w:val="20"/>
          <w:color w:val="auto"/>
        </w:rPr>
      </w:pPr>
      <w:r>
        <w:rPr>
          <w:rFonts w:ascii="Arial" w:cs="Arial" w:eastAsia="Arial" w:hAnsi="Arial"/>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4560" w:space="720"/>
            <w:col w:w="2380" w:space="540"/>
            <w:col w:w="3200"/>
          </w:cols>
          <w:pgMar w:left="240" w:top="477" w:right="259" w:bottom="1440" w:gutter="0" w:footer="0" w:header="0"/>
          <w:type w:val="continuous"/>
        </w:sectPr>
      </w:pPr>
    </w:p>
    <w:p>
      <w:pPr>
        <w:spacing w:after="0" w:line="341" w:lineRule="exact"/>
        <w:rPr>
          <w:sz w:val="24"/>
          <w:szCs w:val="24"/>
          <w:color w:val="auto"/>
        </w:rPr>
      </w:pPr>
    </w:p>
    <w:p>
      <w:pPr>
        <w:jc w:val="center"/>
        <w:ind w:right="440"/>
        <w:spacing w:after="0"/>
        <w:rPr>
          <w:sz w:val="20"/>
          <w:szCs w:val="20"/>
          <w:color w:val="auto"/>
        </w:rPr>
      </w:pPr>
      <w:r>
        <w:rPr>
          <w:rFonts w:ascii="Arial" w:cs="Arial" w:eastAsia="Arial" w:hAnsi="Arial"/>
          <w:sz w:val="22"/>
          <w:szCs w:val="22"/>
          <w:b w:val="1"/>
          <w:bCs w:val="1"/>
          <w:color w:val="auto"/>
        </w:rPr>
        <w:t>9800 N.W. 41</w:t>
      </w:r>
      <w:r>
        <w:rPr>
          <w:rFonts w:ascii="Arial" w:cs="Arial" w:eastAsia="Arial" w:hAnsi="Arial"/>
          <w:sz w:val="14"/>
          <w:szCs w:val="14"/>
          <w:b w:val="1"/>
          <w:bCs w:val="1"/>
          <w:color w:val="auto"/>
        </w:rPr>
        <w:t>st</w:t>
      </w:r>
      <w:r>
        <w:rPr>
          <w:rFonts w:ascii="Arial" w:cs="Arial" w:eastAsia="Arial" w:hAnsi="Arial"/>
          <w:sz w:val="22"/>
          <w:szCs w:val="22"/>
          <w:b w:val="1"/>
          <w:bCs w:val="1"/>
          <w:color w:val="auto"/>
        </w:rPr>
        <w:t xml:space="preserve"> Street</w:t>
      </w:r>
    </w:p>
    <w:p>
      <w:pPr>
        <w:spacing w:after="0" w:line="4" w:lineRule="exact"/>
        <w:rPr>
          <w:sz w:val="24"/>
          <w:szCs w:val="24"/>
          <w:color w:val="auto"/>
        </w:rPr>
      </w:pPr>
    </w:p>
    <w:p>
      <w:pPr>
        <w:jc w:val="center"/>
        <w:ind w:right="440"/>
        <w:spacing w:after="0"/>
        <w:rPr>
          <w:sz w:val="20"/>
          <w:szCs w:val="20"/>
          <w:color w:val="auto"/>
        </w:rPr>
      </w:pPr>
      <w:r>
        <w:rPr>
          <w:rFonts w:ascii="Arial" w:cs="Arial" w:eastAsia="Arial" w:hAnsi="Arial"/>
          <w:sz w:val="22"/>
          <w:szCs w:val="22"/>
          <w:b w:val="1"/>
          <w:bCs w:val="1"/>
          <w:color w:val="auto"/>
        </w:rPr>
        <w:t>Miami, FL</w:t>
      </w:r>
    </w:p>
    <w:p>
      <w:pPr>
        <w:jc w:val="center"/>
        <w:ind w:right="440"/>
        <w:spacing w:after="0"/>
        <w:rPr>
          <w:sz w:val="20"/>
          <w:szCs w:val="20"/>
          <w:color w:val="auto"/>
        </w:rPr>
      </w:pPr>
      <w:r>
        <w:rPr>
          <w:rFonts w:ascii="Arial" w:cs="Arial" w:eastAsia="Arial" w:hAnsi="Arial"/>
          <w:sz w:val="19"/>
          <w:szCs w:val="19"/>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4" w:lineRule="exact"/>
        <w:rPr>
          <w:sz w:val="24"/>
          <w:szCs w:val="24"/>
          <w:color w:val="auto"/>
        </w:rPr>
      </w:pPr>
    </w:p>
    <w:p>
      <w:pPr>
        <w:jc w:val="center"/>
        <w:ind w:right="1160"/>
        <w:spacing w:after="0"/>
        <w:rPr>
          <w:sz w:val="20"/>
          <w:szCs w:val="20"/>
          <w:color w:val="auto"/>
        </w:rPr>
      </w:pPr>
      <w:r>
        <w:rPr>
          <w:rFonts w:ascii="Arial" w:cs="Arial" w:eastAsia="Arial" w:hAnsi="Arial"/>
          <w:sz w:val="22"/>
          <w:szCs w:val="22"/>
          <w:b w:val="1"/>
          <w:bCs w:val="1"/>
          <w:color w:val="auto"/>
        </w:rPr>
        <w:t>33178</w:t>
      </w:r>
    </w:p>
    <w:p>
      <w:pPr>
        <w:spacing w:after="0" w:line="14" w:lineRule="exact"/>
        <w:rPr>
          <w:sz w:val="24"/>
          <w:szCs w:val="24"/>
          <w:color w:val="auto"/>
        </w:rPr>
      </w:pPr>
    </w:p>
    <w:p>
      <w:pPr>
        <w:jc w:val="center"/>
        <w:ind w:right="1160"/>
        <w:spacing w:after="0"/>
        <w:rPr>
          <w:sz w:val="20"/>
          <w:szCs w:val="20"/>
          <w:color w:val="auto"/>
        </w:rPr>
      </w:pPr>
      <w:r>
        <w:rPr>
          <w:rFonts w:ascii="Arial" w:cs="Arial" w:eastAsia="Arial" w:hAnsi="Arial"/>
          <w:sz w:val="19"/>
          <w:szCs w:val="19"/>
          <w:color w:val="auto"/>
        </w:rPr>
        <w:t>(Zip Code)</w:t>
      </w:r>
    </w:p>
    <w:p>
      <w:pPr>
        <w:spacing w:after="0" w:line="200" w:lineRule="exact"/>
        <w:rPr>
          <w:sz w:val="24"/>
          <w:szCs w:val="24"/>
          <w:color w:val="auto"/>
        </w:rPr>
      </w:pPr>
    </w:p>
    <w:p>
      <w:pPr>
        <w:sectPr>
          <w:pgSz w:w="11900" w:h="16838" w:orient="portrait"/>
          <w:cols w:equalWidth="0" w:num="2">
            <w:col w:w="8580" w:space="720"/>
            <w:col w:w="2100"/>
          </w:cols>
          <w:pgMar w:left="240" w:top="477" w:right="259" w:bottom="1440" w:gutter="0" w:footer="0" w:header="0"/>
          <w:type w:val="continuous"/>
        </w:sectPr>
      </w:pPr>
    </w:p>
    <w:p>
      <w:pPr>
        <w:spacing w:after="0" w:line="84" w:lineRule="exact"/>
        <w:rPr>
          <w:sz w:val="24"/>
          <w:szCs w:val="24"/>
          <w:color w:val="auto"/>
        </w:rPr>
      </w:pPr>
    </w:p>
    <w:p>
      <w:pPr>
        <w:ind w:left="2920"/>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(305) 428-8000</w:t>
      </w:r>
    </w:p>
    <w:p>
      <w:pPr>
        <w:spacing w:after="0" w:line="26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76"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17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400"/>
          </w:cols>
          <w:pgMar w:left="240" w:top="477" w:right="25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World Fuel Services Corporation announced today that its board of directors has declared a quarterly cash dividend of $0.06 per share payable on January 7, 2019 to shareholders of record on December 14, 2018. A copy of the press release is attached hereto as Exhibit 99.1.</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68"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66" w:lineRule="exact"/>
        <w:rPr>
          <w:sz w:val="20"/>
          <w:szCs w:val="20"/>
          <w:color w:val="auto"/>
        </w:rPr>
      </w:pPr>
    </w:p>
    <w:tbl>
      <w:tblPr>
        <w:tblLayout w:type="fixed"/>
        <w:tblInd w:w="600" w:type="dxa"/>
        <w:tblCellMar>
          <w:top w:w="0" w:type="dxa"/>
          <w:left w:w="0" w:type="dxa"/>
          <w:bottom w:w="0" w:type="dxa"/>
          <w:right w:w="0" w:type="dxa"/>
        </w:tblCellMar>
      </w:tblPr>
      <w:tr>
        <w:trPr>
          <w:trHeight w:val="275"/>
        </w:trPr>
        <w:tc>
          <w:tcPr>
            <w:tcW w:w="2280" w:type="dxa"/>
            <w:vAlign w:val="bottom"/>
            <w:gridSpan w:val="2"/>
          </w:tcPr>
          <w:p>
            <w:pPr>
              <w:jc w:val="right"/>
              <w:ind w:right="1040"/>
              <w:spacing w:after="0"/>
              <w:rPr>
                <w:sz w:val="20"/>
                <w:szCs w:val="20"/>
                <w:color w:val="auto"/>
              </w:rPr>
            </w:pPr>
            <w:r>
              <w:rPr>
                <w:rFonts w:ascii="Arial" w:cs="Arial" w:eastAsia="Arial" w:hAnsi="Arial"/>
                <w:sz w:val="22"/>
                <w:szCs w:val="22"/>
                <w:color w:val="auto"/>
              </w:rPr>
              <w:t>(c)  Exhibits</w:t>
            </w:r>
          </w:p>
        </w:tc>
        <w:tc>
          <w:tcPr>
            <w:tcW w:w="100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355"/>
        </w:trPr>
        <w:tc>
          <w:tcPr>
            <w:tcW w:w="1020" w:type="dxa"/>
            <w:vAlign w:val="bottom"/>
          </w:tcPr>
          <w:p>
            <w:pPr>
              <w:spacing w:after="0"/>
              <w:rPr>
                <w:sz w:val="20"/>
                <w:szCs w:val="20"/>
                <w:color w:val="auto"/>
              </w:rPr>
            </w:pPr>
            <w:r>
              <w:rPr>
                <w:rFonts w:ascii="Arial" w:cs="Arial" w:eastAsia="Arial" w:hAnsi="Arial"/>
                <w:sz w:val="22"/>
                <w:szCs w:val="22"/>
                <w:color w:val="auto"/>
                <w:w w:val="93"/>
              </w:rPr>
              <w:t>Exhibit No.</w:t>
            </w:r>
          </w:p>
        </w:tc>
        <w:tc>
          <w:tcPr>
            <w:tcW w:w="126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77"/>
        </w:trPr>
        <w:tc>
          <w:tcPr>
            <w:tcW w:w="2280" w:type="dxa"/>
            <w:vAlign w:val="bottom"/>
            <w:gridSpan w:val="2"/>
          </w:tcPr>
          <w:p>
            <w:pPr>
              <w:jc w:val="right"/>
              <w:ind w:right="980"/>
              <w:spacing w:after="0"/>
              <w:rPr>
                <w:sz w:val="20"/>
                <w:szCs w:val="20"/>
                <w:color w:val="auto"/>
              </w:rPr>
            </w:pPr>
            <w:r>
              <w:rPr>
                <w:rFonts w:ascii="Arial" w:cs="Arial" w:eastAsia="Arial" w:hAnsi="Arial"/>
                <w:sz w:val="22"/>
                <w:szCs w:val="22"/>
                <w:color w:val="auto"/>
              </w:rPr>
              <w:t>99.1</w:t>
            </w:r>
          </w:p>
        </w:tc>
        <w:tc>
          <w:tcPr>
            <w:tcW w:w="3580" w:type="dxa"/>
            <w:vAlign w:val="bottom"/>
            <w:tcBorders>
              <w:bottom w:val="single" w:sz="8" w:color="0000FF"/>
            </w:tcBorders>
            <w:gridSpan w:val="2"/>
          </w:tcPr>
          <w:p>
            <w:pPr>
              <w:spacing w:after="0"/>
              <w:rPr>
                <w:rFonts w:ascii="Arial" w:cs="Arial" w:eastAsia="Arial" w:hAnsi="Arial"/>
                <w:sz w:val="22"/>
                <w:szCs w:val="22"/>
                <w:color w:val="0000FF"/>
                <w:w w:val="85"/>
              </w:rPr>
            </w:pPr>
            <w:hyperlink w:anchor="page5">
              <w:r>
                <w:rPr>
                  <w:rFonts w:ascii="Arial" w:cs="Arial" w:eastAsia="Arial" w:hAnsi="Arial"/>
                  <w:sz w:val="22"/>
                  <w:szCs w:val="22"/>
                  <w:color w:val="0000FF"/>
                  <w:w w:val="85"/>
                </w:rPr>
                <w:t>Press Release, dated November 30, 2018.</w:t>
              </w:r>
            </w:hyperlink>
          </w:p>
        </w:tc>
      </w:tr>
    </w:tbl>
    <w:p>
      <w:pPr>
        <w:sectPr>
          <w:pgSz w:w="11900" w:h="16838" w:orient="portrait"/>
          <w:cols w:equalWidth="0" w:num="1">
            <w:col w:w="11420"/>
          </w:cols>
          <w:pgMar w:left="240" w:top="62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22"/>
          <w:szCs w:val="22"/>
          <w:color w:val="auto"/>
        </w:rPr>
        <w:t>Date: November 30, 2018</w:t>
      </w:r>
      <w:r>
        <w:rPr>
          <w:sz w:val="20"/>
          <w:szCs w:val="20"/>
          <w:color w:val="auto"/>
        </w:rPr>
        <w:tab/>
      </w:r>
      <w:r>
        <w:rPr>
          <w:rFonts w:ascii="Arial" w:cs="Arial" w:eastAsia="Arial" w:hAnsi="Arial"/>
          <w:sz w:val="19"/>
          <w:szCs w:val="19"/>
          <w:b w:val="1"/>
          <w:bCs w:val="1"/>
          <w:color w:val="auto"/>
        </w:rPr>
        <w:t>World Fuel Services Corporation</w:t>
      </w:r>
    </w:p>
    <w:p>
      <w:pPr>
        <w:spacing w:after="0" w:line="320"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161925</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5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R. Alexander Lake</w:t>
      </w:r>
    </w:p>
    <w:p>
      <w:pPr>
        <w:spacing w:after="0" w:line="260" w:lineRule="exact"/>
        <w:rPr>
          <w:sz w:val="20"/>
          <w:szCs w:val="20"/>
          <w:color w:val="auto"/>
        </w:rPr>
      </w:pPr>
    </w:p>
    <w:p>
      <w:pPr>
        <w:ind w:left="5980"/>
        <w:spacing w:after="0"/>
        <w:rPr>
          <w:sz w:val="20"/>
          <w:szCs w:val="20"/>
          <w:color w:val="auto"/>
        </w:rPr>
      </w:pPr>
      <w:r>
        <w:rPr>
          <w:rFonts w:ascii="Arial" w:cs="Arial" w:eastAsia="Arial" w:hAnsi="Arial"/>
          <w:sz w:val="19"/>
          <w:szCs w:val="19"/>
          <w:color w:val="auto"/>
        </w:rPr>
        <w:t>Executive Vice President, Chief Legal Officer and Corporate</w:t>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00"/>
          </w:cols>
          <w:pgMar w:left="240" w:top="369" w:right="259" w:bottom="1440" w:gutter="0" w:footer="0" w:header="0"/>
        </w:sectPr>
      </w:pPr>
    </w:p>
    <w:bookmarkStart w:id="3" w:name="page4"/>
    <w:bookmarkEnd w:id="3"/>
    <w:tbl>
      <w:tblPr>
        <w:tblLayout w:type="fixed"/>
        <w:tblInd w:w="126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80" w:type="dxa"/>
            <w:vAlign w:val="bottom"/>
            <w:gridSpan w:val="2"/>
          </w:tcPr>
          <w:p>
            <w:pPr>
              <w:ind w:left="720"/>
              <w:spacing w:after="0"/>
              <w:rPr>
                <w:sz w:val="20"/>
                <w:szCs w:val="20"/>
                <w:color w:val="auto"/>
              </w:rPr>
            </w:pPr>
            <w:r>
              <w:rPr>
                <w:rFonts w:ascii="Arial" w:cs="Arial" w:eastAsia="Arial" w:hAnsi="Arial"/>
                <w:sz w:val="18"/>
                <w:szCs w:val="18"/>
                <w:color w:val="auto"/>
              </w:rPr>
              <w:t>EXHIBIT INDEX</w:t>
            </w:r>
          </w:p>
        </w:tc>
      </w:tr>
      <w:tr>
        <w:trPr>
          <w:trHeight w:val="581"/>
        </w:trPr>
        <w:tc>
          <w:tcPr>
            <w:tcW w:w="1880" w:type="dxa"/>
            <w:vAlign w:val="bottom"/>
            <w:gridSpan w:val="2"/>
          </w:tcPr>
          <w:p>
            <w:pPr>
              <w:jc w:val="right"/>
              <w:ind w:right="880"/>
              <w:spacing w:after="0"/>
              <w:rPr>
                <w:sz w:val="20"/>
                <w:szCs w:val="20"/>
                <w:color w:val="auto"/>
              </w:rPr>
            </w:pPr>
            <w:r>
              <w:rPr>
                <w:rFonts w:ascii="Arial" w:cs="Arial" w:eastAsia="Arial" w:hAnsi="Arial"/>
                <w:sz w:val="22"/>
                <w:szCs w:val="22"/>
                <w:color w:val="auto"/>
                <w:w w:val="92"/>
              </w:rPr>
              <w:t>Exhibit No.</w:t>
            </w:r>
          </w:p>
        </w:tc>
        <w:tc>
          <w:tcPr>
            <w:tcW w:w="358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77"/>
        </w:trPr>
        <w:tc>
          <w:tcPr>
            <w:tcW w:w="1880" w:type="dxa"/>
            <w:vAlign w:val="bottom"/>
            <w:gridSpan w:val="2"/>
          </w:tcPr>
          <w:p>
            <w:pPr>
              <w:jc w:val="right"/>
              <w:ind w:right="780"/>
              <w:spacing w:after="0"/>
              <w:rPr>
                <w:sz w:val="20"/>
                <w:szCs w:val="20"/>
                <w:color w:val="auto"/>
              </w:rPr>
            </w:pPr>
            <w:r>
              <w:rPr>
                <w:rFonts w:ascii="Arial" w:cs="Arial" w:eastAsia="Arial" w:hAnsi="Arial"/>
                <w:sz w:val="22"/>
                <w:szCs w:val="22"/>
                <w:color w:val="auto"/>
              </w:rPr>
              <w:t>99.1</w:t>
            </w:r>
          </w:p>
        </w:tc>
        <w:tc>
          <w:tcPr>
            <w:tcW w:w="3580" w:type="dxa"/>
            <w:vAlign w:val="bottom"/>
            <w:tcBorders>
              <w:bottom w:val="single" w:sz="8" w:color="0000FF"/>
            </w:tcBorders>
            <w:gridSpan w:val="2"/>
          </w:tcPr>
          <w:p>
            <w:pPr>
              <w:spacing w:after="0"/>
              <w:rPr>
                <w:rFonts w:ascii="Arial" w:cs="Arial" w:eastAsia="Arial" w:hAnsi="Arial"/>
                <w:sz w:val="22"/>
                <w:szCs w:val="22"/>
                <w:color w:val="0000FF"/>
                <w:w w:val="85"/>
              </w:rPr>
            </w:pPr>
            <w:hyperlink w:anchor="page5">
              <w:r>
                <w:rPr>
                  <w:rFonts w:ascii="Arial" w:cs="Arial" w:eastAsia="Arial" w:hAnsi="Arial"/>
                  <w:sz w:val="22"/>
                  <w:szCs w:val="22"/>
                  <w:color w:val="0000FF"/>
                  <w:w w:val="85"/>
                </w:rPr>
                <w:t>Press Release, dated November 30, 2018.</w:t>
              </w:r>
            </w:hyperlink>
          </w:p>
        </w:tc>
      </w:tr>
    </w:tbl>
    <w:p>
      <w:pPr>
        <w:sectPr>
          <w:pgSz w:w="11900" w:h="16838" w:orient="portrait"/>
          <w:cols w:equalWidth="0" w:num="1">
            <w:col w:w="9019"/>
          </w:cols>
          <w:pgMar w:left="1440" w:top="6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7" w:lineRule="exact"/>
        <w:rPr>
          <w:sz w:val="20"/>
          <w:szCs w:val="20"/>
          <w:color w:val="auto"/>
        </w:rPr>
      </w:pPr>
    </w:p>
    <w:p>
      <w:pPr>
        <w:ind w:left="7800"/>
        <w:spacing w:after="0"/>
        <w:rPr>
          <w:sz w:val="20"/>
          <w:szCs w:val="20"/>
          <w:color w:val="auto"/>
        </w:rPr>
      </w:pPr>
      <w:r>
        <w:rPr>
          <w:rFonts w:ascii="Arial" w:cs="Arial" w:eastAsia="Arial" w:hAnsi="Arial"/>
          <w:sz w:val="22"/>
          <w:szCs w:val="22"/>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-146685</wp:posOffset>
            </wp:positionV>
            <wp:extent cx="1697990" cy="797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97990" cy="797560"/>
                    </a:xfrm>
                    <a:prstGeom prst="rect">
                      <a:avLst/>
                    </a:prstGeom>
                    <a:noFill/>
                  </pic:spPr>
                </pic:pic>
              </a:graphicData>
            </a:graphic>
          </wp:anchor>
        </w:drawing>
      </w:r>
    </w:p>
    <w:p>
      <w:pPr>
        <w:ind w:left="7800"/>
        <w:spacing w:after="0"/>
        <w:rPr>
          <w:sz w:val="20"/>
          <w:szCs w:val="20"/>
          <w:color w:val="auto"/>
        </w:rPr>
      </w:pPr>
      <w:r>
        <w:rPr>
          <w:rFonts w:ascii="Arial" w:cs="Arial" w:eastAsia="Arial" w:hAnsi="Arial"/>
          <w:sz w:val="19"/>
          <w:szCs w:val="19"/>
          <w:color w:val="auto"/>
        </w:rPr>
        <w:t>Ira M. Birns, Executive Vice President &amp;</w:t>
      </w:r>
    </w:p>
    <w:p>
      <w:pPr>
        <w:spacing w:after="0" w:line="25" w:lineRule="exact"/>
        <w:rPr>
          <w:sz w:val="20"/>
          <w:szCs w:val="20"/>
          <w:color w:val="auto"/>
        </w:rPr>
      </w:pPr>
    </w:p>
    <w:p>
      <w:pPr>
        <w:ind w:left="7800"/>
        <w:spacing w:after="0"/>
        <w:rPr>
          <w:sz w:val="20"/>
          <w:szCs w:val="20"/>
          <w:color w:val="auto"/>
        </w:rPr>
      </w:pPr>
      <w:r>
        <w:rPr>
          <w:rFonts w:ascii="Arial" w:cs="Arial" w:eastAsia="Arial" w:hAnsi="Arial"/>
          <w:sz w:val="22"/>
          <w:szCs w:val="22"/>
          <w:color w:val="auto"/>
        </w:rPr>
        <w:t>Chief Financial Officer</w:t>
      </w:r>
    </w:p>
    <w:p>
      <w:pPr>
        <w:spacing w:after="0" w:line="215" w:lineRule="exact"/>
        <w:rPr>
          <w:sz w:val="20"/>
          <w:szCs w:val="20"/>
          <w:color w:val="auto"/>
        </w:rPr>
      </w:pPr>
    </w:p>
    <w:p>
      <w:pPr>
        <w:ind w:left="7800"/>
        <w:spacing w:after="0"/>
        <w:rPr>
          <w:sz w:val="20"/>
          <w:szCs w:val="20"/>
          <w:color w:val="auto"/>
        </w:rPr>
      </w:pPr>
      <w:r>
        <w:rPr>
          <w:rFonts w:ascii="Arial" w:cs="Arial" w:eastAsia="Arial" w:hAnsi="Arial"/>
          <w:sz w:val="22"/>
          <w:szCs w:val="22"/>
          <w:color w:val="auto"/>
        </w:rPr>
        <w:t>Glenn Klevitz</w:t>
      </w:r>
    </w:p>
    <w:p>
      <w:pPr>
        <w:ind w:left="7800"/>
        <w:spacing w:after="0" w:line="238" w:lineRule="auto"/>
        <w:rPr>
          <w:sz w:val="20"/>
          <w:szCs w:val="20"/>
          <w:color w:val="auto"/>
        </w:rPr>
      </w:pPr>
      <w:r>
        <w:rPr>
          <w:rFonts w:ascii="Arial" w:cs="Arial" w:eastAsia="Arial" w:hAnsi="Arial"/>
          <w:sz w:val="22"/>
          <w:szCs w:val="22"/>
          <w:color w:val="auto"/>
        </w:rPr>
        <w:t>Vice President, Assistant Treasurer</w:t>
      </w:r>
    </w:p>
    <w:p>
      <w:pPr>
        <w:ind w:left="7800"/>
        <w:spacing w:after="0"/>
        <w:rPr>
          <w:sz w:val="20"/>
          <w:szCs w:val="20"/>
          <w:color w:val="auto"/>
        </w:rPr>
      </w:pPr>
      <w:r>
        <w:rPr>
          <w:rFonts w:ascii="Arial" w:cs="Arial" w:eastAsia="Arial" w:hAnsi="Arial"/>
          <w:sz w:val="22"/>
          <w:szCs w:val="22"/>
          <w:color w:val="auto"/>
        </w:rPr>
        <w:t>305-428-8000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DECLARES REGULAR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CASH DIVIDEND</w:t>
      </w:r>
    </w:p>
    <w:p>
      <w:pPr>
        <w:spacing w:after="0" w:line="24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MIAMI, FL – November 30, 2018 -- World Fuel Services Corporation (NYSE:INT) announced today that its board of directors has declared a quarterly cash dividend of $0.06 per share payable on January 7, 2019 to shareholders of record on December 14,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About World Fuel Services Corporation</w:t>
      </w:r>
    </w:p>
    <w:p>
      <w:pPr>
        <w:spacing w:after="0" w:line="2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call 305-428-8000 or visit www.wfscorp.com.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2019-12-28T17:29:18Z</dcterms:created>
  <dcterms:modified xsi:type="dcterms:W3CDTF">2019-12-28T17:29:18Z</dcterms:modified>
</cp:coreProperties>
</file>