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2600" w:right="160" w:hanging="2277"/>
        <w:spacing w:after="0" w:line="414" w:lineRule="auto"/>
        <w:tabs>
          <w:tab w:leader="none" w:pos="73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2016</w:t>
      </w:r>
    </w:p>
    <w:p>
      <w:pPr>
        <w:spacing w:after="0" w:line="29" w:lineRule="exact"/>
        <w:rPr>
          <w:sz w:val="24"/>
          <w:szCs w:val="24"/>
          <w:color w:val="auto"/>
        </w:rPr>
      </w:pPr>
    </w:p>
    <w:p>
      <w:pPr>
        <w:ind w:left="720" w:hanging="397"/>
        <w:spacing w:after="0"/>
        <w:tabs>
          <w:tab w:leader="none" w:pos="7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2260"/>
        <w:spacing w:after="0"/>
        <w:tabs>
          <w:tab w:leader="none" w:pos="6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2489200</wp:posOffset>
            </wp:positionH>
            <wp:positionV relativeFrom="paragraph">
              <wp:posOffset>85725</wp:posOffset>
            </wp:positionV>
            <wp:extent cx="141478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6"/>
              </w:rPr>
              <w:t>Florida</w:t>
            </w:r>
          </w:p>
        </w:tc>
        <w:tc>
          <w:tcPr>
            <w:tcW w:w="282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3"/>
              </w:rPr>
              <w:t>(State or other jurisdiction of</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93"/>
              </w:rPr>
              <w:t>(I.R.S. Employer</w:t>
            </w:r>
          </w:p>
        </w:tc>
      </w:tr>
      <w:tr>
        <w:trPr>
          <w:trHeight w:val="230"/>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3"/>
              </w:rPr>
              <w:t>incorporation or organization)</w:t>
            </w:r>
          </w:p>
        </w:tc>
        <w:tc>
          <w:tcPr>
            <w:tcW w:w="2820" w:type="dxa"/>
            <w:vAlign w:val="bottom"/>
          </w:tcPr>
          <w:p>
            <w:pPr>
              <w:jc w:val="center"/>
              <w:ind w:left="13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9800 N.W. 41</w:t>
            </w:r>
            <w:r>
              <w:rPr>
                <w:rFonts w:ascii="Arial" w:cs="Arial" w:eastAsia="Arial" w:hAnsi="Arial"/>
                <w:sz w:val="11"/>
                <w:szCs w:val="11"/>
                <w:b w:val="1"/>
                <w:bCs w:val="1"/>
                <w:color w:val="auto"/>
                <w:w w:val="90"/>
              </w:rPr>
              <w:t>st</w:t>
            </w:r>
            <w:r>
              <w:rPr>
                <w:rFonts w:ascii="Arial" w:cs="Arial" w:eastAsia="Arial" w:hAnsi="Arial"/>
                <w:sz w:val="18"/>
                <w:szCs w:val="18"/>
                <w:b w:val="1"/>
                <w:bCs w:val="1"/>
                <w:color w:val="auto"/>
                <w:w w:val="90"/>
              </w:rPr>
              <w:t xml:space="preserve"> Street</w:t>
            </w:r>
          </w:p>
        </w:tc>
        <w:tc>
          <w:tcPr>
            <w:tcW w:w="2820" w:type="dxa"/>
            <w:vAlign w:val="bottom"/>
          </w:tcPr>
          <w:p>
            <w:pPr>
              <w:spacing w:after="0"/>
              <w:rPr>
                <w:sz w:val="24"/>
                <w:szCs w:val="24"/>
                <w:color w:val="auto"/>
              </w:rPr>
            </w:pPr>
          </w:p>
        </w:tc>
      </w:t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7"/>
              </w:rPr>
              <w:t>Miami, Florida</w:t>
            </w:r>
          </w:p>
        </w:tc>
        <w:tc>
          <w:tcPr>
            <w:tcW w:w="282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62" w:lineRule="exact"/>
        <w:rPr>
          <w:sz w:val="24"/>
          <w:szCs w:val="24"/>
          <w:color w:val="auto"/>
        </w:rPr>
      </w:pPr>
    </w:p>
    <w:p>
      <w:pPr>
        <w:jc w:val="both"/>
        <w:ind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2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8" w:lineRule="exact"/>
        <w:rPr>
          <w:sz w:val="24"/>
          <w:szCs w:val="24"/>
          <w:color w:val="auto"/>
        </w:rPr>
      </w:pPr>
    </w:p>
    <w:p>
      <w:pPr>
        <w:jc w:val="both"/>
        <w:ind w:firstLine="324"/>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jc w:val="both"/>
        <w:ind w:firstLine="324"/>
        <w:spacing w:after="0" w:line="228" w:lineRule="exact"/>
        <w:rPr>
          <w:sz w:val="20"/>
          <w:szCs w:val="20"/>
          <w:color w:val="auto"/>
        </w:rPr>
      </w:pPr>
      <w:r>
        <w:rPr>
          <w:rFonts w:ascii="Arial" w:cs="Arial" w:eastAsia="Arial" w:hAnsi="Arial"/>
          <w:sz w:val="17"/>
          <w:szCs w:val="17"/>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p>
    <w:p>
      <w:pPr>
        <w:spacing w:after="0" w:line="82" w:lineRule="exact"/>
        <w:rPr>
          <w:sz w:val="24"/>
          <w:szCs w:val="24"/>
          <w:color w:val="auto"/>
        </w:rPr>
      </w:pPr>
    </w:p>
    <w:p>
      <w:pPr>
        <w:ind w:left="3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registrant had a total of 70,827,000 shares of common stock, par value $0.01 per share, issued and outstanding as of April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638873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400050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33" w:right="9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Part I.</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Financial Information</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2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4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2016 and December 31, 2015</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and Comprehensive Income for the Three Months ended</w:t>
              </w:r>
            </w:hyperlink>
          </w:p>
        </w:tc>
        <w:tc>
          <w:tcPr>
            <w:tcW w:w="60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10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31, 2016 and 2015</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16"/>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Shareholders’ Equity for the Three Months ended March 31, 2016 and</w:t>
              </w:r>
            </w:hyperlink>
          </w:p>
        </w:tc>
        <w:tc>
          <w:tcPr>
            <w:tcW w:w="4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2015</w:t>
              </w:r>
            </w:hyperlink>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Three Months ended March 31, 2016 and 2015</w:t>
              </w:r>
            </w:hyperlink>
          </w:p>
        </w:tc>
        <w:tc>
          <w:tcPr>
            <w:tcW w:w="46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Consolidated Financial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   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4"/>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64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4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220" w:type="dxa"/>
            <w:vAlign w:val="bottom"/>
          </w:tcPr>
          <w:p>
            <w:pPr>
              <w:spacing w:after="0"/>
              <w:rPr>
                <w:sz w:val="24"/>
                <w:szCs w:val="24"/>
                <w:color w:val="auto"/>
              </w:rPr>
            </w:pPr>
          </w:p>
        </w:tc>
        <w:tc>
          <w:tcPr>
            <w:tcW w:w="728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220" w:type="dxa"/>
            <w:vAlign w:val="bottom"/>
          </w:tcPr>
          <w:p>
            <w:pPr>
              <w:spacing w:after="0"/>
              <w:rPr>
                <w:sz w:val="24"/>
                <w:szCs w:val="24"/>
                <w:color w:val="auto"/>
              </w:rPr>
            </w:pPr>
          </w:p>
        </w:tc>
        <w:tc>
          <w:tcPr>
            <w:tcW w:w="4360" w:type="dxa"/>
            <w:vAlign w:val="bottom"/>
            <w:tcBorders>
              <w:top w:val="single" w:sz="8" w:color="0000EE"/>
            </w:tcBorders>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292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136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229"/>
        </w:trPr>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r>
      <w:tr>
        <w:trPr>
          <w:trHeight w:val="199"/>
        </w:trPr>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r>
      <w:tr>
        <w:trPr>
          <w:trHeight w:val="213"/>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689.7</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582.5</w:t>
            </w:r>
          </w:p>
        </w:tc>
      </w:tr>
      <w:tr>
        <w:trPr>
          <w:trHeight w:val="213"/>
        </w:trPr>
        <w:tc>
          <w:tcPr>
            <w:tcW w:w="692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1,673.2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1,812.6</w:t>
            </w:r>
          </w:p>
        </w:tc>
      </w:tr>
      <w:tr>
        <w:trPr>
          <w:trHeight w:val="219"/>
        </w:trPr>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333.7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359.1</w:t>
            </w:r>
          </w:p>
        </w:tc>
      </w:tr>
      <w:tr>
        <w:trPr>
          <w:trHeight w:val="213"/>
        </w:trPr>
        <w:tc>
          <w:tcPr>
            <w:tcW w:w="692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46.1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9"/>
        </w:trPr>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Short-term derivative assets, net</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128.6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r>
      <w:tr>
        <w:trPr>
          <w:trHeight w:val="213"/>
        </w:trPr>
        <w:tc>
          <w:tcPr>
            <w:tcW w:w="692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233.7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209.8</w:t>
            </w:r>
          </w:p>
        </w:tc>
      </w:tr>
      <w:tr>
        <w:trPr>
          <w:trHeight w:val="216"/>
        </w:trPr>
        <w:tc>
          <w:tcPr>
            <w:tcW w:w="69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Current assets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692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3,110.6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3,254.6</w:t>
            </w:r>
          </w:p>
        </w:tc>
      </w:tr>
      <w:tr>
        <w:trPr>
          <w:trHeight w:val="219"/>
        </w:trPr>
        <w:tc>
          <w:tcPr>
            <w:tcW w:w="6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229.2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225.6</w:t>
            </w:r>
          </w:p>
        </w:tc>
      </w:tr>
      <w:tr>
        <w:trPr>
          <w:trHeight w:val="21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680.6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675.8</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Identifiable intangible and other non-current assets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365.8</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356.9</w:t>
            </w:r>
          </w:p>
        </w:tc>
      </w:tr>
      <w:tr>
        <w:trPr>
          <w:trHeight w:val="216"/>
        </w:trPr>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Non-current assets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33.5</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20"/>
        </w:trPr>
        <w:tc>
          <w:tcPr>
            <w:tcW w:w="6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assets</w:t>
            </w:r>
          </w:p>
        </w:tc>
        <w:tc>
          <w:tcPr>
            <w:tcW w:w="5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4,419.7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4,549.4</w:t>
            </w:r>
          </w:p>
        </w:tc>
      </w:tr>
      <w:tr>
        <w:trPr>
          <w:trHeight w:val="216"/>
        </w:trPr>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6920" w:type="dxa"/>
            <w:vAlign w:val="bottom"/>
          </w:tcPr>
          <w:p>
            <w:pPr>
              <w:ind w:left="100"/>
              <w:spacing w:after="0"/>
              <w:rPr>
                <w:sz w:val="20"/>
                <w:szCs w:val="20"/>
                <w:color w:val="auto"/>
              </w:rPr>
            </w:pPr>
            <w:r>
              <w:rPr>
                <w:rFonts w:ascii="Arial" w:cs="Arial" w:eastAsia="Arial" w:hAnsi="Arial"/>
                <w:sz w:val="16"/>
                <w:szCs w:val="16"/>
                <w:color w:val="auto"/>
              </w:rPr>
              <w:t>Short-term debt</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1,158.2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1,349.6</w:t>
            </w:r>
          </w:p>
        </w:tc>
      </w:tr>
      <w:tr>
        <w:trPr>
          <w:trHeight w:val="213"/>
        </w:trPr>
        <w:tc>
          <w:tcPr>
            <w:tcW w:w="6920" w:type="dxa"/>
            <w:vAlign w:val="bottom"/>
          </w:tcPr>
          <w:p>
            <w:pPr>
              <w:ind w:left="100"/>
              <w:spacing w:after="0"/>
              <w:rPr>
                <w:sz w:val="20"/>
                <w:szCs w:val="20"/>
                <w:color w:val="auto"/>
              </w:rPr>
            </w:pPr>
            <w:r>
              <w:rPr>
                <w:rFonts w:ascii="Arial" w:cs="Arial" w:eastAsia="Arial" w:hAnsi="Arial"/>
                <w:sz w:val="16"/>
                <w:szCs w:val="16"/>
                <w:color w:val="auto"/>
              </w:rPr>
              <w:t>Customer deposits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94.6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118.3</w:t>
            </w:r>
          </w:p>
        </w:tc>
      </w:tr>
      <w:tr>
        <w:trPr>
          <w:trHeight w:val="219"/>
        </w:trPr>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268.0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r>
      <w:tr>
        <w:trPr>
          <w:trHeight w:val="213"/>
        </w:trPr>
        <w:tc>
          <w:tcPr>
            <w:tcW w:w="6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Current liabilities held for sale</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1,555.0</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1,762.8</w:t>
            </w:r>
          </w:p>
        </w:tc>
      </w:tr>
      <w:tr>
        <w:trPr>
          <w:trHeight w:val="216"/>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776.5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746.7</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Non-current income tax liabilities, net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86.2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87.7</w:t>
            </w:r>
          </w:p>
        </w:tc>
      </w:tr>
      <w:tr>
        <w:trPr>
          <w:trHeight w:val="21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3"/>
        </w:trPr>
        <w:tc>
          <w:tcPr>
            <w:tcW w:w="6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Non-current liabilities held for sale</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6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2,446.5</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2,628.0</w:t>
            </w:r>
          </w:p>
        </w:tc>
      </w:tr>
      <w:tr>
        <w:trPr>
          <w:trHeight w:val="213"/>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World Fuel shareholders' equity:</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Preferred stock, $1.00 par value; 0.1 shares authorized, none issued</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920" w:type="dxa"/>
            <w:vAlign w:val="bottom"/>
          </w:tcPr>
          <w:p>
            <w:pPr>
              <w:ind w:left="100"/>
              <w:spacing w:after="0"/>
              <w:rPr>
                <w:sz w:val="20"/>
                <w:szCs w:val="20"/>
                <w:color w:val="auto"/>
              </w:rPr>
            </w:pPr>
            <w:r>
              <w:rPr>
                <w:rFonts w:ascii="Arial" w:cs="Arial" w:eastAsia="Arial" w:hAnsi="Arial"/>
                <w:sz w:val="16"/>
                <w:szCs w:val="16"/>
                <w:color w:val="auto"/>
                <w:w w:val="91"/>
              </w:rPr>
              <w:t>Common stock, $0.01 par value; 100 shares authorized, 70.9 and 70.8 shares issued and outstanding as</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6920" w:type="dxa"/>
            <w:vAlign w:val="bottom"/>
          </w:tcPr>
          <w:p>
            <w:pPr>
              <w:ind w:left="100"/>
              <w:spacing w:after="0"/>
              <w:rPr>
                <w:sz w:val="20"/>
                <w:szCs w:val="20"/>
                <w:color w:val="auto"/>
              </w:rPr>
            </w:pPr>
            <w:r>
              <w:rPr>
                <w:rFonts w:ascii="Arial" w:cs="Arial" w:eastAsia="Arial" w:hAnsi="Arial"/>
                <w:sz w:val="16"/>
                <w:szCs w:val="16"/>
                <w:color w:val="auto"/>
              </w:rPr>
              <w:t>of March 31, 2016 and December 31, 2015, respectively</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in excess of par value</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438.4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435.3</w:t>
            </w:r>
          </w:p>
        </w:tc>
      </w:tr>
      <w:tr>
        <w:trPr>
          <w:trHeight w:val="213"/>
        </w:trPr>
        <w:tc>
          <w:tcPr>
            <w:tcW w:w="6920" w:type="dxa"/>
            <w:vAlign w:val="bottom"/>
          </w:tcPr>
          <w:p>
            <w:pPr>
              <w:ind w:left="10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1,636.8</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1,588.6</w:t>
            </w:r>
          </w:p>
        </w:tc>
      </w:tr>
      <w:tr>
        <w:trPr>
          <w:trHeight w:val="216"/>
        </w:trPr>
        <w:tc>
          <w:tcPr>
            <w:tcW w:w="69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(113.9)</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r>
      <w:tr>
        <w:trPr>
          <w:trHeight w:val="210"/>
        </w:trPr>
        <w:tc>
          <w:tcPr>
            <w:tcW w:w="6920" w:type="dxa"/>
            <w:vAlign w:val="bottom"/>
          </w:tcPr>
          <w:p>
            <w:pPr>
              <w:ind w:left="220"/>
              <w:spacing w:after="0"/>
              <w:rPr>
                <w:sz w:val="20"/>
                <w:szCs w:val="20"/>
                <w:color w:val="auto"/>
              </w:rPr>
            </w:pPr>
            <w:r>
              <w:rPr>
                <w:rFonts w:ascii="Arial" w:cs="Arial" w:eastAsia="Arial" w:hAnsi="Arial"/>
                <w:sz w:val="16"/>
                <w:szCs w:val="16"/>
                <w:color w:val="auto"/>
              </w:rPr>
              <w:t>Total World Fuel shareholders' equity</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1,962.0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1,911.4</w:t>
            </w:r>
          </w:p>
        </w:tc>
      </w:tr>
      <w:tr>
        <w:trPr>
          <w:trHeight w:val="216"/>
        </w:trPr>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Noncontrolling interest equity</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69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1,973.2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1,921.4</w:t>
            </w:r>
          </w:p>
        </w:tc>
      </w:tr>
      <w:tr>
        <w:trPr>
          <w:trHeight w:val="220"/>
        </w:trPr>
        <w:tc>
          <w:tcPr>
            <w:tcW w:w="69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Total liabilities and equity</w:t>
            </w:r>
          </w:p>
        </w:tc>
        <w:tc>
          <w:tcPr>
            <w:tcW w:w="5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4,419.7</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5,192.6</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w:t>
            </w: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4,968.8</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223.8</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 and employee benefits</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95.9</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0"/>
              <w:spacing w:after="0"/>
              <w:rPr>
                <w:sz w:val="20"/>
                <w:szCs w:val="20"/>
                <w:color w:val="auto"/>
              </w:rPr>
            </w:pPr>
            <w:r>
              <w:rPr>
                <w:rFonts w:ascii="Arial" w:cs="Arial" w:eastAsia="Arial" w:hAnsi="Arial"/>
                <w:sz w:val="18"/>
                <w:szCs w:val="18"/>
                <w:color w:val="auto"/>
              </w:rPr>
              <w:t>Provision for bad debt</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63.1</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160.5</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63.3</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Non-operating expenses, net:</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and other financing costs, net</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 income, net</w:t>
            </w: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57.1</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4.8</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income including noncontrolling interest</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52.3</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World Fuel</w:t>
            </w:r>
          </w:p>
        </w:tc>
        <w:tc>
          <w:tcPr>
            <w:tcW w:w="17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52.4</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earnings per common share</w:t>
            </w:r>
          </w:p>
        </w:tc>
        <w:tc>
          <w:tcPr>
            <w:tcW w:w="17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0.75</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weighted average common shares</w:t>
            </w:r>
          </w:p>
        </w:tc>
        <w:tc>
          <w:tcPr>
            <w:tcW w:w="1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69.5</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0.75</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weighted average common shares</w:t>
            </w:r>
          </w:p>
        </w:tc>
        <w:tc>
          <w:tcPr>
            <w:tcW w:w="1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70.0</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including noncontrolling interest</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Derivative instruments, net of income tax benefit: 2016 - $0.2</w:t>
            </w: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Other comprehensive income (loss):</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0.8</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Comprehensive income including noncontrolling interest</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53.1</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1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income attributable to World Fuel</w:t>
            </w:r>
          </w:p>
        </w:tc>
        <w:tc>
          <w:tcPr>
            <w:tcW w:w="17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51.6</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4"/>
                <w:szCs w:val="14"/>
                <w:color w:val="auto"/>
              </w:rPr>
            </w:pPr>
          </w:p>
        </w:tc>
        <w:tc>
          <w:tcPr>
            <w:tcW w:w="880" w:type="dxa"/>
            <w:vAlign w:val="bottom"/>
          </w:tcPr>
          <w:p>
            <w:pPr>
              <w:jc w:val="right"/>
              <w:ind w:right="51"/>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57"/>
        </w:trPr>
        <w:tc>
          <w:tcPr>
            <w:tcW w:w="2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5"/>
              </w:rPr>
              <w:t>Capital in</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22"/>
                <w:szCs w:val="22"/>
                <w:color w:val="auto"/>
              </w:rPr>
            </w:pPr>
          </w:p>
        </w:tc>
        <w:tc>
          <w:tcPr>
            <w:tcW w:w="880" w:type="dxa"/>
            <w:vAlign w:val="bottom"/>
          </w:tcPr>
          <w:p>
            <w:pPr>
              <w:jc w:val="right"/>
              <w:ind w:right="51"/>
              <w:spacing w:after="0"/>
              <w:rPr>
                <w:sz w:val="20"/>
                <w:szCs w:val="20"/>
                <w:color w:val="auto"/>
              </w:rPr>
            </w:pPr>
            <w:r>
              <w:rPr>
                <w:rFonts w:ascii="Arial" w:cs="Arial" w:eastAsia="Arial" w:hAnsi="Arial"/>
                <w:sz w:val="13"/>
                <w:szCs w:val="13"/>
                <w:b w:val="1"/>
                <w:bCs w:val="1"/>
                <w:color w:val="auto"/>
              </w:rPr>
              <w:t>World Fuel</w:t>
            </w:r>
          </w:p>
        </w:tc>
        <w:tc>
          <w:tcPr>
            <w:tcW w:w="104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97"/>
              </w:rPr>
              <w:t>Noncontrolling</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5"/>
        </w:trPr>
        <w:tc>
          <w:tcPr>
            <w:tcW w:w="2960" w:type="dxa"/>
            <w:vAlign w:val="bottom"/>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7"/>
                <w:szCs w:val="17"/>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2"/>
              </w:rPr>
              <w:t>Excess of</w:t>
            </w:r>
          </w:p>
        </w:tc>
        <w:tc>
          <w:tcPr>
            <w:tcW w:w="240" w:type="dxa"/>
            <w:vAlign w:val="bottom"/>
          </w:tcPr>
          <w:p>
            <w:pPr>
              <w:spacing w:after="0"/>
              <w:rPr>
                <w:sz w:val="17"/>
                <w:szCs w:val="17"/>
                <w:color w:val="auto"/>
              </w:rPr>
            </w:pPr>
          </w:p>
        </w:tc>
        <w:tc>
          <w:tcPr>
            <w:tcW w:w="720" w:type="dxa"/>
            <w:vAlign w:val="bottom"/>
          </w:tcPr>
          <w:p>
            <w:pPr>
              <w:jc w:val="right"/>
              <w:ind w:right="30"/>
              <w:spacing w:after="0"/>
              <w:rPr>
                <w:sz w:val="20"/>
                <w:szCs w:val="20"/>
                <w:color w:val="auto"/>
              </w:rPr>
            </w:pPr>
            <w:r>
              <w:rPr>
                <w:rFonts w:ascii="Arial" w:cs="Arial" w:eastAsia="Arial" w:hAnsi="Arial"/>
                <w:sz w:val="13"/>
                <w:szCs w:val="13"/>
                <w:b w:val="1"/>
                <w:bCs w:val="1"/>
                <w:color w:val="auto"/>
              </w:rPr>
              <w:t>Retained</w:t>
            </w:r>
          </w:p>
        </w:tc>
        <w:tc>
          <w:tcPr>
            <w:tcW w:w="106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94"/>
              </w:rPr>
              <w:t>Comprehensive</w:t>
            </w:r>
          </w:p>
        </w:tc>
        <w:tc>
          <w:tcPr>
            <w:tcW w:w="160" w:type="dxa"/>
            <w:vAlign w:val="bottom"/>
          </w:tcPr>
          <w:p>
            <w:pPr>
              <w:spacing w:after="0"/>
              <w:rPr>
                <w:sz w:val="17"/>
                <w:szCs w:val="17"/>
                <w:color w:val="auto"/>
              </w:rPr>
            </w:pPr>
          </w:p>
        </w:tc>
        <w:tc>
          <w:tcPr>
            <w:tcW w:w="880" w:type="dxa"/>
            <w:vAlign w:val="bottom"/>
          </w:tcPr>
          <w:p>
            <w:pPr>
              <w:jc w:val="right"/>
              <w:ind w:right="51"/>
              <w:spacing w:after="0"/>
              <w:rPr>
                <w:sz w:val="20"/>
                <w:szCs w:val="20"/>
                <w:color w:val="auto"/>
              </w:rPr>
            </w:pPr>
            <w:r>
              <w:rPr>
                <w:rFonts w:ascii="Arial" w:cs="Arial" w:eastAsia="Arial" w:hAnsi="Arial"/>
                <w:sz w:val="13"/>
                <w:szCs w:val="13"/>
                <w:b w:val="1"/>
                <w:bCs w:val="1"/>
                <w:color w:val="auto"/>
                <w:w w:val="85"/>
              </w:rPr>
              <w:t>Shareholders'</w:t>
            </w:r>
          </w:p>
        </w:tc>
        <w:tc>
          <w:tcPr>
            <w:tcW w:w="32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0"/>
              <w:spacing w:after="0" w:line="129" w:lineRule="exact"/>
              <w:rPr>
                <w:sz w:val="20"/>
                <w:szCs w:val="20"/>
                <w:color w:val="auto"/>
              </w:rPr>
            </w:pPr>
            <w:r>
              <w:rPr>
                <w:rFonts w:ascii="Arial" w:cs="Arial" w:eastAsia="Arial" w:hAnsi="Arial"/>
                <w:sz w:val="13"/>
                <w:szCs w:val="13"/>
                <w:b w:val="1"/>
                <w:bCs w:val="1"/>
                <w:color w:val="auto"/>
                <w:w w:val="87"/>
              </w:rPr>
              <w:t>Shares</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ParValue</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rPr>
              <w:t>Earnings</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Loss</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1"/>
              <w:spacing w:after="0" w:line="129" w:lineRule="exact"/>
              <w:rPr>
                <w:sz w:val="20"/>
                <w:szCs w:val="20"/>
                <w:color w:val="auto"/>
              </w:rPr>
            </w:pPr>
            <w:r>
              <w:rPr>
                <w:rFonts w:ascii="Arial" w:cs="Arial" w:eastAsia="Arial" w:hAnsi="Arial"/>
                <w:sz w:val="13"/>
                <w:szCs w:val="13"/>
                <w:b w:val="1"/>
                <w:bCs w:val="1"/>
                <w:color w:val="auto"/>
              </w:rPr>
              <w:t>Equity</w:t>
            </w: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Equity</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8"/>
              </w:rPr>
              <w:t>Total Equity</w:t>
            </w: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2015</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435.3</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1,588.6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(113.2)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1,911.4</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1,921.4</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4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52.4</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52.4</w:t>
            </w:r>
          </w:p>
        </w:tc>
        <w:tc>
          <w:tcPr>
            <w:tcW w:w="3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52.3</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dividends declared</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Distribution of noncontrolling interest</w:t>
            </w:r>
          </w:p>
        </w:tc>
        <w:tc>
          <w:tcPr>
            <w:tcW w:w="4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of share-based payment awards</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30"/>
        </w:trPr>
        <w:tc>
          <w:tcPr>
            <w:tcW w:w="2960" w:type="dxa"/>
            <w:vAlign w:val="bottom"/>
          </w:tcPr>
          <w:p>
            <w:pPr>
              <w:ind w:left="100"/>
              <w:spacing w:after="0" w:line="130" w:lineRule="exact"/>
              <w:rPr>
                <w:sz w:val="20"/>
                <w:szCs w:val="20"/>
                <w:color w:val="auto"/>
              </w:rPr>
            </w:pPr>
            <w:r>
              <w:rPr>
                <w:rFonts w:ascii="Arial" w:cs="Arial" w:eastAsia="Arial" w:hAnsi="Arial"/>
                <w:sz w:val="14"/>
                <w:szCs w:val="14"/>
                <w:color w:val="auto"/>
              </w:rPr>
              <w:t>Issuance of common stock related to share-</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7"/>
        </w:trPr>
        <w:tc>
          <w:tcPr>
            <w:tcW w:w="2960" w:type="dxa"/>
            <w:vAlign w:val="bottom"/>
          </w:tcPr>
          <w:p>
            <w:pPr>
              <w:ind w:left="100"/>
              <w:spacing w:after="0"/>
              <w:rPr>
                <w:sz w:val="20"/>
                <w:szCs w:val="20"/>
                <w:color w:val="auto"/>
              </w:rPr>
            </w:pPr>
            <w:r>
              <w:rPr>
                <w:rFonts w:ascii="Arial" w:cs="Arial" w:eastAsia="Arial" w:hAnsi="Arial"/>
                <w:sz w:val="14"/>
                <w:szCs w:val="14"/>
                <w:color w:val="auto"/>
              </w:rPr>
              <w:t>based payment awards</w:t>
            </w:r>
          </w:p>
        </w:tc>
        <w:tc>
          <w:tcPr>
            <w:tcW w:w="48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Purchases of common stock tendered</w:t>
            </w: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by employees to satisfy the required</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withholding taxes related to share-based</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 awards</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(0.9)</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(0.9)</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16"/>
        </w:trPr>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comprehensive income</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217"/>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March 31, 2016</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438.4</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1,636.8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1,962.0</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4"/>
                <w:szCs w:val="14"/>
                <w:color w:val="auto"/>
              </w:rPr>
            </w:pPr>
          </w:p>
        </w:tc>
        <w:tc>
          <w:tcPr>
            <w:tcW w:w="880" w:type="dxa"/>
            <w:vAlign w:val="bottom"/>
          </w:tcPr>
          <w:p>
            <w:pPr>
              <w:jc w:val="right"/>
              <w:ind w:right="51"/>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6"/>
        </w:trPr>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5"/>
              </w:rPr>
              <w:t>Capital in</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3"/>
                <w:szCs w:val="13"/>
                <w:b w:val="1"/>
                <w:bCs w:val="1"/>
                <w:color w:val="auto"/>
              </w:rPr>
              <w:t>World Fuel</w:t>
            </w:r>
          </w:p>
        </w:tc>
        <w:tc>
          <w:tcPr>
            <w:tcW w:w="104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97"/>
              </w:rPr>
              <w:t>Noncontrolling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5"/>
        </w:trPr>
        <w:tc>
          <w:tcPr>
            <w:tcW w:w="2960" w:type="dxa"/>
            <w:vAlign w:val="bottom"/>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7"/>
                <w:szCs w:val="17"/>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2"/>
              </w:rPr>
              <w:t>Excess of</w:t>
            </w:r>
          </w:p>
        </w:tc>
        <w:tc>
          <w:tcPr>
            <w:tcW w:w="240" w:type="dxa"/>
            <w:vAlign w:val="bottom"/>
          </w:tcPr>
          <w:p>
            <w:pPr>
              <w:spacing w:after="0"/>
              <w:rPr>
                <w:sz w:val="17"/>
                <w:szCs w:val="17"/>
                <w:color w:val="auto"/>
              </w:rPr>
            </w:pPr>
          </w:p>
        </w:tc>
        <w:tc>
          <w:tcPr>
            <w:tcW w:w="720" w:type="dxa"/>
            <w:vAlign w:val="bottom"/>
          </w:tcPr>
          <w:p>
            <w:pPr>
              <w:jc w:val="right"/>
              <w:ind w:right="30"/>
              <w:spacing w:after="0"/>
              <w:rPr>
                <w:sz w:val="20"/>
                <w:szCs w:val="20"/>
                <w:color w:val="auto"/>
              </w:rPr>
            </w:pPr>
            <w:r>
              <w:rPr>
                <w:rFonts w:ascii="Arial" w:cs="Arial" w:eastAsia="Arial" w:hAnsi="Arial"/>
                <w:sz w:val="13"/>
                <w:szCs w:val="13"/>
                <w:b w:val="1"/>
                <w:bCs w:val="1"/>
                <w:color w:val="auto"/>
              </w:rPr>
              <w:t>Retained</w:t>
            </w:r>
          </w:p>
        </w:tc>
        <w:tc>
          <w:tcPr>
            <w:tcW w:w="106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94"/>
              </w:rPr>
              <w:t>Comprehensive</w:t>
            </w:r>
          </w:p>
        </w:tc>
        <w:tc>
          <w:tcPr>
            <w:tcW w:w="160" w:type="dxa"/>
            <w:vAlign w:val="bottom"/>
          </w:tcPr>
          <w:p>
            <w:pPr>
              <w:spacing w:after="0"/>
              <w:rPr>
                <w:sz w:val="17"/>
                <w:szCs w:val="17"/>
                <w:color w:val="auto"/>
              </w:rPr>
            </w:pPr>
          </w:p>
        </w:tc>
        <w:tc>
          <w:tcPr>
            <w:tcW w:w="880" w:type="dxa"/>
            <w:vAlign w:val="bottom"/>
          </w:tcPr>
          <w:p>
            <w:pPr>
              <w:jc w:val="right"/>
              <w:ind w:right="51"/>
              <w:spacing w:after="0"/>
              <w:rPr>
                <w:sz w:val="20"/>
                <w:szCs w:val="20"/>
                <w:color w:val="auto"/>
              </w:rPr>
            </w:pPr>
            <w:r>
              <w:rPr>
                <w:rFonts w:ascii="Arial" w:cs="Arial" w:eastAsia="Arial" w:hAnsi="Arial"/>
                <w:sz w:val="13"/>
                <w:szCs w:val="13"/>
                <w:b w:val="1"/>
                <w:bCs w:val="1"/>
                <w:color w:val="auto"/>
                <w:w w:val="85"/>
              </w:rPr>
              <w:t>Shareholders'</w:t>
            </w:r>
          </w:p>
        </w:tc>
        <w:tc>
          <w:tcPr>
            <w:tcW w:w="32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94"/>
              </w:rPr>
              <w:t>Par Value</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rPr>
              <w:t>Earnings</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Loss</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1"/>
              <w:spacing w:after="0" w:line="129" w:lineRule="exact"/>
              <w:rPr>
                <w:sz w:val="20"/>
                <w:szCs w:val="20"/>
                <w:color w:val="auto"/>
              </w:rPr>
            </w:pPr>
            <w:r>
              <w:rPr>
                <w:rFonts w:ascii="Arial" w:cs="Arial" w:eastAsia="Arial" w:hAnsi="Arial"/>
                <w:sz w:val="13"/>
                <w:szCs w:val="13"/>
                <w:b w:val="1"/>
                <w:bCs w:val="1"/>
                <w:color w:val="auto"/>
              </w:rPr>
              <w:t>Equity</w:t>
            </w: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Equity</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8"/>
              </w:rPr>
              <w:t>Total Equity</w:t>
            </w: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2014</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496.4</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1,418.5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1,855.4</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1,864.9</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55.6</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55.6</w:t>
            </w:r>
          </w:p>
        </w:tc>
        <w:tc>
          <w:tcPr>
            <w:tcW w:w="3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54.6</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dividends declared</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Amortization of share-based payment awards</w:t>
            </w: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3.7</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30"/>
        </w:trPr>
        <w:tc>
          <w:tcPr>
            <w:tcW w:w="2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common stock related to share-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based payment awards, including income tax</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benefit of $0.9</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30"/>
        </w:trPr>
        <w:tc>
          <w:tcPr>
            <w:tcW w:w="2960" w:type="dxa"/>
            <w:vAlign w:val="bottom"/>
          </w:tcPr>
          <w:p>
            <w:pPr>
              <w:ind w:left="100"/>
              <w:spacing w:after="0" w:line="130" w:lineRule="exact"/>
              <w:rPr>
                <w:sz w:val="20"/>
                <w:szCs w:val="20"/>
                <w:color w:val="auto"/>
              </w:rPr>
            </w:pPr>
            <w:r>
              <w:rPr>
                <w:rFonts w:ascii="Arial" w:cs="Arial" w:eastAsia="Arial" w:hAnsi="Arial"/>
                <w:sz w:val="14"/>
                <w:szCs w:val="14"/>
                <w:color w:val="auto"/>
              </w:rPr>
              <w:t>Purchases of common stock tendered by</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2960" w:type="dxa"/>
            <w:vAlign w:val="bottom"/>
          </w:tcPr>
          <w:p>
            <w:pPr>
              <w:ind w:left="100"/>
              <w:spacing w:after="0"/>
              <w:rPr>
                <w:sz w:val="20"/>
                <w:szCs w:val="20"/>
                <w:color w:val="auto"/>
              </w:rPr>
            </w:pPr>
            <w:r>
              <w:rPr>
                <w:rFonts w:ascii="Arial" w:cs="Arial" w:eastAsia="Arial" w:hAnsi="Arial"/>
                <w:sz w:val="14"/>
                <w:szCs w:val="14"/>
                <w:color w:val="auto"/>
                <w:w w:val="99"/>
              </w:rPr>
              <w:t>taxes related to share-based payment awards</w:t>
            </w: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4"/>
                <w:szCs w:val="1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(4.0)</w:t>
            </w:r>
          </w:p>
        </w:tc>
        <w:tc>
          <w:tcPr>
            <w:tcW w:w="320" w:type="dxa"/>
            <w:vAlign w:val="bottom"/>
          </w:tcPr>
          <w:p>
            <w:pPr>
              <w:spacing w:after="0"/>
              <w:rPr>
                <w:sz w:val="14"/>
                <w:szCs w:val="1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16"/>
        </w:trPr>
        <w:tc>
          <w:tcPr>
            <w:tcW w:w="2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Other comprehensive (loss) income</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(36.0)</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(36.0)</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217"/>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as of March 31, 2015</w:t>
            </w: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497.1</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1,469.9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1,871.5</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r>
      <w:tr>
        <w:trPr>
          <w:trHeight w:val="201"/>
        </w:trPr>
        <w:tc>
          <w:tcPr>
            <w:tcW w:w="7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0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income including noncontrolling interest</w:t>
            </w:r>
          </w:p>
        </w:tc>
        <w:tc>
          <w:tcPr>
            <w:tcW w:w="6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5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195"/>
        </w:trPr>
        <w:tc>
          <w:tcPr>
            <w:tcW w:w="70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4"/>
              </w:rPr>
              <w:t>Adjustments to reconcile net income including noncontrolling interest to net cash provided by</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0"/>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bad debt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Share-based payment award compensation costs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provision (benefit)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Extinguishment of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losses (gains), net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 net of acquisitions: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08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16"/>
        </w:trPr>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08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derivative assets, net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16"/>
        </w:trPr>
        <w:tc>
          <w:tcPr>
            <w:tcW w:w="708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collateral with financial counterparties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16"/>
        </w:trPr>
        <w:tc>
          <w:tcPr>
            <w:tcW w:w="7080" w:type="dxa"/>
            <w:vAlign w:val="bottom"/>
          </w:tcPr>
          <w:p>
            <w:pPr>
              <w:ind w:left="32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16"/>
        </w:trPr>
        <w:tc>
          <w:tcPr>
            <w:tcW w:w="7080" w:type="dxa"/>
            <w:vAlign w:val="bottom"/>
          </w:tcPr>
          <w:p>
            <w:pPr>
              <w:ind w:left="32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16"/>
        </w:trPr>
        <w:tc>
          <w:tcPr>
            <w:tcW w:w="7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Non-current income tax, net and other long-term liabilities</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7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adjustments</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10"/>
        </w:trPr>
        <w:tc>
          <w:tcPr>
            <w:tcW w:w="7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080" w:type="dxa"/>
            <w:vAlign w:val="bottom"/>
          </w:tcPr>
          <w:p>
            <w:pPr>
              <w:ind w:left="100"/>
              <w:spacing w:after="0"/>
              <w:rPr>
                <w:sz w:val="20"/>
                <w:szCs w:val="20"/>
                <w:color w:val="auto"/>
              </w:rPr>
            </w:pPr>
            <w:r>
              <w:rPr>
                <w:rFonts w:ascii="Arial" w:cs="Arial" w:eastAsia="Arial" w:hAnsi="Arial"/>
                <w:sz w:val="18"/>
                <w:szCs w:val="18"/>
                <w:color w:val="auto"/>
              </w:rPr>
              <w:t>Acquisition of businesses, net of cash acquired and other investments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investing activities, net</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7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Borrowings of debt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1,349.1</w:t>
            </w:r>
          </w:p>
        </w:tc>
      </w:tr>
      <w:tr>
        <w:trPr>
          <w:trHeight w:val="216"/>
        </w:trPr>
        <w:tc>
          <w:tcPr>
            <w:tcW w:w="7080" w:type="dxa"/>
            <w:vAlign w:val="bottom"/>
          </w:tcPr>
          <w:p>
            <w:pPr>
              <w:ind w:left="10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(1,342.4)</w:t>
            </w:r>
          </w:p>
        </w:tc>
      </w:tr>
      <w:tr>
        <w:trPr>
          <w:trHeight w:val="216"/>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paid on common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2"/>
        </w:trPr>
        <w:tc>
          <w:tcPr>
            <w:tcW w:w="7080" w:type="dxa"/>
            <w:vAlign w:val="bottom"/>
          </w:tcPr>
          <w:p>
            <w:pPr>
              <w:ind w:left="100"/>
              <w:spacing w:after="0" w:line="201" w:lineRule="exact"/>
              <w:rPr>
                <w:sz w:val="20"/>
                <w:szCs w:val="20"/>
                <w:color w:val="auto"/>
              </w:rPr>
            </w:pPr>
            <w:r>
              <w:rPr>
                <w:rFonts w:ascii="Arial" w:cs="Arial" w:eastAsia="Arial" w:hAnsi="Arial"/>
                <w:sz w:val="18"/>
                <w:szCs w:val="18"/>
                <w:color w:val="auto"/>
                <w:w w:val="91"/>
              </w:rPr>
              <w:t>Federal and state tax benefits resulting from tax deductions in excess of the compensation cost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7080" w:type="dxa"/>
            <w:vAlign w:val="bottom"/>
          </w:tcPr>
          <w:p>
            <w:pPr>
              <w:ind w:left="100"/>
              <w:spacing w:after="0"/>
              <w:rPr>
                <w:sz w:val="20"/>
                <w:szCs w:val="20"/>
                <w:color w:val="auto"/>
              </w:rPr>
            </w:pPr>
            <w:r>
              <w:rPr>
                <w:rFonts w:ascii="Arial" w:cs="Arial" w:eastAsia="Arial" w:hAnsi="Arial"/>
                <w:sz w:val="18"/>
                <w:szCs w:val="18"/>
                <w:color w:val="auto"/>
              </w:rPr>
              <w:t>recognized for share-based payment awards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02"/>
        </w:trPr>
        <w:tc>
          <w:tcPr>
            <w:tcW w:w="70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Purchases of common stock tendered by employees to satisfy the required withholding taxes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to share-based payment awards</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financing activities, net</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7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16"/>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as of beginning of period</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r>
      <w:tr>
        <w:trPr>
          <w:trHeight w:val="217"/>
        </w:trPr>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as of end of period</w:t>
            </w:r>
          </w:p>
        </w:tc>
        <w:tc>
          <w:tcPr>
            <w:tcW w:w="6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5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380" w:type="dxa"/>
            <w:vAlign w:val="bottom"/>
            <w:gridSpan w:val="4"/>
          </w:tcPr>
          <w:p>
            <w:pPr>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Arial" w:cs="Arial" w:eastAsia="Arial" w:hAnsi="Arial"/>
                <w:sz w:val="17"/>
                <w:szCs w:val="17"/>
                <w:color w:val="auto"/>
                <w:w w:val="91"/>
              </w:rPr>
              <w:t>Cash dividends declared, but not yet paid, were $4.2</w:t>
            </w:r>
          </w:p>
        </w:tc>
        <w:tc>
          <w:tcPr>
            <w:tcW w:w="5500" w:type="dxa"/>
            <w:vAlign w:val="bottom"/>
            <w:gridSpan w:val="2"/>
          </w:tcPr>
          <w:p>
            <w:pPr>
              <w:ind w:left="40"/>
              <w:spacing w:after="0"/>
              <w:rPr>
                <w:sz w:val="20"/>
                <w:szCs w:val="20"/>
                <w:color w:val="auto"/>
              </w:rPr>
            </w:pPr>
            <w:r>
              <w:rPr>
                <w:rFonts w:ascii="Arial" w:cs="Arial" w:eastAsia="Arial" w:hAnsi="Arial"/>
                <w:sz w:val="17"/>
                <w:szCs w:val="17"/>
                <w:color w:val="auto"/>
              </w:rPr>
              <w:t>million as of March 31, 201</w:t>
            </w:r>
            <w:r>
              <w:rPr>
                <w:rFonts w:ascii="Arial" w:cs="Arial" w:eastAsia="Arial" w:hAnsi="Arial"/>
                <w:sz w:val="18"/>
                <w:szCs w:val="18"/>
                <w:color w:val="auto"/>
              </w:rPr>
              <w:t>6</w:t>
            </w:r>
            <w:r>
              <w:rPr>
                <w:rFonts w:ascii="Arial" w:cs="Arial" w:eastAsia="Arial" w:hAnsi="Arial"/>
                <w:sz w:val="17"/>
                <w:szCs w:val="17"/>
                <w:color w:val="auto"/>
              </w:rPr>
              <w:t xml:space="preserve"> and March 31, 2015.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7"/>
                <w:szCs w:val="17"/>
                <w:color w:val="auto"/>
              </w:rPr>
              <w:t>We had accrued capital expenditures totaling $1.3 million and $1.0 million as of March 31, 2016 and March 31, 2015,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7"/>
                <w:szCs w:val="17"/>
                <w:color w:val="auto"/>
                <w:w w:val="92"/>
              </w:rPr>
              <w:t>respectively, which were recorded in accounts payable.</w:t>
            </w:r>
          </w:p>
        </w:tc>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9360" w:type="dxa"/>
            <w:vAlign w:val="bottom"/>
            <w:gridSpan w:val="3"/>
          </w:tcPr>
          <w:p>
            <w:pPr>
              <w:ind w:left="240"/>
              <w:spacing w:after="0"/>
              <w:rPr>
                <w:sz w:val="20"/>
                <w:szCs w:val="20"/>
                <w:color w:val="auto"/>
              </w:rPr>
            </w:pPr>
            <w:r>
              <w:rPr>
                <w:rFonts w:ascii="Arial" w:cs="Arial" w:eastAsia="Arial" w:hAnsi="Arial"/>
                <w:sz w:val="17"/>
                <w:szCs w:val="17"/>
                <w:color w:val="auto"/>
                <w:w w:val="99"/>
              </w:rPr>
              <w:t>In connection with our acquisitions, the following table presents the assets acquired, net of cash and liabilities assumed (in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7"/>
                <w:szCs w:val="17"/>
                <w:color w:val="auto"/>
              </w:rPr>
              <w:t>millions):</w:t>
            </w:r>
          </w:p>
        </w:tc>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40" w:type="dxa"/>
            <w:vAlign w:val="bottom"/>
            <w:gridSpan w:val="2"/>
          </w:tcPr>
          <w:p>
            <w:pPr>
              <w:ind w:left="200"/>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 acquired, net of cash</w:t>
            </w:r>
          </w:p>
        </w:tc>
        <w:tc>
          <w:tcPr>
            <w:tcW w:w="5500" w:type="dxa"/>
            <w:vAlign w:val="bottom"/>
            <w:tcBorders>
              <w:bottom w:val="single" w:sz="8" w:color="auto"/>
            </w:tcBorders>
            <w:gridSpan w:val="2"/>
            <w:shd w:val="clear" w:color="auto" w:fill="CCEEFF"/>
          </w:tcPr>
          <w:p>
            <w:pPr>
              <w:ind w:left="4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5500" w:type="dxa"/>
            <w:vAlign w:val="bottom"/>
            <w:tcBorders>
              <w:bottom w:val="single" w:sz="8" w:color="auto"/>
            </w:tcBorders>
            <w:gridSpan w:val="2"/>
            <w:shd w:val="clear" w:color="auto" w:fill="CCEEFF"/>
          </w:tcPr>
          <w:p>
            <w:pPr>
              <w:ind w:left="4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2016 acquisitions, we issued promissory notes totaling $0.5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 w:name="page8"/>
    <w:bookmarkEnd w:id="7"/>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300" w:lineRule="exact"/>
        <w:rPr>
          <w:sz w:val="20"/>
          <w:szCs w:val="20"/>
          <w:color w:val="auto"/>
        </w:rPr>
      </w:pPr>
    </w:p>
    <w:p>
      <w:pPr>
        <w:ind w:left="61" w:right="5400" w:hanging="61"/>
        <w:spacing w:after="0" w:line="438" w:lineRule="auto"/>
        <w:tabs>
          <w:tab w:leader="none" w:pos="29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5" w:lineRule="exact"/>
        <w:rPr>
          <w:sz w:val="20"/>
          <w:szCs w:val="20"/>
          <w:color w:val="auto"/>
        </w:rPr>
      </w:pPr>
    </w:p>
    <w:p>
      <w:pPr>
        <w:jc w:val="both"/>
        <w:ind w:left="1" w:firstLine="324"/>
        <w:spacing w:after="0" w:line="276" w:lineRule="auto"/>
        <w:rPr>
          <w:sz w:val="20"/>
          <w:szCs w:val="20"/>
          <w:color w:val="auto"/>
        </w:rPr>
      </w:pPr>
      <w:r>
        <w:rPr>
          <w:rFonts w:ascii="Arial" w:cs="Arial" w:eastAsia="Arial" w:hAnsi="Arial"/>
          <w:sz w:val="17"/>
          <w:szCs w:val="17"/>
          <w:color w:val="auto"/>
        </w:rPr>
        <w:t>We prepared the consolidated financial statements following the requirements of the Unites States (U.S.) Securities and Exchange Commission (SEC) for interim reporting. As permitted under those rules, certain footnotes or other financial information that are normally required by accounting principles generally accepted in the United States of America (U.S. GAAP) can be condensed or omitted. Unless the context requires otherwise, references to “World Fuel”, “the Company”, “we”, “us”, or “our” in this Quarterly Report on Form 10-Q (“10-Q Report”) refer to World Fuel Services Corporation and its subsidiaries.</w:t>
      </w:r>
    </w:p>
    <w:p>
      <w:pPr>
        <w:spacing w:after="0" w:line="173" w:lineRule="exact"/>
        <w:rPr>
          <w:sz w:val="20"/>
          <w:szCs w:val="20"/>
          <w:color w:val="auto"/>
        </w:rPr>
      </w:pPr>
    </w:p>
    <w:p>
      <w:pPr>
        <w:jc w:val="both"/>
        <w:ind w:left="1" w:firstLine="324"/>
        <w:spacing w:after="0" w:line="293" w:lineRule="auto"/>
        <w:rPr>
          <w:sz w:val="20"/>
          <w:szCs w:val="20"/>
          <w:color w:val="auto"/>
        </w:rPr>
      </w:pPr>
      <w:r>
        <w:rPr>
          <w:rFonts w:ascii="Arial" w:cs="Arial" w:eastAsia="Arial" w:hAnsi="Arial"/>
          <w:sz w:val="16"/>
          <w:szCs w:val="16"/>
          <w:color w:val="auto"/>
        </w:rPr>
        <w:t>Revenues, expenses, assets and liabilities can vary during each quarter of the year. Therefore, the results and trends in these interim financial statements may not be representative of those for the full year. In the opinion of management, all adjustments necessary for a fair presentation of the financial information, which are of a normal and recurring nature, have been made for the interim periods reported. The information included in this 10-Q Report should be read in conjunction with the consolidated financial statements and accompanying notes included in our 2015 Annual Report on Form 10-K (“2015 10-K Report”). Certain amounts in the consolidated financial statements and associated notes may not add due to rounding. All percentages have been calculated using unrounded amounts.</w:t>
      </w:r>
    </w:p>
    <w:p>
      <w:pPr>
        <w:spacing w:after="0" w:line="107"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Significant Accounting Policies</w:t>
      </w:r>
    </w:p>
    <w:p>
      <w:pPr>
        <w:spacing w:after="0" w:line="202" w:lineRule="exact"/>
        <w:rPr>
          <w:sz w:val="20"/>
          <w:szCs w:val="20"/>
          <w:color w:val="auto"/>
        </w:rPr>
      </w:pPr>
    </w:p>
    <w:p>
      <w:pPr>
        <w:jc w:val="both"/>
        <w:ind w:left="1" w:firstLine="324"/>
        <w:spacing w:after="0" w:line="221" w:lineRule="exact"/>
        <w:rPr>
          <w:sz w:val="20"/>
          <w:szCs w:val="20"/>
          <w:color w:val="auto"/>
        </w:rPr>
      </w:pPr>
      <w:r>
        <w:rPr>
          <w:rFonts w:ascii="Arial" w:cs="Arial" w:eastAsia="Arial" w:hAnsi="Arial"/>
          <w:sz w:val="18"/>
          <w:szCs w:val="18"/>
          <w:color w:val="auto"/>
        </w:rPr>
        <w:t>The significant accounting policies we use for quarterly financial reporting are disclosed in Note 1 of the “Notes to the Consolidated Financial Statements” included in our 2015 10</w:t>
      </w:r>
      <w:r>
        <w:rPr>
          <w:rFonts w:ascii="MS PGothic" w:cs="MS PGothic" w:eastAsia="MS PGothic" w:hAnsi="MS PGothic"/>
          <w:sz w:val="18"/>
          <w:szCs w:val="18"/>
          <w:color w:val="auto"/>
        </w:rPr>
        <w:t>‑</w:t>
      </w:r>
      <w:r>
        <w:rPr>
          <w:rFonts w:ascii="Arial" w:cs="Arial" w:eastAsia="Arial" w:hAnsi="Arial"/>
          <w:sz w:val="18"/>
          <w:szCs w:val="18"/>
          <w:color w:val="auto"/>
        </w:rPr>
        <w:t>K Report, as updated in “Item 2. Management’s Discussion and Analysis of Financial Condition” within this 10-Q report.</w:t>
      </w:r>
    </w:p>
    <w:p>
      <w:pPr>
        <w:spacing w:after="0" w:line="157"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1" w:firstLine="324"/>
        <w:spacing w:after="0" w:line="276" w:lineRule="auto"/>
        <w:rPr>
          <w:sz w:val="20"/>
          <w:szCs w:val="20"/>
          <w:color w:val="auto"/>
        </w:rPr>
      </w:pPr>
      <w:r>
        <w:rPr>
          <w:rFonts w:ascii="Arial" w:cs="Arial" w:eastAsia="Arial" w:hAnsi="Arial"/>
          <w:sz w:val="17"/>
          <w:szCs w:val="17"/>
          <w:color w:val="auto"/>
        </w:rPr>
        <w:t>During the first quarter of 2016, we recorded goodwill of $2.1 million in our land segment in connection with the 2016 acquisitions, described in Note 2. In addition, due to adjustments to provisional amounts identified during the measurement period of our 2015 acquisitions, we increased goodwill by $0.1 million, net primarily due to an increase in the land segment. Additionally, as a result of foreign currency translation adjustments of our non-U.S. dollar functional currency subsidiaries, goodwill decreased by $1.8 million in our land segment and increased by $1.0 million and $0.3 million in our aviation and marine segments, respectively.</w:t>
      </w:r>
    </w:p>
    <w:p>
      <w:pPr>
        <w:spacing w:after="0" w:line="344"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ind w:left="321"/>
        <w:spacing w:after="0"/>
        <w:rPr>
          <w:sz w:val="20"/>
          <w:szCs w:val="20"/>
          <w:color w:val="auto"/>
        </w:rPr>
      </w:pPr>
      <w:r>
        <w:rPr>
          <w:rFonts w:ascii="Arial" w:cs="Arial" w:eastAsia="Arial" w:hAnsi="Arial"/>
          <w:sz w:val="18"/>
          <w:szCs w:val="18"/>
          <w:color w:val="auto"/>
        </w:rPr>
        <w:t>The following accounting standards updates were recently adopted by the Company:</w:t>
      </w:r>
    </w:p>
    <w:p>
      <w:pPr>
        <w:spacing w:after="0" w:line="221" w:lineRule="exact"/>
        <w:rPr>
          <w:sz w:val="20"/>
          <w:szCs w:val="20"/>
          <w:color w:val="auto"/>
        </w:rPr>
      </w:pPr>
    </w:p>
    <w:p>
      <w:pPr>
        <w:jc w:val="both"/>
        <w:ind w:left="1" w:firstLine="324"/>
        <w:spacing w:after="0" w:line="271" w:lineRule="auto"/>
        <w:rPr>
          <w:sz w:val="20"/>
          <w:szCs w:val="20"/>
          <w:color w:val="auto"/>
        </w:rPr>
      </w:pPr>
      <w:r>
        <w:rPr>
          <w:rFonts w:ascii="Arial" w:cs="Arial" w:eastAsia="Arial" w:hAnsi="Arial"/>
          <w:sz w:val="17"/>
          <w:szCs w:val="17"/>
          <w:i w:val="1"/>
          <w:iCs w:val="1"/>
          <w:color w:val="auto"/>
        </w:rPr>
        <w:t xml:space="preserve">Business Combinations: Simplifying the Accounting for Measurement – Period Adjustments. </w:t>
      </w:r>
      <w:r>
        <w:rPr>
          <w:rFonts w:ascii="Arial" w:cs="Arial" w:eastAsia="Arial" w:hAnsi="Arial"/>
          <w:sz w:val="17"/>
          <w:szCs w:val="17"/>
          <w:color w:val="auto"/>
        </w:rPr>
        <w:t>In September 2015,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Board (‘FASB”) issued an Accounting Standards Update (“ASU”), to simplify the accounting for adjustments made to provisional amounts recognized in a business combination; the amendments eliminate the requirement to retrospectively account for those adjustments. The ASU requires that an acquirer recognize adjustments to provisional amounts that are identified during the measurement period in the reporting period in which the adjustment amounts are determined. It also requires the acquirer to record, in the same period’s financial statements, the effect on earnings of changes in depreciation, amortization, or other income effects, if any, as a result of the change to the provisional amounts, calculated as if the accounting had been completed at the acquisition date. This update became effective at the beginning of our 2016 fiscal year. The adoption of this ASU did not have a significant impact on our consolidated financial statements and disclosures.</w:t>
      </w:r>
    </w:p>
    <w:p>
      <w:pPr>
        <w:spacing w:after="0" w:line="179" w:lineRule="exact"/>
        <w:rPr>
          <w:sz w:val="20"/>
          <w:szCs w:val="20"/>
          <w:color w:val="auto"/>
        </w:rPr>
      </w:pPr>
    </w:p>
    <w:p>
      <w:pPr>
        <w:jc w:val="both"/>
        <w:ind w:left="1" w:firstLine="324"/>
        <w:spacing w:after="0" w:line="276" w:lineRule="auto"/>
        <w:rPr>
          <w:sz w:val="20"/>
          <w:szCs w:val="20"/>
          <w:color w:val="auto"/>
        </w:rPr>
      </w:pPr>
      <w:r>
        <w:rPr>
          <w:rFonts w:ascii="Arial" w:cs="Arial" w:eastAsia="Arial" w:hAnsi="Arial"/>
          <w:sz w:val="17"/>
          <w:szCs w:val="17"/>
          <w:i w:val="1"/>
          <w:iCs w:val="1"/>
          <w:color w:val="auto"/>
        </w:rPr>
        <w:t xml:space="preserve">Interest—Imputation of Interest: Simplifying the Presentation of Debt Issuance Costs. </w:t>
      </w:r>
      <w:r>
        <w:rPr>
          <w:rFonts w:ascii="Arial" w:cs="Arial" w:eastAsia="Arial" w:hAnsi="Arial"/>
          <w:sz w:val="17"/>
          <w:szCs w:val="17"/>
          <w:color w:val="auto"/>
        </w:rPr>
        <w:t>In April 2015, the FASB issued an ASU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This update became effective at the beginning of our 2016 fiscal year. The adoption of this ASU did not have a significant impact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8" w:name="page9"/>
    <w:bookmarkEnd w:id="8"/>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i w:val="1"/>
          <w:iCs w:val="1"/>
          <w:color w:val="auto"/>
        </w:rPr>
        <w:t xml:space="preserve">Consolidation: Amendments to the Consolidation Analysis. </w:t>
      </w:r>
      <w:r>
        <w:rPr>
          <w:rFonts w:ascii="Arial" w:cs="Arial" w:eastAsia="Arial" w:hAnsi="Arial"/>
          <w:sz w:val="18"/>
          <w:szCs w:val="18"/>
          <w:color w:val="auto"/>
        </w:rPr>
        <w:t>In February 2015, the FASB issued an ASU which is intended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targeted areas of consolidation guidance for legal entities such as limited partnerships, limited liability corporations, and securitization structures. This update became effective at the beginning of our 2016 fiscal year. The adoption of this ASU did not have a significant impact on our consolidated financial statements and disclosures.</w:t>
      </w:r>
    </w:p>
    <w:p>
      <w:pPr>
        <w:spacing w:after="0" w:line="187"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i w:val="1"/>
          <w:iCs w:val="1"/>
          <w:color w:val="auto"/>
        </w:rPr>
        <w:t xml:space="preserve">Income Statement-Extraordinary and Unusual Items: Simplifying Income Statement Presentation by Eliminating the Concept of Extraordinary Items. </w:t>
      </w:r>
      <w:r>
        <w:rPr>
          <w:rFonts w:ascii="Arial" w:cs="Arial" w:eastAsia="Arial" w:hAnsi="Arial"/>
          <w:sz w:val="18"/>
          <w:szCs w:val="18"/>
          <w:color w:val="auto"/>
        </w:rPr>
        <w:t>In January 2015, the FASB issued an ASU which eliminates the concept of extraordinary items. This update became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at the beginning of our 2016 fiscal year. The adoption of this ASU did not have a significant impact on our consolidated financial statements and disclosures.</w:t>
      </w:r>
    </w:p>
    <w:p>
      <w:pPr>
        <w:spacing w:after="0" w:line="187" w:lineRule="exact"/>
        <w:rPr>
          <w:sz w:val="20"/>
          <w:szCs w:val="20"/>
          <w:color w:val="auto"/>
        </w:rPr>
      </w:pPr>
    </w:p>
    <w:p>
      <w:pPr>
        <w:jc w:val="both"/>
        <w:ind w:left="1" w:firstLine="324"/>
        <w:spacing w:after="0" w:line="276" w:lineRule="auto"/>
        <w:rPr>
          <w:sz w:val="20"/>
          <w:szCs w:val="20"/>
          <w:color w:val="auto"/>
        </w:rPr>
      </w:pPr>
      <w:r>
        <w:rPr>
          <w:rFonts w:ascii="Arial" w:cs="Arial" w:eastAsia="Arial" w:hAnsi="Arial"/>
          <w:sz w:val="17"/>
          <w:szCs w:val="17"/>
          <w:i w:val="1"/>
          <w:iCs w:val="1"/>
          <w:color w:val="auto"/>
        </w:rPr>
        <w:t xml:space="preserve">Derivatives and Hedging: Determining Whether the Host Contract in a Hybrid Financial Instrument Issued in the Form of a Share Is More Akin to Debt or to Equity. </w:t>
      </w:r>
      <w:r>
        <w:rPr>
          <w:rFonts w:ascii="Arial" w:cs="Arial" w:eastAsia="Arial" w:hAnsi="Arial"/>
          <w:sz w:val="17"/>
          <w:szCs w:val="17"/>
          <w:color w:val="auto"/>
        </w:rPr>
        <w:t>In November 2014, the FASB issued an ASU which clarifies how current generally accepted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in the United States should be interpreted in evaluating the economic characteristics and risks of a host contract in a hybrid financial instrument that is issued in the form of a share. This update became effective at the beginning of our 2016 fiscal year. The adoption of this ASU did not have a significant impact on our consolidated financial statements and disclosures.</w:t>
      </w:r>
    </w:p>
    <w:p>
      <w:pPr>
        <w:spacing w:after="0" w:line="173" w:lineRule="exact"/>
        <w:rPr>
          <w:sz w:val="20"/>
          <w:szCs w:val="20"/>
          <w:color w:val="auto"/>
        </w:rPr>
      </w:pPr>
    </w:p>
    <w:p>
      <w:pPr>
        <w:jc w:val="both"/>
        <w:ind w:left="1" w:firstLine="324"/>
        <w:spacing w:after="0" w:line="257" w:lineRule="auto"/>
        <w:rPr>
          <w:sz w:val="20"/>
          <w:szCs w:val="20"/>
          <w:color w:val="auto"/>
        </w:rPr>
      </w:pPr>
      <w:r>
        <w:rPr>
          <w:rFonts w:ascii="Arial" w:cs="Arial" w:eastAsia="Arial" w:hAnsi="Arial"/>
          <w:sz w:val="18"/>
          <w:szCs w:val="18"/>
          <w:i w:val="1"/>
          <w:iCs w:val="1"/>
          <w:color w:val="auto"/>
        </w:rPr>
        <w:t xml:space="preserve">Compensation - Stock Compensation. Accounting for Share-Based Payments when the Terms of an Award Provide that a Performance Target could be Achieved after the Requisite Service Period. </w:t>
      </w:r>
      <w:r>
        <w:rPr>
          <w:rFonts w:ascii="Arial" w:cs="Arial" w:eastAsia="Arial" w:hAnsi="Arial"/>
          <w:sz w:val="18"/>
          <w:szCs w:val="18"/>
          <w:color w:val="auto"/>
        </w:rPr>
        <w:t>In June 2014, the FASB issued an ASU which includes guidance that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a performance target that affects vesting and that could be achieved after the requisite service period to be treated as a performance condition. This update became effective at the beginning of our 2016 fiscal year. The adoption of this ASU did not have a significant impact on our consolidated financial statements and disclosures.</w:t>
      </w:r>
    </w:p>
    <w:p>
      <w:pPr>
        <w:spacing w:after="0" w:line="400" w:lineRule="exact"/>
        <w:rPr>
          <w:sz w:val="20"/>
          <w:szCs w:val="20"/>
          <w:color w:val="auto"/>
        </w:rPr>
      </w:pPr>
    </w:p>
    <w:p>
      <w:pPr>
        <w:ind w:left="321" w:right="6040" w:hanging="321"/>
        <w:spacing w:after="0" w:line="503" w:lineRule="auto"/>
        <w:tabs>
          <w:tab w:leader="none" w:pos="29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Assets and Liabilities Held for Sale 2016 Acquisitions</w:t>
      </w:r>
    </w:p>
    <w:p>
      <w:pPr>
        <w:spacing w:after="0" w:line="1"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color w:val="auto"/>
        </w:rPr>
        <w:t>In the first quarter of 2016, we completed three acquisitions in our land segment which were not significant individually or in the aggregate. The financial position, results of operations and cash flows of the 2016 acquisitions have been included in our consolidated financial statements, since their respective acquisition dates, and did not have a significant impact on our revenue and net income for the three months ended March 31, 2016.</w:t>
      </w:r>
    </w:p>
    <w:p>
      <w:pPr>
        <w:spacing w:after="0" w:line="187"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color w:val="auto"/>
        </w:rPr>
        <w:t>In the first quarter of 2016, we agreed to acquire from certain ExxonMobil affiliates their aviation fueling operations at 83 airports in Canada, the United Kingdom, Germany, Italy, France, Australia and New Zealand. The transaction is subject to customary regulatory consents and closing conditions, including securing third party consents and therefore there can be no assurance that we will be successful in closing the acquisition.</w:t>
      </w:r>
    </w:p>
    <w:p>
      <w:pPr>
        <w:spacing w:after="0" w:line="183"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Assets and Liabilities Held for Sale</w:t>
      </w:r>
    </w:p>
    <w:p>
      <w:pPr>
        <w:spacing w:after="0" w:line="229" w:lineRule="exact"/>
        <w:rPr>
          <w:sz w:val="20"/>
          <w:szCs w:val="20"/>
          <w:color w:val="auto"/>
        </w:rPr>
      </w:pPr>
    </w:p>
    <w:p>
      <w:pPr>
        <w:jc w:val="both"/>
        <w:ind w:left="1" w:firstLine="324"/>
        <w:spacing w:after="0" w:line="254" w:lineRule="auto"/>
        <w:rPr>
          <w:sz w:val="20"/>
          <w:szCs w:val="20"/>
          <w:color w:val="auto"/>
        </w:rPr>
      </w:pPr>
      <w:r>
        <w:rPr>
          <w:rFonts w:ascii="Arial" w:cs="Arial" w:eastAsia="Arial" w:hAnsi="Arial"/>
          <w:sz w:val="18"/>
          <w:szCs w:val="18"/>
          <w:color w:val="auto"/>
        </w:rPr>
        <w:t>In connection with the acquisition of all of the outstanding stock of Pester Marketing Company (“Pester”) on September 1, 2015, we committed to a plan to sell certain assets and liabilities of Pester’s fuel retail business. As all of the criteria for classification as held for sale were met, those assets and liabilities of the business were presented separately as held for sale in our consolidated balance sheets as of March 31, 2016. Current assets held for sale of the disposal group, which includes inventories and other current assets, were $5.7 million. The non-current assets held for sale, which include property and equipment, goodwill and identifiable intangible assets, were $33.5 million. Current liabilities held for sale, which includes accounts payable and accrued expenses and other current liabilities, were $5.5 million. Non-current liabilities held for sale, comprised of deferred tax liabilities, were $5.1 million. These net assets have been reported as part of our land segment.</w:t>
      </w:r>
    </w:p>
    <w:p>
      <w:pPr>
        <w:spacing w:after="0" w:line="188" w:lineRule="exact"/>
        <w:rPr>
          <w:sz w:val="20"/>
          <w:szCs w:val="20"/>
          <w:color w:val="auto"/>
        </w:rPr>
      </w:pPr>
    </w:p>
    <w:p>
      <w:pPr>
        <w:ind w:left="1"/>
        <w:spacing w:after="0"/>
        <w:tabs>
          <w:tab w:leader="none" w:pos="2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Derivatives</w:t>
      </w:r>
    </w:p>
    <w:p>
      <w:pPr>
        <w:spacing w:after="0" w:line="229" w:lineRule="exact"/>
        <w:rPr>
          <w:sz w:val="20"/>
          <w:szCs w:val="20"/>
          <w:color w:val="auto"/>
        </w:rPr>
      </w:pPr>
    </w:p>
    <w:p>
      <w:pPr>
        <w:jc w:val="both"/>
        <w:ind w:left="1" w:firstLine="324"/>
        <w:spacing w:after="0" w:line="293" w:lineRule="auto"/>
        <w:rPr>
          <w:sz w:val="20"/>
          <w:szCs w:val="20"/>
          <w:color w:val="auto"/>
        </w:rPr>
      </w:pPr>
      <w:r>
        <w:rPr>
          <w:rFonts w:ascii="Arial" w:cs="Arial" w:eastAsia="Arial" w:hAnsi="Arial"/>
          <w:sz w:val="16"/>
          <w:szCs w:val="16"/>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in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sheets and the difference between the fair value and the contract amount is immediately recognized through earnings.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commodity contracts we enter into to mitigate the risk of price volatility in forecasted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relating to fixed price purchase and sale contracts.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Non-designated Derivatives. </w:t>
      </w:r>
      <w:r>
        <w:rPr>
          <w:rFonts w:ascii="Arial" w:cs="Arial" w:eastAsia="Arial" w:hAnsi="Arial"/>
          <w:sz w:val="17"/>
          <w:szCs w:val="17"/>
          <w:color w:val="auto"/>
        </w:rPr>
        <w:t>Includes derivatives we primarily enter into in order to mitigate the risk of market price fluctuations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marine and land fuel in the form of swaps or futures as well as certain fixed price purchase and sale contracts and proprietary trading. In addition, non-designated derivatives are entered into to hedge the risk of currency rate fluctuations.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March 31, 2016, our derivative instruments, at their respective fair value positions were as follows (in millions, except weighted average fixed price and weighted average mark-to-market amount):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Mark-to-</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Settlement</w:t>
            </w:r>
          </w:p>
        </w:tc>
        <w:tc>
          <w:tcPr>
            <w:tcW w:w="3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Derivative</w:t>
            </w:r>
          </w:p>
        </w:tc>
        <w:tc>
          <w:tcPr>
            <w:tcW w:w="78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Period</w:t>
            </w:r>
          </w:p>
        </w:tc>
        <w:tc>
          <w:tcPr>
            <w:tcW w:w="324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Derivative Instrument</w:t>
            </w: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Notional</w:t>
            </w:r>
          </w:p>
        </w:tc>
        <w:tc>
          <w:tcPr>
            <w:tcW w:w="580" w:type="dxa"/>
            <w:vAlign w:val="bottom"/>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Unit</w:t>
            </w:r>
          </w:p>
        </w:tc>
        <w:tc>
          <w:tcPr>
            <w:tcW w:w="9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Fixed Price</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2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Classification</w:t>
            </w: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3240" w:type="dxa"/>
            <w:vAlign w:val="bottom"/>
            <w:tcBorders>
              <w:bottom w:val="single" w:sz="8" w:color="auto"/>
            </w:tcBorders>
            <w:vMerge w:val="continue"/>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gridSpan w:val="2"/>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w w:val="93"/>
              </w:rPr>
              <w:t>Fair Value Hedge</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49.507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(0.135)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2017</w:t>
            </w:r>
          </w:p>
        </w:tc>
        <w:tc>
          <w:tcPr>
            <w:tcW w:w="32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0.1</w:t>
            </w:r>
          </w:p>
        </w:tc>
        <w:tc>
          <w:tcPr>
            <w:tcW w:w="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51.789</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4.716</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Flow</w:t>
            </w:r>
          </w:p>
        </w:tc>
        <w:tc>
          <w:tcPr>
            <w:tcW w:w="78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Hedge</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47.404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0.241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2017</w:t>
            </w:r>
          </w:p>
        </w:tc>
        <w:tc>
          <w:tcPr>
            <w:tcW w:w="32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1.5</w:t>
            </w:r>
          </w:p>
        </w:tc>
        <w:tc>
          <w:tcPr>
            <w:tcW w:w="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58.575</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2.274</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Non-Designated</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36.915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38.926</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10.374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22.835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(0.239)</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3240" w:type="dxa"/>
            <w:vAlign w:val="bottom"/>
          </w:tcPr>
          <w:p>
            <w:pPr>
              <w:ind w:left="6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29.761</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0.870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12.593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3240" w:type="dxa"/>
            <w:vAlign w:val="bottom"/>
          </w:tcPr>
          <w:p>
            <w:pPr>
              <w:ind w:left="6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12.253</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(1.647)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20.912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0.210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3240" w:type="dxa"/>
            <w:vAlign w:val="bottom"/>
          </w:tcPr>
          <w:p>
            <w:pPr>
              <w:ind w:left="6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49.907</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10.084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21.620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3240" w:type="dxa"/>
            <w:vAlign w:val="bottom"/>
          </w:tcPr>
          <w:p>
            <w:pPr>
              <w:ind w:left="6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37.674</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7.626</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20.792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0.136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580" w:type="dxa"/>
            <w:vAlign w:val="bottom"/>
          </w:tcPr>
          <w:p>
            <w:pPr>
              <w:ind w:left="120"/>
              <w:spacing w:after="0"/>
              <w:rPr>
                <w:sz w:val="20"/>
                <w:szCs w:val="20"/>
                <w:color w:val="auto"/>
              </w:rPr>
            </w:pPr>
            <w:r>
              <w:rPr>
                <w:rFonts w:ascii="Arial" w:cs="Arial" w:eastAsia="Arial" w:hAnsi="Arial"/>
                <w:sz w:val="14"/>
                <w:szCs w:val="14"/>
                <w:color w:val="auto"/>
              </w:rPr>
              <w:t>AUD</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0.714</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(0.044)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580" w:type="dxa"/>
            <w:vAlign w:val="bottom"/>
          </w:tcPr>
          <w:p>
            <w:pPr>
              <w:ind w:left="120"/>
              <w:spacing w:after="0"/>
              <w:rPr>
                <w:sz w:val="20"/>
                <w:szCs w:val="20"/>
                <w:color w:val="auto"/>
              </w:rPr>
            </w:pPr>
            <w:r>
              <w:rPr>
                <w:rFonts w:ascii="Arial" w:cs="Arial" w:eastAsia="Arial" w:hAnsi="Arial"/>
                <w:sz w:val="14"/>
                <w:szCs w:val="14"/>
                <w:color w:val="auto"/>
              </w:rPr>
              <w:t>CHF</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1.005</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(0.046)</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3,869.5</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CLP</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699.730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71,005.7</w:t>
            </w:r>
          </w:p>
        </w:tc>
        <w:tc>
          <w:tcPr>
            <w:tcW w:w="580" w:type="dxa"/>
            <w:vAlign w:val="bottom"/>
          </w:tcPr>
          <w:p>
            <w:pPr>
              <w:ind w:left="120"/>
              <w:spacing w:after="0"/>
              <w:rPr>
                <w:sz w:val="20"/>
                <w:szCs w:val="20"/>
                <w:color w:val="auto"/>
              </w:rPr>
            </w:pPr>
            <w:r>
              <w:rPr>
                <w:rFonts w:ascii="Arial" w:cs="Arial" w:eastAsia="Arial" w:hAnsi="Arial"/>
                <w:sz w:val="14"/>
                <w:szCs w:val="14"/>
                <w:color w:val="auto"/>
              </w:rPr>
              <w:t>COP</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3,293.082</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(0.000)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DKK</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6.804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(0.002)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42.4</w:t>
            </w:r>
          </w:p>
        </w:tc>
        <w:tc>
          <w:tcPr>
            <w:tcW w:w="580" w:type="dxa"/>
            <w:vAlign w:val="bottom"/>
          </w:tcPr>
          <w:p>
            <w:pPr>
              <w:ind w:left="120"/>
              <w:spacing w:after="0"/>
              <w:rPr>
                <w:sz w:val="20"/>
                <w:szCs w:val="20"/>
                <w:color w:val="auto"/>
              </w:rPr>
            </w:pPr>
            <w:r>
              <w:rPr>
                <w:rFonts w:ascii="Arial" w:cs="Arial" w:eastAsia="Arial" w:hAnsi="Arial"/>
                <w:sz w:val="14"/>
                <w:szCs w:val="14"/>
                <w:color w:val="auto"/>
              </w:rPr>
              <w:t>EUR</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1.097</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(0.039)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0.033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94.7</w:t>
            </w:r>
          </w:p>
        </w:tc>
        <w:tc>
          <w:tcPr>
            <w:tcW w:w="580" w:type="dxa"/>
            <w:vAlign w:val="bottom"/>
          </w:tcPr>
          <w:p>
            <w:pPr>
              <w:ind w:left="120"/>
              <w:spacing w:after="0"/>
              <w:rPr>
                <w:sz w:val="20"/>
                <w:szCs w:val="20"/>
                <w:color w:val="auto"/>
              </w:rPr>
            </w:pPr>
            <w:r>
              <w:rPr>
                <w:rFonts w:ascii="Arial" w:cs="Arial" w:eastAsia="Arial" w:hAnsi="Arial"/>
                <w:sz w:val="14"/>
                <w:szCs w:val="14"/>
                <w:color w:val="auto"/>
              </w:rPr>
              <w:t>INR</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68.082</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(0.000)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JPY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115.852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1,785.8</w:t>
            </w:r>
          </w:p>
        </w:tc>
        <w:tc>
          <w:tcPr>
            <w:tcW w:w="580" w:type="dxa"/>
            <w:vAlign w:val="bottom"/>
          </w:tcPr>
          <w:p>
            <w:pPr>
              <w:ind w:left="120"/>
              <w:spacing w:after="0"/>
              <w:rPr>
                <w:sz w:val="20"/>
                <w:szCs w:val="20"/>
                <w:color w:val="auto"/>
              </w:rPr>
            </w:pPr>
            <w:r>
              <w:rPr>
                <w:rFonts w:ascii="Arial" w:cs="Arial" w:eastAsia="Arial" w:hAnsi="Arial"/>
                <w:sz w:val="14"/>
                <w:szCs w:val="14"/>
                <w:color w:val="auto"/>
              </w:rPr>
              <w:t>MXN</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18.104</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0.000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NOK</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8.712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(0.005)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580" w:type="dxa"/>
            <w:vAlign w:val="bottom"/>
          </w:tcPr>
          <w:p>
            <w:pPr>
              <w:ind w:left="120"/>
              <w:spacing w:after="0"/>
              <w:rPr>
                <w:sz w:val="20"/>
                <w:szCs w:val="20"/>
                <w:color w:val="auto"/>
              </w:rPr>
            </w:pPr>
            <w:r>
              <w:rPr>
                <w:rFonts w:ascii="Arial" w:cs="Arial" w:eastAsia="Arial" w:hAnsi="Arial"/>
                <w:sz w:val="14"/>
                <w:szCs w:val="14"/>
                <w:color w:val="auto"/>
              </w:rPr>
              <w:t>PLN</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4.002</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(0.005)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81.3</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4.128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(0.005)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580" w:type="dxa"/>
            <w:vAlign w:val="bottom"/>
          </w:tcPr>
          <w:p>
            <w:pPr>
              <w:ind w:left="120"/>
              <w:spacing w:after="0"/>
              <w:rPr>
                <w:sz w:val="20"/>
                <w:szCs w:val="20"/>
                <w:color w:val="auto"/>
              </w:rPr>
            </w:pPr>
            <w:r>
              <w:rPr>
                <w:rFonts w:ascii="Arial" w:cs="Arial" w:eastAsia="Arial" w:hAnsi="Arial"/>
                <w:sz w:val="14"/>
                <w:szCs w:val="14"/>
                <w:color w:val="auto"/>
              </w:rPr>
              <w:t>SEK</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8.569</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0.007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SGD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580" w:type="dxa"/>
            <w:vAlign w:val="bottom"/>
          </w:tcPr>
          <w:p>
            <w:pPr>
              <w:ind w:left="120"/>
              <w:spacing w:after="0"/>
              <w:rPr>
                <w:sz w:val="20"/>
                <w:szCs w:val="20"/>
                <w:color w:val="auto"/>
              </w:rPr>
            </w:pPr>
            <w:r>
              <w:rPr>
                <w:rFonts w:ascii="Arial" w:cs="Arial" w:eastAsia="Arial" w:hAnsi="Arial"/>
                <w:sz w:val="14"/>
                <w:szCs w:val="14"/>
                <w:color w:val="auto"/>
              </w:rPr>
              <w:t>ZAR</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16.080</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(0.004)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EUR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(0.070)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3240" w:type="dxa"/>
            <w:vAlign w:val="bottom"/>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580" w:type="dxa"/>
            <w:vAlign w:val="bottom"/>
          </w:tcPr>
          <w:p>
            <w:pPr>
              <w:ind w:left="120"/>
              <w:spacing w:after="0"/>
              <w:rPr>
                <w:sz w:val="20"/>
                <w:szCs w:val="20"/>
                <w:color w:val="auto"/>
              </w:rPr>
            </w:pPr>
            <w:r>
              <w:rPr>
                <w:rFonts w:ascii="Arial" w:cs="Arial" w:eastAsia="Arial" w:hAnsi="Arial"/>
                <w:sz w:val="14"/>
                <w:szCs w:val="14"/>
                <w:color w:val="auto"/>
              </w:rPr>
              <w:t>GBP</w:t>
            </w:r>
          </w:p>
        </w:tc>
        <w:tc>
          <w:tcPr>
            <w:tcW w:w="2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1.527</w:t>
            </w:r>
          </w:p>
        </w:tc>
        <w:tc>
          <w:tcPr>
            <w:tcW w:w="22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0.088</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3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EUR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Foreign currency contracts</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GBP</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1.403</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(0.034)</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Balance Sheet Location</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8"/>
              </w:rPr>
              <w:t>March 31, 2016</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Derivative assets:</w:t>
            </w:r>
          </w:p>
        </w:tc>
        <w:tc>
          <w:tcPr>
            <w:tcW w:w="1200" w:type="dxa"/>
            <w:vAlign w:val="bottom"/>
            <w:tcBorders>
              <w:bottom w:val="single" w:sz="8" w:color="CCEEFF"/>
            </w:tcBorders>
            <w:gridSpan w:val="2"/>
            <w:shd w:val="clear" w:color="auto" w:fill="CCEEFF"/>
          </w:tcPr>
          <w:p>
            <w:pPr>
              <w:spacing w:after="0"/>
              <w:rPr>
                <w:sz w:val="16"/>
                <w:szCs w:val="16"/>
                <w:color w:val="auto"/>
              </w:rPr>
            </w:pPr>
          </w:p>
        </w:tc>
        <w:tc>
          <w:tcPr>
            <w:tcW w:w="44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derivative assets, net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tcPr>
          <w:p>
            <w:pPr>
              <w:ind w:left="460"/>
              <w:spacing w:after="0"/>
              <w:rPr>
                <w:sz w:val="20"/>
                <w:szCs w:val="20"/>
                <w:color w:val="auto"/>
              </w:rPr>
            </w:pPr>
            <w:r>
              <w:rPr>
                <w:rFonts w:ascii="Arial" w:cs="Arial" w:eastAsia="Arial" w:hAnsi="Arial"/>
                <w:sz w:val="18"/>
                <w:szCs w:val="18"/>
                <w:color w:val="auto"/>
                <w:w w:val="98"/>
              </w:rPr>
              <w:t>Identifiable intangible and other non-current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85.2</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tcPr>
          <w:p>
            <w:pPr>
              <w:ind w:left="460"/>
              <w:spacing w:after="0"/>
              <w:rPr>
                <w:sz w:val="20"/>
                <w:szCs w:val="20"/>
                <w:color w:val="auto"/>
              </w:rPr>
            </w:pPr>
            <w:r>
              <w:rPr>
                <w:rFonts w:ascii="Arial" w:cs="Arial" w:eastAsia="Arial" w:hAnsi="Arial"/>
                <w:sz w:val="18"/>
                <w:szCs w:val="18"/>
                <w:color w:val="auto"/>
              </w:rPr>
              <w:t>Short-term derivative assets,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167.6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Identifiable intangible and other non-current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Foreign currency contracts</w:t>
            </w:r>
          </w:p>
        </w:tc>
        <w:tc>
          <w:tcPr>
            <w:tcW w:w="4480" w:type="dxa"/>
            <w:vAlign w:val="bottom"/>
          </w:tcPr>
          <w:p>
            <w:pPr>
              <w:ind w:left="460"/>
              <w:spacing w:after="0"/>
              <w:rPr>
                <w:sz w:val="20"/>
                <w:szCs w:val="20"/>
                <w:color w:val="auto"/>
              </w:rPr>
            </w:pPr>
            <w:r>
              <w:rPr>
                <w:rFonts w:ascii="Arial" w:cs="Arial" w:eastAsia="Arial" w:hAnsi="Arial"/>
                <w:sz w:val="18"/>
                <w:szCs w:val="18"/>
                <w:color w:val="auto"/>
              </w:rPr>
              <w:t>Short-term derivative assets,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Foreign currency contracts</w:t>
            </w: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Identifiable intangible and other non-current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Foreign currency contracts</w:t>
            </w:r>
          </w:p>
        </w:tc>
        <w:tc>
          <w:tcPr>
            <w:tcW w:w="4480" w:type="dxa"/>
            <w:vAlign w:val="bottom"/>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Foreign currency contracts</w:t>
            </w:r>
          </w:p>
        </w:tc>
        <w:tc>
          <w:tcPr>
            <w:tcW w:w="44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342.7</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Derivative liabilities:</w:t>
            </w:r>
          </w:p>
        </w:tc>
        <w:tc>
          <w:tcPr>
            <w:tcW w:w="4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2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derivative assets, net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Arial" w:cs="Arial" w:eastAsia="Arial" w:hAnsi="Arial"/>
                <w:sz w:val="18"/>
                <w:szCs w:val="18"/>
                <w:color w:val="auto"/>
              </w:rPr>
              <w:t>Derivatives not designated as hedging instruments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derivative assets,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tcPr>
          <w:p>
            <w:pPr>
              <w:ind w:left="460"/>
              <w:spacing w:after="0"/>
              <w:rPr>
                <w:sz w:val="20"/>
                <w:szCs w:val="20"/>
                <w:color w:val="auto"/>
              </w:rPr>
            </w:pPr>
            <w:r>
              <w:rPr>
                <w:rFonts w:ascii="Arial" w:cs="Arial" w:eastAsia="Arial" w:hAnsi="Arial"/>
                <w:sz w:val="18"/>
                <w:szCs w:val="18"/>
                <w:color w:val="auto"/>
                <w:w w:val="98"/>
              </w:rPr>
              <w:t>Identifiable intangible and other non-current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480" w:type="dxa"/>
            <w:vAlign w:val="bottom"/>
          </w:tcPr>
          <w:p>
            <w:pPr>
              <w:ind w:left="46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Foreign currency contracts</w:t>
            </w: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derivative assets,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Foreign currency contracts</w:t>
            </w:r>
          </w:p>
        </w:tc>
        <w:tc>
          <w:tcPr>
            <w:tcW w:w="4480" w:type="dxa"/>
            <w:vAlign w:val="bottom"/>
          </w:tcPr>
          <w:p>
            <w:pPr>
              <w:ind w:left="460"/>
              <w:spacing w:after="0"/>
              <w:rPr>
                <w:sz w:val="20"/>
                <w:szCs w:val="20"/>
                <w:color w:val="auto"/>
              </w:rPr>
            </w:pPr>
            <w:r>
              <w:rPr>
                <w:rFonts w:ascii="Arial" w:cs="Arial" w:eastAsia="Arial" w:hAnsi="Arial"/>
                <w:sz w:val="18"/>
                <w:szCs w:val="18"/>
                <w:color w:val="auto"/>
                <w:w w:val="98"/>
              </w:rPr>
              <w:t>Identifiable intangible and other non-current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Foreign currency contracts</w:t>
            </w: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Foreign currency contracts</w:t>
            </w:r>
          </w:p>
        </w:tc>
        <w:tc>
          <w:tcPr>
            <w:tcW w:w="44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334.8</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hedging relationships on our consolidated statements of income and comprehensive income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Realized and Unrealized</w:t>
            </w: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Realized and Unrealized</w:t>
            </w:r>
          </w:p>
        </w:tc>
      </w:tr>
      <w:tr>
        <w:trPr>
          <w:trHeight w:val="201"/>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Derivative Instruments</w:t>
            </w:r>
          </w:p>
        </w:tc>
        <w:tc>
          <w:tcPr>
            <w:tcW w:w="1400" w:type="dxa"/>
            <w:vAlign w:val="bottom"/>
          </w:tcPr>
          <w:p>
            <w:pPr>
              <w:ind w:left="180"/>
              <w:spacing w:after="0"/>
              <w:rPr>
                <w:sz w:val="20"/>
                <w:szCs w:val="20"/>
                <w:color w:val="auto"/>
              </w:rPr>
            </w:pPr>
            <w:r>
              <w:rPr>
                <w:rFonts w:ascii="Arial" w:cs="Arial" w:eastAsia="Arial" w:hAnsi="Arial"/>
                <w:sz w:val="14"/>
                <w:szCs w:val="14"/>
                <w:b w:val="1"/>
                <w:bCs w:val="1"/>
                <w:color w:val="auto"/>
              </w:rPr>
              <w:t>Location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Gain</w:t>
            </w: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Hedged Items</w:t>
            </w: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Loss</w:t>
            </w: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8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r>
      <w:tr>
        <w:trPr>
          <w:trHeight w:val="190"/>
        </w:trPr>
        <w:tc>
          <w:tcPr>
            <w:tcW w:w="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8"/>
              </w:rPr>
              <w:t>Three months ended March 31,</w:t>
            </w: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Commodity contracts</w:t>
            </w:r>
          </w:p>
        </w:tc>
        <w:tc>
          <w:tcPr>
            <w:tcW w:w="1400" w:type="dxa"/>
            <w:vAlign w:val="bottom"/>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88.0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Cost of</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1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4"/>
              </w:rPr>
              <w:t>Cost of revenue</w:t>
            </w:r>
          </w:p>
        </w:tc>
        <w:tc>
          <w:tcPr>
            <w:tcW w:w="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3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revenue</w:t>
            </w:r>
          </w:p>
        </w:tc>
        <w:tc>
          <w:tcPr>
            <w:tcW w:w="5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(0.5)</w:t>
            </w:r>
          </w:p>
        </w:tc>
      </w:tr>
      <w:tr>
        <w:trPr>
          <w:trHeight w:val="217"/>
        </w:trPr>
        <w:tc>
          <w:tcPr>
            <w:tcW w:w="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6"/>
              </w:rPr>
              <w:t>(0.5)</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gains or losses for the three months ended March 31, 2016 and 2015 that were excluded from the assessment of the effectiveness of our fair value hedges.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Location of Realized Gain</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20" w:type="dxa"/>
            <w:vAlign w:val="bottom"/>
          </w:tcPr>
          <w:p>
            <w:pPr>
              <w:spacing w:after="0"/>
              <w:rPr>
                <w:sz w:val="12"/>
                <w:szCs w:val="12"/>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Recognized in Accumulated</w:t>
            </w:r>
          </w:p>
        </w:tc>
        <w:tc>
          <w:tcPr>
            <w:tcW w:w="140" w:type="dxa"/>
            <w:vAlign w:val="bottom"/>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3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7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(Loss)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(Effective</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3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Income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Income (Effective Portion)</w:t>
            </w:r>
          </w:p>
        </w:tc>
        <w:tc>
          <w:tcPr>
            <w:tcW w:w="140" w:type="dxa"/>
            <w:vAlign w:val="bottom"/>
          </w:tcPr>
          <w:p>
            <w:pPr>
              <w:spacing w:after="0"/>
              <w:rPr>
                <w:sz w:val="14"/>
                <w:szCs w:val="14"/>
                <w:color w:val="auto"/>
              </w:rPr>
            </w:pPr>
          </w:p>
        </w:tc>
        <w:tc>
          <w:tcPr>
            <w:tcW w:w="1600" w:type="dxa"/>
            <w:vAlign w:val="bottom"/>
          </w:tcPr>
          <w:p>
            <w:pPr>
              <w:jc w:val="center"/>
              <w:ind w:left="688"/>
              <w:spacing w:after="0"/>
              <w:rPr>
                <w:sz w:val="20"/>
                <w:szCs w:val="20"/>
                <w:color w:val="auto"/>
              </w:rPr>
            </w:pPr>
            <w:r>
              <w:rPr>
                <w:rFonts w:ascii="Arial" w:cs="Arial" w:eastAsia="Arial" w:hAnsi="Arial"/>
                <w:sz w:val="14"/>
                <w:szCs w:val="14"/>
                <w:b w:val="1"/>
                <w:bCs w:val="1"/>
                <w:color w:val="auto"/>
                <w:w w:val="96"/>
              </w:rPr>
              <w:t>Portion)</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3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Derivative Instruments</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2015</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0"/>
              </w:rPr>
              <w:t>Three Months ended March</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20" w:type="dxa"/>
            <w:vAlign w:val="bottom"/>
            <w:gridSpan w:val="2"/>
          </w:tcPr>
          <w:p>
            <w:pPr>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Commodity contracts</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CEEFF"/>
            </w:tcBorders>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(46.5)</w:t>
            </w:r>
          </w:p>
        </w:tc>
        <w:tc>
          <w:tcPr>
            <w:tcW w:w="400" w:type="dxa"/>
            <w:vAlign w:val="bottom"/>
            <w:tcBorders>
              <w:top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7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Revenue</w:t>
            </w:r>
          </w:p>
        </w:tc>
        <w:tc>
          <w:tcPr>
            <w:tcW w:w="9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(53.8)</w:t>
            </w:r>
          </w:p>
        </w:tc>
        <w:tc>
          <w:tcPr>
            <w:tcW w:w="400" w:type="dxa"/>
            <w:vAlign w:val="bottom"/>
            <w:tcBorders>
              <w:top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(0.1)</w:t>
            </w:r>
          </w:p>
        </w:tc>
        <w:tc>
          <w:tcPr>
            <w:tcW w:w="26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6"/>
                <w:szCs w:val="16"/>
                <w:color w:val="auto"/>
              </w:rPr>
              <w:t>Commodity contracts</w:t>
            </w:r>
          </w:p>
        </w:tc>
        <w:tc>
          <w:tcPr>
            <w:tcW w:w="30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44.2</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40"/>
              <w:spacing w:after="0"/>
              <w:rPr>
                <w:sz w:val="20"/>
                <w:szCs w:val="20"/>
                <w:color w:val="auto"/>
              </w:rPr>
            </w:pPr>
            <w:r>
              <w:rPr>
                <w:rFonts w:ascii="Arial" w:cs="Arial" w:eastAsia="Arial" w:hAnsi="Arial"/>
                <w:sz w:val="16"/>
                <w:szCs w:val="16"/>
                <w:color w:val="auto"/>
              </w:rPr>
              <w:t>Cost of Revenue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
              <w:spacing w:after="0"/>
              <w:rPr>
                <w:sz w:val="20"/>
                <w:szCs w:val="20"/>
                <w:color w:val="auto"/>
              </w:rPr>
            </w:pPr>
            <w:r>
              <w:rPr>
                <w:rFonts w:ascii="Arial" w:cs="Arial" w:eastAsia="Arial" w:hAnsi="Arial"/>
                <w:sz w:val="18"/>
                <w:szCs w:val="18"/>
                <w:color w:val="auto"/>
              </w:rPr>
              <w:t>54.3</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0.5</w:t>
            </w:r>
          </w:p>
        </w:tc>
        <w:tc>
          <w:tcPr>
            <w:tcW w:w="4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three months ended March 31, 2016, we recorded a loss of $0.1 million in revenue and income of $2.9 million in cost of revenue, related to hedge ineffectiveness. In the event forecasted sales and purchases are less than the hedged amounts, a portion or all of the gain or losses recorded in accumulated other comprehensive income are reclassified to the consolidated statements of income and comprehensive income. The following table presents the effect and financial statement location of our derivative instruments not designated as hedging instruments on our consolidated statements of income and comprehensive income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Realized and Unrealized</w:t>
            </w:r>
          </w:p>
        </w:tc>
        <w:tc>
          <w:tcPr>
            <w:tcW w:w="0" w:type="dxa"/>
            <w:vAlign w:val="bottom"/>
          </w:tcPr>
          <w:p>
            <w:pPr>
              <w:spacing w:after="0"/>
              <w:rPr>
                <w:sz w:val="1"/>
                <w:szCs w:val="1"/>
                <w:color w:val="auto"/>
              </w:rPr>
            </w:pPr>
          </w:p>
        </w:tc>
      </w:tr>
      <w:tr>
        <w:trPr>
          <w:trHeight w:val="20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3180" w:type="dxa"/>
            <w:vAlign w:val="bottom"/>
          </w:tcPr>
          <w:p>
            <w:pPr>
              <w:ind w:left="840"/>
              <w:spacing w:after="0"/>
              <w:rPr>
                <w:sz w:val="20"/>
                <w:szCs w:val="20"/>
                <w:color w:val="auto"/>
              </w:rPr>
            </w:pPr>
            <w:r>
              <w:rPr>
                <w:rFonts w:ascii="Arial" w:cs="Arial" w:eastAsia="Arial" w:hAnsi="Arial"/>
                <w:sz w:val="14"/>
                <w:szCs w:val="14"/>
                <w:b w:val="1"/>
                <w:bCs w:val="1"/>
                <w:color w:val="auto"/>
              </w:rPr>
              <w:t>Location</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Three months ended March 31,</w:t>
            </w:r>
          </w:p>
        </w:tc>
        <w:tc>
          <w:tcPr>
            <w:tcW w:w="82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Commodity contracts</w:t>
            </w:r>
          </w:p>
        </w:tc>
        <w:tc>
          <w:tcPr>
            <w:tcW w:w="3180" w:type="dxa"/>
            <w:vAlign w:val="bottom"/>
          </w:tcPr>
          <w:p>
            <w:pPr>
              <w:ind w:left="840"/>
              <w:spacing w:after="0"/>
              <w:rPr>
                <w:sz w:val="20"/>
                <w:szCs w:val="20"/>
                <w:color w:val="auto"/>
              </w:rPr>
            </w:pPr>
            <w:r>
              <w:rPr>
                <w:rFonts w:ascii="Arial" w:cs="Arial" w:eastAsia="Arial" w:hAnsi="Arial"/>
                <w:sz w:val="18"/>
                <w:szCs w:val="18"/>
                <w:color w:val="auto"/>
              </w:rPr>
              <w:t>Revenue</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38.9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3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Cost of revenue</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(47.5)</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Foreign currency contracts</w:t>
            </w:r>
          </w:p>
        </w:tc>
        <w:tc>
          <w:tcPr>
            <w:tcW w:w="3180" w:type="dxa"/>
            <w:vAlign w:val="bottom"/>
          </w:tcPr>
          <w:p>
            <w:pPr>
              <w:ind w:left="840"/>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3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net liability position for such contracts, the collateral posted and amount of assets required to be posted and/or to settle the positions should a credit-risk contingent feature be triggered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ind w:right="310"/>
              <w:spacing w:after="0"/>
              <w:rPr>
                <w:sz w:val="20"/>
                <w:szCs w:val="20"/>
                <w:color w:val="auto"/>
              </w:rPr>
            </w:pPr>
            <w:r>
              <w:rPr>
                <w:rFonts w:ascii="Arial" w:cs="Arial" w:eastAsia="Arial" w:hAnsi="Arial"/>
                <w:sz w:val="14"/>
                <w:szCs w:val="14"/>
                <w:b w:val="1"/>
                <w:bCs w:val="1"/>
                <w:color w:val="auto"/>
              </w:rPr>
              <w:t>Net Liability Position</w:t>
            </w:r>
          </w:p>
        </w:tc>
        <w:tc>
          <w:tcPr>
            <w:tcW w:w="8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4"/>
                <w:szCs w:val="14"/>
                <w:b w:val="1"/>
                <w:bCs w:val="1"/>
                <w:color w:val="auto"/>
              </w:rPr>
              <w:t>Collateral</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Contingent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Subject to Collateral Requirements</w:t>
            </w: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Posted</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Additional Collateral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March 31, 2016</w:t>
            </w:r>
          </w:p>
        </w:tc>
        <w:tc>
          <w:tcPr>
            <w:tcW w:w="2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236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50.0</w:t>
            </w: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(11.3)</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December 31, 2015</w:t>
            </w:r>
          </w:p>
        </w:tc>
        <w:tc>
          <w:tcPr>
            <w:tcW w:w="2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2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63.2</w:t>
            </w:r>
          </w:p>
        </w:tc>
        <w:tc>
          <w:tcPr>
            <w:tcW w:w="8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(28.1)</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carrying amounts of cash and cash equivalents, accounts receivable, net, accounts payable and accrued expenses and other current liabilities approximate fair value based on the short-term maturities of these instruments. Fair value for our debt and notes receivable is derived using a discounted cash flow valuation methodology. The carrying values of these instruments approximate fair value since these instruments bear interest either at variable rates or fixed rates which are not significantly different than market rates. Based on the fair value hierarchy, our debt of $805.2 million and $772.2 million as of March 31, 2016 and December 31, 2015,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respectively, and our notes receivable of $6.1 million and $7.4 million as of March 31, 2016 and December 31, 2015, respectively, are categorized in Level 3.</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estimated fair value on a recurring basis (in millions):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Netting</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Sub-Total</w:t>
            </w:r>
          </w:p>
        </w:tc>
        <w:tc>
          <w:tcPr>
            <w:tcW w:w="3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and</w:t>
            </w:r>
          </w:p>
        </w:tc>
        <w:tc>
          <w:tcPr>
            <w:tcW w:w="4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Collateral</w:t>
            </w: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60" w:type="dxa"/>
            <w:vAlign w:val="bottom"/>
            <w:gridSpan w:val="3"/>
          </w:tcPr>
          <w:p>
            <w:pPr>
              <w:spacing w:after="0"/>
              <w:rPr>
                <w:sz w:val="20"/>
                <w:szCs w:val="20"/>
                <w:color w:val="auto"/>
              </w:rPr>
            </w:pPr>
            <w:r>
              <w:rPr>
                <w:rFonts w:ascii="Arial" w:cs="Arial" w:eastAsia="Arial" w:hAnsi="Arial"/>
                <w:sz w:val="14"/>
                <w:szCs w:val="14"/>
                <w:color w:val="auto"/>
              </w:rPr>
              <w:t>As of March 31, 2016</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180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4"/>
                <w:szCs w:val="14"/>
                <w:color w:val="auto"/>
              </w:rPr>
              <w:t>Commodity contracts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236.1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178.7</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417.7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(278.2)</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Cash surrender value of life insurance</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236.1</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192.1</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431.1</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(286.9)</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4"/>
                <w:szCs w:val="14"/>
                <w:color w:val="auto"/>
              </w:rPr>
              <w:t>Liabilities:</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Commodity contracts</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279.2</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398.5</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(337.2)</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Foreign currency contracts</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279.2</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410.9</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(345.9)</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 of December 31, 2015</w:t>
            </w: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Assets:</w:t>
            </w:r>
          </w:p>
        </w:tc>
        <w:tc>
          <w:tcPr>
            <w:tcW w:w="15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Commodity contracts</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255.4</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510.5</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(279.0)</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4"/>
                <w:szCs w:val="14"/>
                <w:color w:val="auto"/>
              </w:rPr>
              <w:t>Foreign currency contracts</w:t>
            </w:r>
          </w:p>
        </w:tc>
        <w:tc>
          <w:tcPr>
            <w:tcW w:w="96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3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Cash surrender value of life insurance</w:t>
            </w: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255.4</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266.7</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525.3</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(283.1)</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4"/>
                <w:szCs w:val="14"/>
                <w:color w:val="auto"/>
              </w:rPr>
              <w:t>Commodity contracts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340.1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123.4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463.7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(389.6)</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Inventories</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340.1</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142.7</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483.0</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(393.7)</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cash surrender value of life insurance is in connection with the non-qualified deferred compensation plan and was included in identifiable intangible and other non-current assets in the accompanying consolidated balance sheets.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Nonrecurring Fair Value Measurements. </w:t>
      </w:r>
      <w:r>
        <w:rPr>
          <w:rFonts w:ascii="Arial" w:cs="Arial" w:eastAsia="Arial" w:hAnsi="Arial"/>
          <w:sz w:val="16"/>
          <w:szCs w:val="16"/>
          <w:color w:val="auto"/>
        </w:rPr>
        <w:t>In connection with the acquisition of all of the outstanding stock of Pester on September 1,</w:t>
      </w:r>
      <w:r>
        <w:rPr>
          <w:rFonts w:ascii="Arial" w:cs="Arial" w:eastAsia="Arial" w:hAnsi="Arial"/>
          <w:sz w:val="16"/>
          <w:szCs w:val="16"/>
          <w:i w:val="1"/>
          <w:iCs w:val="1"/>
          <w:color w:val="auto"/>
        </w:rPr>
        <w:t xml:space="preserve"> </w:t>
      </w:r>
      <w:r>
        <w:rPr>
          <w:rFonts w:ascii="Arial" w:cs="Arial" w:eastAsia="Arial" w:hAnsi="Arial"/>
          <w:sz w:val="16"/>
          <w:szCs w:val="16"/>
          <w:color w:val="auto"/>
        </w:rPr>
        <w:t>2015, we committed to a plan to sell certain assets and liabilities of Pester’s fuel retail business. The fair value of the assets and liabilities held for sale were measured using a discounted cash flow valuation methodology. In accordance with the applicable accounting guidance, the long-lived assets held for sale were recorded at fair value less cost to sell. The carrying amounts of the current assets and liabilities held for sale approximate fair value based on the short-term maturities of these instruments. Based on the fair value hierarchy, as of March 31, 2016, the fair value of the asset disposal group (excluding inventories) of $34.7 million and the liability disposal group of $10.6 million were categorized as Level 3, as significant unobservable inputs were used in the valuation of such assets and liabilities. The inventories of $4.5 million as of March 31, 2016 were categorized as Level 2 as they were valued based on the price to retailers in a wholesale market.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regarding the balance sheet location of our commodity and foreign currency contracts net assets and liabilities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March 31, 2016</w:t>
            </w: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0"/>
              </w:rPr>
              <w:t>Commodity Contracts</w:t>
            </w:r>
          </w:p>
        </w:tc>
        <w:tc>
          <w:tcPr>
            <w:tcW w:w="3820" w:type="dxa"/>
            <w:vAlign w:val="bottom"/>
            <w:tcBorders>
              <w:bottom w:val="single" w:sz="8" w:color="CCEEFF"/>
            </w:tcBorders>
            <w:gridSpan w:val="2"/>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Short-term derivative assets, net</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Identifiable intangible and other non-current assets</w:t>
            </w:r>
          </w:p>
        </w:tc>
        <w:tc>
          <w:tcPr>
            <w:tcW w:w="1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Total net assets</w:t>
            </w:r>
          </w:p>
        </w:tc>
        <w:tc>
          <w:tcPr>
            <w:tcW w:w="1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Other long-term liabilities</w:t>
            </w:r>
          </w:p>
        </w:tc>
        <w:tc>
          <w:tcPr>
            <w:tcW w:w="16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Total net liabilities</w:t>
            </w:r>
          </w:p>
        </w:tc>
        <w:tc>
          <w:tcPr>
            <w:tcW w:w="1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3"/>
          </w:tcPr>
          <w:p>
            <w:pPr>
              <w:spacing w:after="0" w:line="176" w:lineRule="exact"/>
              <w:rPr>
                <w:sz w:val="20"/>
                <w:szCs w:val="20"/>
                <w:color w:val="auto"/>
              </w:rPr>
            </w:pPr>
            <w:r>
              <w:rPr>
                <w:rFonts w:ascii="Arial" w:cs="Arial" w:eastAsia="Arial" w:hAnsi="Arial"/>
                <w:sz w:val="18"/>
                <w:szCs w:val="18"/>
                <w:color w:val="auto"/>
              </w:rPr>
              <w:t>Foreign Currency Contracts</w:t>
            </w: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Assets: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80"/>
              <w:spacing w:after="0"/>
              <w:rPr>
                <w:sz w:val="20"/>
                <w:szCs w:val="20"/>
                <w:color w:val="auto"/>
              </w:rPr>
            </w:pPr>
            <w:r>
              <w:rPr>
                <w:rFonts w:ascii="Arial" w:cs="Arial" w:eastAsia="Arial" w:hAnsi="Arial"/>
                <w:sz w:val="18"/>
                <w:szCs w:val="18"/>
                <w:color w:val="auto"/>
              </w:rPr>
              <w:t>Short-term derivative assets, net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Identifiable intangible and other non-current assets</w:t>
            </w:r>
          </w:p>
        </w:tc>
        <w:tc>
          <w:tcPr>
            <w:tcW w:w="16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Total net assets</w:t>
            </w:r>
          </w:p>
        </w:tc>
        <w:tc>
          <w:tcPr>
            <w:tcW w:w="1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Other long-term liabilities</w:t>
            </w:r>
          </w:p>
        </w:tc>
        <w:tc>
          <w:tcPr>
            <w:tcW w:w="1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Total net liabilities</w:t>
            </w:r>
          </w:p>
        </w:tc>
        <w:tc>
          <w:tcPr>
            <w:tcW w:w="1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5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March 31, 2016, we had $113.7 million of cash collateral deposits held by financial counterparties, of which $77.7 million have been offset against the total amount of commodity fair value liabilities in the above table and the remaining $36.0 million is included in other current assets in the accompanying consolidated balance sheets. In addition, as of March 31, 2016, we have offset $18.7 million of cash collateral deposits received from customers against the total amount of commodity fair value assets in the above table. As of December 31, 2015, we had $174.6 million of cash collateral deposits held by financial counterparties, of which $132.2 million have been offset against the total amount of commodity fair value liabilities in the above table and the remaining $42.4 million is included in other current assets in the accompanying consolidated balance sheets. In addition, as of December 31, 2015, we have offset $21.6 million of cash collateral deposits received from customers against the total amount of commodity fair value assets in the above table.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information about our assets and liabilities that are measured at fair value on a recurring basis that utilized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for 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81"/>
              <w:spacing w:after="0"/>
              <w:rPr>
                <w:sz w:val="20"/>
                <w:szCs w:val="20"/>
                <w:color w:val="auto"/>
              </w:rPr>
            </w:pPr>
            <w:r>
              <w:rPr>
                <w:rFonts w:ascii="Arial" w:cs="Arial" w:eastAsia="Arial" w:hAnsi="Arial"/>
                <w:sz w:val="14"/>
                <w:szCs w:val="14"/>
                <w:b w:val="1"/>
                <w:bCs w:val="1"/>
                <w:color w:val="auto"/>
              </w:rPr>
              <w:t>Change in</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Realized and</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w w:val="91"/>
              </w:rPr>
              <w:t>Unrealized Gains</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w w:val="89"/>
              </w:rPr>
              <w:t>(Losses) Relating</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8"/>
              </w:rPr>
              <w:t>Unrealized</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to Assets and</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Realized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Beginning of</w:t>
            </w:r>
          </w:p>
        </w:tc>
        <w:tc>
          <w:tcPr>
            <w:tcW w:w="260" w:type="dxa"/>
            <w:vAlign w:val="bottom"/>
          </w:tcPr>
          <w:p>
            <w:pPr>
              <w:spacing w:after="0"/>
              <w:rPr>
                <w:sz w:val="12"/>
                <w:szCs w:val="12"/>
                <w:color w:val="auto"/>
              </w:rPr>
            </w:pPr>
          </w:p>
        </w:tc>
        <w:tc>
          <w:tcPr>
            <w:tcW w:w="8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Transfers</w:t>
            </w:r>
          </w:p>
        </w:tc>
        <w:tc>
          <w:tcPr>
            <w:tcW w:w="300" w:type="dxa"/>
            <w:vAlign w:val="bottom"/>
          </w:tcPr>
          <w:p>
            <w:pPr>
              <w:spacing w:after="0"/>
              <w:rPr>
                <w:sz w:val="12"/>
                <w:szCs w:val="12"/>
                <w:color w:val="auto"/>
              </w:rPr>
            </w:pPr>
          </w:p>
        </w:tc>
        <w:tc>
          <w:tcPr>
            <w:tcW w:w="7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End</w:t>
            </w:r>
          </w:p>
        </w:tc>
        <w:tc>
          <w:tcPr>
            <w:tcW w:w="1440" w:type="dxa"/>
            <w:vAlign w:val="bottom"/>
            <w:gridSpan w:val="2"/>
          </w:tcPr>
          <w:p>
            <w:pPr>
              <w:jc w:val="right"/>
              <w:ind w:right="81"/>
              <w:spacing w:after="0" w:line="149" w:lineRule="exact"/>
              <w:rPr>
                <w:sz w:val="20"/>
                <w:szCs w:val="20"/>
                <w:color w:val="auto"/>
              </w:rPr>
            </w:pPr>
            <w:r>
              <w:rPr>
                <w:rFonts w:ascii="Arial" w:cs="Arial" w:eastAsia="Arial" w:hAnsi="Arial"/>
                <w:sz w:val="14"/>
                <w:szCs w:val="14"/>
                <w:b w:val="1"/>
                <w:bCs w:val="1"/>
                <w:color w:val="auto"/>
              </w:rPr>
              <w:t>Liabilities that are</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Unrealized Gains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Settlements</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Held at end of</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Included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Period</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Earnings</w:t>
            </w:r>
          </w:p>
        </w:tc>
        <w:tc>
          <w:tcPr>
            <w:tcW w:w="100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into Level 3</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of Period</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Three months ended</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March 31, 2016</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740" w:type="dxa"/>
            <w:vAlign w:val="bottom"/>
            <w:tcBorders>
              <w:top w:val="single" w:sz="8" w:color="CCEEFF"/>
            </w:tcBorders>
            <w:gridSpan w:val="2"/>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1.3</w:t>
            </w:r>
          </w:p>
        </w:tc>
        <w:tc>
          <w:tcPr>
            <w:tcW w:w="1320" w:type="dxa"/>
            <w:vAlign w:val="bottom"/>
            <w:shd w:val="clear" w:color="auto" w:fill="CCEEFF"/>
          </w:tcPr>
          <w:p>
            <w:pPr>
              <w:jc w:val="right"/>
              <w:ind w:right="500"/>
              <w:spacing w:after="0"/>
              <w:rPr>
                <w:sz w:val="20"/>
                <w:szCs w:val="20"/>
                <w:color w:val="auto"/>
              </w:rPr>
            </w:pPr>
            <w:r>
              <w:rPr>
                <w:rFonts w:ascii="Arial" w:cs="Arial" w:eastAsia="Arial" w:hAnsi="Arial"/>
                <w:sz w:val="18"/>
                <w:szCs w:val="18"/>
                <w:color w:val="auto"/>
                <w:w w:val="99"/>
              </w:rPr>
              <w:t>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6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0.1</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Cost of revenue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gridSpan w:val="3"/>
          </w:tcPr>
          <w:p>
            <w:pPr>
              <w:spacing w:after="0" w:line="176" w:lineRule="exact"/>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March 31, 2015</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0.8</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
              <w:spacing w:after="0"/>
              <w:rPr>
                <w:sz w:val="20"/>
                <w:szCs w:val="20"/>
                <w:color w:val="auto"/>
              </w:rPr>
            </w:pPr>
            <w:r>
              <w:rPr>
                <w:rFonts w:ascii="Arial" w:cs="Arial" w:eastAsia="Arial" w:hAnsi="Arial"/>
                <w:sz w:val="18"/>
                <w:szCs w:val="18"/>
                <w:color w:val="auto"/>
              </w:rPr>
              <w:t>(0.4)</w:t>
            </w:r>
          </w:p>
        </w:tc>
        <w:tc>
          <w:tcPr>
            <w:tcW w:w="1320" w:type="dxa"/>
            <w:vAlign w:val="bottom"/>
          </w:tcPr>
          <w:p>
            <w:pPr>
              <w:jc w:val="right"/>
              <w:ind w:right="500"/>
              <w:spacing w:after="0"/>
              <w:rPr>
                <w:sz w:val="20"/>
                <w:szCs w:val="20"/>
                <w:color w:val="auto"/>
              </w:rPr>
            </w:pPr>
            <w:r>
              <w:rPr>
                <w:rFonts w:ascii="Arial" w:cs="Arial" w:eastAsia="Arial" w:hAnsi="Arial"/>
                <w:sz w:val="18"/>
                <w:szCs w:val="18"/>
                <w:color w:val="auto"/>
                <w:w w:val="99"/>
              </w:rPr>
              <w:t>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Commodity contracts</w:t>
            </w: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0.8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Cost of revenue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nature of inputs that are considered Level 3 are modeled inputs. Commodity contracts are categorized in Level 3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 There were no transfers between Level 1 and Level 2 during the periods presented. Transfers between Level 2 and Level 3 were due to the increased significance of basis adjustments which are Level 3 measurements.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Interest Income, Expense and Other Financing Costs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(expense) income, and other financing costs, net, for the periods presented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r>
      <w:tr>
        <w:trPr>
          <w:trHeight w:val="201"/>
        </w:trPr>
        <w:tc>
          <w:tcPr>
            <w:tcW w:w="39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980" w:type="dxa"/>
            <w:vAlign w:val="bottom"/>
            <w:tcBorders>
              <w:bottom w:val="single" w:sz="8" w:color="auto"/>
            </w:tcBorders>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 and other financing costs</w:t>
            </w:r>
          </w:p>
        </w:tc>
        <w:tc>
          <w:tcPr>
            <w:tcW w:w="3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(8.9)</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7"/>
        </w:trPr>
        <w:tc>
          <w:tcPr>
            <w:tcW w:w="3980" w:type="dxa"/>
            <w:vAlign w:val="bottom"/>
            <w:tcBorders>
              <w:bottom w:val="single" w:sz="8" w:color="auto"/>
            </w:tcBorders>
            <w:shd w:val="clear" w:color="auto" w:fill="CCEEFF"/>
          </w:tcPr>
          <w:p>
            <w:pPr>
              <w:spacing w:after="0"/>
              <w:rPr>
                <w:sz w:val="18"/>
                <w:szCs w:val="18"/>
                <w:color w:val="auto"/>
              </w:rPr>
            </w:pPr>
          </w:p>
        </w:tc>
        <w:tc>
          <w:tcPr>
            <w:tcW w:w="37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(7.6)</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864"/>
        </w:trPr>
        <w:tc>
          <w:tcPr>
            <w:tcW w:w="3980" w:type="dxa"/>
            <w:vAlign w:val="bottom"/>
          </w:tcPr>
          <w:p>
            <w:pPr>
              <w:spacing w:after="0"/>
              <w:rPr>
                <w:sz w:val="24"/>
                <w:szCs w:val="24"/>
                <w:color w:val="auto"/>
              </w:rPr>
            </w:pPr>
          </w:p>
        </w:tc>
        <w:tc>
          <w:tcPr>
            <w:tcW w:w="3260" w:type="dxa"/>
            <w:vAlign w:val="bottom"/>
          </w:tcPr>
          <w:p>
            <w:pPr>
              <w:jc w:val="right"/>
              <w:ind w:right="203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9"/>
        </w:trPr>
        <w:tc>
          <w:tcPr>
            <w:tcW w:w="398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Shareholders’ Equity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Comprehensive Income (Loss) and Accumulated Other Comprehensive Loss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derivative instruments, was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rPr>
              <w:t>Derivative</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b w:val="1"/>
                <w:bCs w:val="1"/>
                <w:color w:val="auto"/>
                <w:w w:val="99"/>
              </w:rPr>
              <w:t>Instruments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Balance as of December 31, 2015</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Less: Net other comprehensive income attributable to noncontrolling interest</w:t>
            </w: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March 31, 2016</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Less: Net other comprehensive income attributable to noncontrolling interest</w:t>
            </w: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March 31, 2015</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foreign currency translation adjustment losses for the three months ended March 31, 2015 were primarily due to the strengthening of the U.S. dollar as compared to the Brazilian Real and the British Pound.</w:t>
      </w:r>
    </w:p>
    <w:p>
      <w:pPr>
        <w:spacing w:after="0" w:line="166"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12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Our provision for income taxes for each of the three-month periods ended March 31, 2016 and 2015 was calculated based on the estimated annual effective income tax rate for the full 2016 and 2015 fiscal years. Our provision for income taxes for the first quarter of 2016 was adjusted for an income tax benefit of $4.0 million, net for discrete items related to changes in estimates in uncertain tax positions. Without the $4.0 million adjustment, the first quarter of 2016 effective income tax rate would have been 15.4%. The actual effective income tax rate for the full 2016 fiscal year may be materially different as a result of differences between estimated versus actual results and the geographic tax jurisdictions in which the results are earned.</w:t>
      </w:r>
    </w:p>
    <w:p>
      <w:pPr>
        <w:spacing w:after="0" w:line="19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7"/>
          <w:szCs w:val="17"/>
          <w:color w:val="auto"/>
        </w:rPr>
        <w:t>We operated under a special income tax concession in Singapore which began January 1, 2008. Our current five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$0.6 million and $2.3 million for the three months ended March 31, 2016 and 2015, respectively. The impact of the income tax concession on basic earnings per common share was $0.01 and $0.03 for the three months ended March 31, 2016 and 2015, respectively. On a diluted earnings per common share basis, the impact was $0.01 and $0.03 for the three months ended March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25" w:right="899" w:bottom="1440" w:gutter="0" w:footer="0" w:header="0"/>
        </w:sectPr>
      </w:pPr>
    </w:p>
    <w:bookmarkStart w:id="17" w:name="page18"/>
    <w:bookmarkEnd w:id="17"/>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
        <w:spacing w:after="0"/>
        <w:tabs>
          <w:tab w:leader="none" w:pos="2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Earnings per Common Share</w:t>
      </w:r>
    </w:p>
    <w:p>
      <w:pPr>
        <w:spacing w:after="0" w:line="229" w:lineRule="exact"/>
        <w:rPr>
          <w:sz w:val="20"/>
          <w:szCs w:val="20"/>
          <w:color w:val="auto"/>
        </w:rPr>
      </w:pPr>
    </w:p>
    <w:p>
      <w:pPr>
        <w:ind w:left="1"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243"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Net income attributable to World Fuel</w:t>
            </w:r>
          </w:p>
        </w:tc>
        <w:tc>
          <w:tcPr>
            <w:tcW w:w="6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52.4</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69.5</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0.5</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70.0</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 average securities which are not included in the calculation of diluted earnings per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share because their impact is anti-dilutive or their performance conditions have not been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met</w:t>
            </w:r>
          </w:p>
        </w:tc>
        <w:tc>
          <w:tcPr>
            <w:tcW w:w="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2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0.75</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62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0.75</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21" w:right="7200" w:hanging="321"/>
        <w:spacing w:after="0" w:line="503" w:lineRule="auto"/>
        <w:tabs>
          <w:tab w:leader="none" w:pos="30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Other Matters</w:t>
      </w:r>
    </w:p>
    <w:p>
      <w:pPr>
        <w:spacing w:after="0" w:line="1" w:lineRule="exact"/>
        <w:rPr>
          <w:sz w:val="20"/>
          <w:szCs w:val="20"/>
          <w:color w:val="auto"/>
        </w:rPr>
      </w:pPr>
    </w:p>
    <w:p>
      <w:pPr>
        <w:jc w:val="both"/>
        <w:ind w:left="1" w:firstLine="324"/>
        <w:spacing w:after="0" w:line="289" w:lineRule="auto"/>
        <w:rPr>
          <w:sz w:val="20"/>
          <w:szCs w:val="20"/>
          <w:color w:val="auto"/>
        </w:rPr>
      </w:pPr>
      <w:r>
        <w:rPr>
          <w:rFonts w:ascii="Arial" w:cs="Arial" w:eastAsia="Arial" w:hAnsi="Arial"/>
          <w:sz w:val="16"/>
          <w:szCs w:val="16"/>
          <w:color w:val="auto"/>
        </w:rPr>
        <w:t>In connection with a theft of fuel product valued at approximately $18.0 million, we recorded an insurance receivable for the full amount of the loss, which is included in other current assets in the accompanying consolidated balance sheet. On July 31, 2014, our insurer, AGCS Marine Insurance Company (“AGCS”), filed a declaratory judgment action against us in the United States District Court for the Southern District of New York seeking a court ruling that the loss is not covered under our policy. During the quarter ended December 31, 2014, we filed an answer to the AGCS complaint and counterclaims against AGCS for declaratory judgment and breach of contract seeking a court ruling that the loss is covered under the policy, an award of damages equal to the full amount of our loss plus interest, as well as fees and costs. We and AGCS filed cross-motions for summary judgment and the motions were heard in March 2016. No trial date has been set. We believe AGCS’ position is without merit and we intend to vigorously pursue our rights. However, due to the complexities and uncertainties inherent in litigation, we can provide no assurance that we will recover the full amount of the loss.</w:t>
      </w:r>
    </w:p>
    <w:p>
      <w:pPr>
        <w:spacing w:after="0" w:line="167" w:lineRule="exact"/>
        <w:rPr>
          <w:sz w:val="20"/>
          <w:szCs w:val="20"/>
          <w:color w:val="auto"/>
        </w:rPr>
      </w:pPr>
    </w:p>
    <w:p>
      <w:pPr>
        <w:jc w:val="both"/>
        <w:ind w:left="1" w:firstLine="324"/>
        <w:spacing w:after="0" w:line="289"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March 31, 2016,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80"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2015 Termination of Employment Agreement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March 16, 2015, we entered into an employment termination agreement with the former Aviation Segment President. In connection with the agreement, we recorded a charge totaling $3.8 million in March 2015, which included non-cash expenses of $0.8 million related to previously awarded stock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Based on the nature of operations and quantitative thresholds pursuant to accounting guidance for segment reporting, we have three reportable operating business segments: aviation, land and marine. Corporate expenses are allocated to the segments based on usage, where possible, or on other factors according to the nature of the activity. Within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to the United States (“U.S.”) and foreign governments as well as intergovernmental organizations. In our land segment, we offer fuel, crude oil, lubricants, natural gas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29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For the Three Months ended</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3887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Revenue:</w:t>
            </w: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Aviation segment</w:t>
            </w:r>
          </w:p>
        </w:tc>
        <w:tc>
          <w:tcPr>
            <w:tcW w:w="2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2,221.1</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Land segment</w:t>
            </w:r>
          </w:p>
        </w:tc>
        <w:tc>
          <w:tcPr>
            <w:tcW w:w="27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1,695.0</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Marine segment</w:t>
            </w:r>
          </w:p>
        </w:tc>
        <w:tc>
          <w:tcPr>
            <w:tcW w:w="2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1,276.5</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5,192.6</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Gross profit:</w:t>
            </w: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Aviation segment</w:t>
            </w:r>
          </w:p>
        </w:tc>
        <w:tc>
          <w:tcPr>
            <w:tcW w:w="2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91.0</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Land segment</w:t>
            </w:r>
          </w:p>
        </w:tc>
        <w:tc>
          <w:tcPr>
            <w:tcW w:w="27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93.6</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Marine segment</w:t>
            </w:r>
          </w:p>
        </w:tc>
        <w:tc>
          <w:tcPr>
            <w:tcW w:w="2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223.8</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Aviation segment</w:t>
            </w:r>
          </w:p>
        </w:tc>
        <w:tc>
          <w:tcPr>
            <w:tcW w:w="2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Land segment</w:t>
            </w:r>
          </w:p>
        </w:tc>
        <w:tc>
          <w:tcPr>
            <w:tcW w:w="27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34.0</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Marine segment</w:t>
            </w:r>
          </w:p>
        </w:tc>
        <w:tc>
          <w:tcPr>
            <w:tcW w:w="2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81.7</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Corporate overhead - unallocated</w:t>
            </w:r>
          </w:p>
        </w:tc>
        <w:tc>
          <w:tcPr>
            <w:tcW w:w="2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63.3</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Aviation segment, net of allowance for bad debt of $5.7 and $6.1 as of March 31, 2016 and</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December 31, 2015, respectively</w:t>
            </w:r>
          </w:p>
        </w:tc>
        <w:tc>
          <w:tcPr>
            <w:tcW w:w="3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502.7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Land segment, net of allowance for bad debt of $7.4 and $7.2 as of March 31, 2016 and</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December 31, 2015, respectively</w:t>
            </w:r>
          </w:p>
        </w:tc>
        <w:tc>
          <w:tcPr>
            <w:tcW w:w="2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645.7</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ind w:left="80"/>
              <w:spacing w:after="0" w:line="201" w:lineRule="exact"/>
              <w:rPr>
                <w:sz w:val="20"/>
                <w:szCs w:val="20"/>
                <w:color w:val="auto"/>
              </w:rPr>
            </w:pPr>
            <w:r>
              <w:rPr>
                <w:rFonts w:ascii="Arial" w:cs="Arial" w:eastAsia="Arial" w:hAnsi="Arial"/>
                <w:sz w:val="18"/>
                <w:szCs w:val="18"/>
                <w:color w:val="auto"/>
                <w:w w:val="91"/>
              </w:rPr>
              <w:t>Marine segment, net of allowance for bad debt of $11.1 and</w:t>
            </w:r>
          </w:p>
        </w:tc>
        <w:tc>
          <w:tcPr>
            <w:tcW w:w="3140" w:type="dxa"/>
            <w:vAlign w:val="bottom"/>
            <w:gridSpan w:val="2"/>
          </w:tcPr>
          <w:p>
            <w:pPr>
              <w:jc w:val="right"/>
              <w:ind w:right="820"/>
              <w:spacing w:after="0" w:line="201" w:lineRule="exact"/>
              <w:rPr>
                <w:sz w:val="20"/>
                <w:szCs w:val="20"/>
                <w:color w:val="auto"/>
              </w:rPr>
            </w:pPr>
            <w:r>
              <w:rPr>
                <w:rFonts w:ascii="Arial" w:cs="Arial" w:eastAsia="Arial" w:hAnsi="Arial"/>
                <w:sz w:val="18"/>
                <w:szCs w:val="18"/>
                <w:color w:val="auto"/>
                <w:w w:val="90"/>
              </w:rPr>
              <w:t>$10.6 as of March 31, 2016 and</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December 31, 2015, respectively</w:t>
            </w:r>
          </w:p>
        </w:tc>
        <w:tc>
          <w:tcPr>
            <w:tcW w:w="2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524.7</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1,673.2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assets:</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Aviation segment</w:t>
            </w:r>
          </w:p>
        </w:tc>
        <w:tc>
          <w:tcPr>
            <w:tcW w:w="3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1,558.3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Land segment</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1,674.6</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Marine segment</w:t>
            </w: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1,039.4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Corporate</w:t>
            </w:r>
          </w:p>
        </w:tc>
        <w:tc>
          <w:tcPr>
            <w:tcW w:w="2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147.5</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4,419.7</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4,549.4</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discussion should be read in conjunction with our 2015 10-K Report and the consolidated financial statements and related notes in “Item 1 —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in “Item 1A — Risk Factors” of our 2015 10-K Report.</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Examples of forward-looking statements in this 10-Q Report include, but are not limited to, our expectations about the conditions in the marine and aviation markets, the timing, cost and benefits of our multi-year project and upgrade of our ERP platform, the timing for closing the acquisition of assets from ExxonMobil affiliates and funding of the purchase price, as well as expectations regarding our government business, our business strategy, business prospects, operating results, effectiveness of internal controls to manage risk, working capital, liquidity, capital expenditure requirements and future acquisitions. These forward-looking statements are qualified in their entirety by cautionary statements and risk factor disclosures contained in the company’s Securities and Exchange Commission filings, including the company’s Annual Report on Form 10-K filed with the SEC on February 16, 2016. Important assumptions relating to the forward-looking statements include, among others, assumptions regarding our ability to obtain required consents and satisfy closing conditions in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could prove inaccurate. Although we believe that the estimates and projections reflected in the forward-looking statements are reasonable, our expectations may prove to be incorrect.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400" w:hanging="77"/>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rFonts w:ascii="Arial" w:cs="Arial" w:eastAsia="Arial" w:hAnsi="Arial"/>
          <w:sz w:val="18"/>
          <w:szCs w:val="18"/>
          <w:color w:val="auto"/>
        </w:rPr>
      </w:pPr>
    </w:p>
    <w:p>
      <w:pPr>
        <w:ind w:left="540" w:hanging="21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225" w:lineRule="exact"/>
        <w:rPr>
          <w:rFonts w:ascii="Arial" w:cs="Arial" w:eastAsia="Arial" w:hAnsi="Arial"/>
          <w:sz w:val="18"/>
          <w:szCs w:val="18"/>
          <w:color w:val="auto"/>
        </w:rPr>
      </w:pPr>
    </w:p>
    <w:p>
      <w:pPr>
        <w:ind w:left="400" w:hanging="77"/>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rFonts w:ascii="Arial" w:cs="Arial" w:eastAsia="Arial" w:hAnsi="Arial"/>
          <w:sz w:val="18"/>
          <w:szCs w:val="18"/>
          <w:color w:val="auto"/>
        </w:rPr>
      </w:pPr>
    </w:p>
    <w:p>
      <w:pPr>
        <w:ind w:left="460" w:hanging="13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25" w:lineRule="exact"/>
        <w:rPr>
          <w:rFonts w:ascii="Arial" w:cs="Arial" w:eastAsia="Arial" w:hAnsi="Arial"/>
          <w:sz w:val="18"/>
          <w:szCs w:val="18"/>
          <w:color w:val="auto"/>
        </w:rPr>
      </w:pPr>
    </w:p>
    <w:p>
      <w:pPr>
        <w:ind w:left="400" w:hanging="77"/>
        <w:spacing w:after="0" w:line="277"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economic instability and its impact on the airline and shipping industries;</w:t>
      </w:r>
    </w:p>
    <w:p>
      <w:pPr>
        <w:spacing w:after="0" w:line="170" w:lineRule="exact"/>
        <w:rPr>
          <w:rFonts w:ascii="Arial" w:cs="Arial" w:eastAsia="Arial" w:hAnsi="Arial"/>
          <w:sz w:val="18"/>
          <w:szCs w:val="18"/>
          <w:color w:val="auto"/>
        </w:rPr>
      </w:pPr>
    </w:p>
    <w:p>
      <w:pPr>
        <w:ind w:left="440" w:hanging="11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225" w:lineRule="exact"/>
        <w:rPr>
          <w:rFonts w:ascii="Arial" w:cs="Arial" w:eastAsia="Arial" w:hAnsi="Arial"/>
          <w:sz w:val="18"/>
          <w:szCs w:val="18"/>
          <w:color w:val="auto"/>
        </w:rPr>
      </w:pPr>
    </w:p>
    <w:p>
      <w:pPr>
        <w:ind w:left="560" w:hanging="237"/>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460" w:hanging="13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225" w:lineRule="exact"/>
        <w:rPr>
          <w:rFonts w:ascii="Arial" w:cs="Arial" w:eastAsia="Arial" w:hAnsi="Arial"/>
          <w:sz w:val="18"/>
          <w:szCs w:val="18"/>
          <w:color w:val="auto"/>
        </w:rPr>
      </w:pPr>
    </w:p>
    <w:p>
      <w:pPr>
        <w:ind w:left="580" w:hanging="257"/>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rFonts w:ascii="Arial" w:cs="Arial" w:eastAsia="Arial" w:hAnsi="Arial"/>
          <w:sz w:val="18"/>
          <w:szCs w:val="18"/>
          <w:color w:val="auto"/>
        </w:rPr>
      </w:pPr>
    </w:p>
    <w:p>
      <w:pPr>
        <w:ind w:left="400" w:hanging="77"/>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225" w:lineRule="exact"/>
        <w:rPr>
          <w:rFonts w:ascii="Arial" w:cs="Arial" w:eastAsia="Arial" w:hAnsi="Arial"/>
          <w:sz w:val="18"/>
          <w:szCs w:val="18"/>
          <w:color w:val="auto"/>
        </w:rPr>
      </w:pPr>
    </w:p>
    <w:p>
      <w:pPr>
        <w:ind w:left="740" w:hanging="41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225" w:lineRule="exact"/>
        <w:rPr>
          <w:rFonts w:ascii="Arial" w:cs="Arial" w:eastAsia="Arial" w:hAnsi="Arial"/>
          <w:sz w:val="18"/>
          <w:szCs w:val="18"/>
          <w:color w:val="auto"/>
        </w:rPr>
      </w:pPr>
    </w:p>
    <w:p>
      <w:pPr>
        <w:ind w:left="400" w:hanging="77"/>
        <w:spacing w:after="0" w:line="277"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rFonts w:ascii="Arial" w:cs="Arial" w:eastAsia="Arial" w:hAnsi="Arial"/>
          <w:sz w:val="18"/>
          <w:szCs w:val="18"/>
          <w:color w:val="auto"/>
        </w:rPr>
      </w:pPr>
    </w:p>
    <w:p>
      <w:pPr>
        <w:ind w:left="440" w:hanging="11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00" w:hanging="77"/>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225" w:lineRule="exact"/>
        <w:rPr>
          <w:rFonts w:ascii="Arial" w:cs="Arial" w:eastAsia="Arial" w:hAnsi="Arial"/>
          <w:sz w:val="18"/>
          <w:szCs w:val="18"/>
          <w:color w:val="auto"/>
        </w:rPr>
      </w:pPr>
    </w:p>
    <w:p>
      <w:pPr>
        <w:ind w:left="400" w:hanging="77"/>
        <w:spacing w:after="0" w:line="277"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rFonts w:ascii="Arial" w:cs="Arial" w:eastAsia="Arial" w:hAnsi="Arial"/>
          <w:sz w:val="18"/>
          <w:szCs w:val="18"/>
          <w:color w:val="auto"/>
        </w:rPr>
      </w:pPr>
    </w:p>
    <w:p>
      <w:pPr>
        <w:ind w:left="560" w:hanging="237"/>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litigation and the costs associated in defending any actions;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580" w:hanging="257"/>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225" w:lineRule="exact"/>
        <w:rPr>
          <w:rFonts w:ascii="Arial" w:cs="Arial" w:eastAsia="Arial" w:hAnsi="Arial"/>
          <w:sz w:val="18"/>
          <w:szCs w:val="18"/>
          <w:color w:val="auto"/>
        </w:rPr>
      </w:pPr>
    </w:p>
    <w:p>
      <w:pPr>
        <w:ind w:left="400" w:hanging="77"/>
        <w:spacing w:after="0" w:line="277"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2015 10-K Report and those described from time to time in our other filings with the SEC.</w:t>
      </w:r>
    </w:p>
    <w:p>
      <w:pPr>
        <w:spacing w:after="0" w:line="1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the Company following this report that modify or impact any of the forward-looking statements contained in or accompanying this 10-Q Report will be deemed to modify or supersede such forward-looking statements.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Declines in commodity and energy prices, together with slowing economic growth in emerging markets, have adversely impacted the global shipping and offshore oil exploration markets, affecting our marine segment. These macroeconomic trends are complex and present both opportunities and risks for our business. Sustained low fuel prices and limited volatility result in decreased demand for our price risk management products, and lower sales to the offshore specialty market due to the significant reduction in offshore exploration activity. We expect that adverse conditions in the shipping markets will continue in 2016.</w:t>
      </w:r>
    </w:p>
    <w:p>
      <w:pPr>
        <w:spacing w:after="0" w:line="1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Conversely, the low fuel price environment benefits the commercial aviation industry allowing commercial airlines to improve profitability and strengthen their balance sheets. We believe our aviation segment is well positioned to capitalize on the expected increase in passenger growth and route expansion, due in part to our expanded supply capabilities in key airports both in the U.S. and internationally. Lower fuel prices have also reduced the working capital cost required to support our aviation segment, thereby improving returns and making such capital available for investment in other areas of our business. A portion of our aviation business consists of providing fuel and related products and services to military fleets and to the U.S. and foreign governments. While we still expect the military-related activity to decline over time, the related contribution to aviation profitability in 2016 may be similar to the level we experienced in 2015. Demand for these products and services is driven by global events and can thus vary significantly from period to period.</w:t>
      </w:r>
    </w:p>
    <w:p>
      <w:pPr>
        <w:spacing w:after="0" w:line="197"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We may also experience decreases in future sales volumes and margins as a result of further deterioration in the world economy, declines in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Finally, our hedging activities may not be effective to mitigate volatile fuel prices and may expose us to counterparty risk. See “Item 1A – Risk Factors” of our 2015 10</w:t>
      </w:r>
      <w:r>
        <w:rPr>
          <w:rFonts w:ascii="MS PGothic" w:cs="MS PGothic" w:eastAsia="MS PGothic" w:hAnsi="MS PGothic"/>
          <w:sz w:val="17"/>
          <w:szCs w:val="17"/>
          <w:color w:val="auto"/>
        </w:rPr>
        <w:t>‑</w:t>
      </w:r>
      <w:r>
        <w:rPr>
          <w:rFonts w:ascii="Arial" w:cs="Arial" w:eastAsia="Arial" w:hAnsi="Arial"/>
          <w:sz w:val="17"/>
          <w:szCs w:val="17"/>
          <w:color w:val="auto"/>
        </w:rPr>
        <w:t>K Report.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in three reportable segments consisting of aviation, marine and land.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United States (“U.S.”) and foreign governments as well as intergovernmental organizations.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In our land segment, we offer fuel, crude oil, lubricants, natural gas and related products and services to customers including petroleum distributors operating in the land transportation market, retail petroleum operators, and industrial, commercial, residential and government customers. Within each of our segments we may enter into derivative contracts to mitigate the risk of market price fluctuations and also to offer our customers fuel pricing alternatives to meet their needs.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revenue and cost of revenue are significantly impacted by fuel prices. Our operating results are subject to seasonal variability. Seasonality results from numerous factors, including traditionally higher demand for natural gas and home heating oil during the winter months and aviation and land fuel during the summer months, as well as other seasonal weather patterns. Additionally, significant movements in fuel prices during any given financial period can have a significant impact on our gross profit, either positively or negatively depending on the direction, volatility and timing of such price movements.</w:t>
      </w:r>
    </w:p>
    <w:p>
      <w:pPr>
        <w:spacing w:after="0" w:line="188"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Selected financial information with respect to our business segments is provided in Note 10 to the accompanying consolidated financial statements included in this 10</w:t>
      </w:r>
      <w:r>
        <w:rPr>
          <w:rFonts w:ascii="MS PGothic" w:cs="MS PGothic" w:eastAsia="MS PGothic" w:hAnsi="MS PGothic"/>
          <w:sz w:val="18"/>
          <w:szCs w:val="18"/>
          <w:color w:val="auto"/>
        </w:rPr>
        <w:t>‑</w:t>
      </w:r>
      <w:r>
        <w:rPr>
          <w:rFonts w:ascii="Arial" w:cs="Arial" w:eastAsia="Arial" w:hAnsi="Arial"/>
          <w:sz w:val="18"/>
          <w:szCs w:val="18"/>
          <w:color w:val="auto"/>
        </w:rPr>
        <w:t>Q Report.</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results of operations include the results of the acquisition of all of the outstanding stock of Pester Marketing Company (“Pester”) in our land segment commencing on September 1, 2015, its acquisition date.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Three Months Ended March 31, 2016 Compared to Three Months Ended March 31, 2015</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quarter of 2016 was $5.2 billion, a decrease of $2.1 billion, or 29.3%, as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2015. Our revenue during these periods was attributable to the following segments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2,221.1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Land segment</w:t>
            </w:r>
          </w:p>
        </w:tc>
        <w:tc>
          <w:tcPr>
            <w:tcW w:w="284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1,695.0</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2,123.0</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28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1,276.5</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2,320.7</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5,192.6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7,340.7</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aviation segment were $2.2 billion for the first quarter of 2016, a decrease of $0.7 billion, or 23.3%, as compared to the first quarter of 2015. The decline in aviation revenues was driven by lower average fuel prices per gallon sold in the first quarter of 2016, as compared to 2015, where the average jet fuel price per gallon sold was $1.20 in 2016, as compared to $1.90 in 2015. The overall decline was partially offset by $0.3 billion, related to an increase in volume to existing customers, whereas volumes for the first quarter of 2016 were 1.6 billion gallons, an increase of 12.2%, as compared to the comparable prior year period.</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Revenues in our land segment were $1.7 billion for the first quarter of 2016, a decrease of $0.4 billion, or 20.2%, as compared to the first quarter of 2015. Our land revenues were impacted by a $0.5 billion decline, resulting from a lower average fuel price per gallon sold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2016, as compared to the first quarter of 2015. The overall decline was partially offset by $0.1 billion, related to an increase in volume from new and existing customers, whereas volumes for the first quarter of 2016 was 1.2 billion gallons, an increase of 8.6%, as compared to the first quarter of 2015.</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marine segment were $1.3 billion for the first quarter of 2016, a decrease of $1.0 billion, or 45.0%, as compared to the first quarter of 2015. The decrease was driven primarily by an approximate 50% decline in the average price per metric ton sold, to $144.0 in the first quarter of 2016 as compared to $295.0 in the first quarter of 2015. Volumes in our marine segment remained flat at 7.7 million metric tons for the first quarters of 2016 and 2015, respectively.</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gross profit for the first quarter of 2016 was $223.8 million, an increase of $8.4 million, or 3.9%,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2015. Our gross profit during these periods was attributable to the following segments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Land segment</w:t>
            </w:r>
          </w:p>
        </w:tc>
        <w:tc>
          <w:tcPr>
            <w:tcW w:w="286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93.6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28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39.2</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223.8</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first quarter of 2016 was $91.0 million, an increase of $8.1 million, or 9.8%, as compared to the first quarter of 2015. The increase in aviation gross profit was due to increased volume attributable to our core resale business in North America and Europe as well as an increase in US and foreign military-related activity, which was partially offset by a lower gross profit per gallon sold.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gross profit for the first quarter of 2016 was $93.6 million, an increase of $15.0 million, or 19.0%, as compared to the first quarter of 2015. While average fuel prices per gallon sold decreased, our land segment generated an increase in gross profit that was driven by recently acquired businesses and increases in retail and natural gas resale activities, offset in part by the impact of historically warm weather on our reselling activities in the United Kingdom.</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marine segment gross profit for the first quarter of 2016 was $39.2 million, a decrease of $14.7 million, or 27.3%, as compared to the first quarter of 2015. The decrease in marine segment gross profit of $14.7 million was impacted by the low fuel price environment which resulted in decreased demand for the price risk management products we offer, lower sales to the offshore specialty market due to the significant reduction in offshore exploration activity, and lower unit margins in core resale activities.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first quarter of 2016 were $160.5 million, an increase of $16.6 million, or 11.5%,</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first quarter of 2015. The total increase in operating expenses was primarily associated with acquired businesses, related professional fees and other growth-related initiatives. The following table sets forth our expense categories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2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95.9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Provision for bad debt</w:t>
            </w:r>
          </w:p>
        </w:tc>
        <w:tc>
          <w:tcPr>
            <w:tcW w:w="274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63.1</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160.5</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40" w:type="dxa"/>
            <w:vAlign w:val="bottom"/>
          </w:tcPr>
          <w:p>
            <w:pPr>
              <w:jc w:val="right"/>
              <w:ind w:right="1350"/>
              <w:spacing w:after="0"/>
              <w:rPr>
                <w:sz w:val="20"/>
                <w:szCs w:val="20"/>
                <w:color w:val="auto"/>
              </w:rPr>
            </w:pPr>
            <w:r>
              <w:rPr>
                <w:rFonts w:ascii="Arial" w:cs="Arial" w:eastAsia="Arial" w:hAnsi="Arial"/>
                <w:sz w:val="18"/>
                <w:szCs w:val="18"/>
                <w:color w:val="auto"/>
              </w:rPr>
              <w:t>22</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Income from Operations</w:t>
      </w:r>
      <w:r>
        <w:rPr>
          <w:rFonts w:ascii="Arial" w:cs="Arial" w:eastAsia="Arial" w:hAnsi="Arial"/>
          <w:sz w:val="17"/>
          <w:szCs w:val="17"/>
          <w:color w:val="auto"/>
        </w:rPr>
        <w:t>. Income from operations during these periods was attributable to the following segments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Land segment</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Marine segment</w:t>
            </w:r>
          </w:p>
        </w:tc>
        <w:tc>
          <w:tcPr>
            <w:tcW w:w="18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overhead - unallocated</w:t>
            </w:r>
          </w:p>
        </w:tc>
        <w:tc>
          <w:tcPr>
            <w:tcW w:w="18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income from operations for the first quarter of 2016 was $63.3 million, a decrease of $8.2 million, or 11.5%, as compared to the first quarter of 2015. The overall decline was experienced in our marine segment, where income from operations for the first quarter of 2016 was $11.4 million, a decrease of $14.7 million, or 56.3%, as compared to the first quarter of 2015. This decrease resulted from lower gross profit per metric ton sold in the first quarter of 2016 as compared to the first quarter of 2015. In addition, the low fuel price environment has resulted in lower margins and decreased demand for the price risk management products we offer within this segment. The marine decline was partially offset by increased volume experienced in our Aviation segment and, to a lesser extent, our Land segment.</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overhead costs not charged to the business segments for the first quarter of 2016 were $18.4 million, an increase of $4.2 million, or 29.6%, as compared to the first quarter of 2015. This increase was principally due to increased expenses to support our growing global business.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first quarter of 2016, we had non-operating expenses, net of $6.3 million, a slight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$0.7 million as compared to the first quarter of 2015.</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first quarter of 2016, our effective income tax rate was 8.3% and our income tax provision was $4.8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effective income tax rate of 15.3% and an income tax provision of $9.9 million for the first quarter of 2015. Our provision for income taxes for the first quarter of 2016 was adjusted for an income tax benefit of $4.0 million, net for discrete items related to changes in estimates in uncertain tax positions. Without the $4.0 million adjustment for the discrete items, the first quarter of 2016 effective income tax rate would have been 15.4%.</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Loss Attributable to Noncontrolling Interest</w:t>
      </w:r>
      <w:r>
        <w:rPr>
          <w:rFonts w:ascii="Arial" w:cs="Arial" w:eastAsia="Arial" w:hAnsi="Arial"/>
          <w:sz w:val="18"/>
          <w:szCs w:val="18"/>
          <w:color w:val="auto"/>
        </w:rPr>
        <w:t>. For the first quarter of 2016, net loss attributable to noncontrolling interest was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$0.9 million as compared to the first quarter 2015.</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Net Income and Diluted Earnings per Common Share</w:t>
      </w:r>
      <w:r>
        <w:rPr>
          <w:rFonts w:ascii="Arial" w:cs="Arial" w:eastAsia="Arial" w:hAnsi="Arial"/>
          <w:sz w:val="17"/>
          <w:szCs w:val="17"/>
          <w:color w:val="auto"/>
        </w:rPr>
        <w:t>. Our net income for the first quarter of 2016 was $52.4 million,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$3.2 million, or 5.8%, as compared to the first quarter of 2015. Diluted earnings per common share for the first quarter of 2016 was $0.75 per common share, a decrease of $0.03 per common share, or 3.8%, as compared to the first quarter of 2015.</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three months ended March 31, 2016 and 2015 (in millions). For additional details, please see the 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r>
      <w:tr>
        <w:trPr>
          <w:trHeight w:val="201"/>
        </w:trPr>
        <w:tc>
          <w:tcPr>
            <w:tcW w:w="5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4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138.5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(52.5)</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the three months ended March 31, 2016, net cash provided by operating activities was $138.5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$106.9 million for the first three months of 2015. The $31.6 million increase in operating cash flows was primarily due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year-over-year changes in assets and liabilities, net of acquisitions. For the first quarter of 2016 changes in accounts receivables provided cash of $142.9 million, as compared to $85.6 million in the first quarter of 2015, principally as a result of lower average fuel prices. Changes in inventories and short-term derivative assets were impacted by the low fuel price environment resulting in combined net cash provided of $117.9 million in the first three months of 2016 as compared to combined net cash provided of $87.3 million in the first three months of 2015. Additionally, the associated cash collateral we are required to post with our financial counterparties declined, providing cash of $54.0 million in 2016, as compared to $43.6 million in the comparable prior year period. These favorable changes were partially offset by changes in our accounts payable balance, where we had a cash use of $191.2 million for the first quarter of 2016, as compared to a cash use of $91.9 million for the first quarter of 2015, driven principally by lower average fuel prices and timing of payments to suppliers</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For the three months ended March 31, 2016, net cash used in investing activities was $52.5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$11.5 million for the first three months of 2015. The $41.0 million increase in cash used in investing activities was principally due to increased acquisition-related activity, whereas in the first three months of 2016 we completed three acquisitions in our land segment.</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For the three months ended March 31, 2016, net cash provided by financing activities was $19.7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$2.4 million of cash used in financing activities for the first three months of 2015. The $22.1 million change was principally due to increased net borrowings under our credit facility in the first three months of 2016 as compared to the first three months of 2015.</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As of March 31, 2016 and December 31, 2015, we had cash and cash equivalents of $689.7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$582.5 million, respectively. Our primary use of cash and cash equivalents are to fund strategic investments, primarily acquisitions and purchase inventory.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previously committed to undertake a multi-year project designed to drive greater improvement in operating efficiencies and optimize scalability designed to incorporate acquisitions that we may undertake in the future. We will accomplish this in part by a global design and deployment of an upgrade to our existing ERP platform. We are currently in the early planning phase and the cost incurred during the first quarter of 2016 was not considered significant. We expect the total cost of the project over the next three years to range between $30.0 million and $40.0 million.</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Credit Facility and Term Loans. </w:t>
      </w:r>
      <w:r>
        <w:rPr>
          <w:rFonts w:ascii="Arial" w:cs="Arial" w:eastAsia="Arial" w:hAnsi="Arial"/>
          <w:sz w:val="17"/>
          <w:szCs w:val="17"/>
          <w:color w:val="auto"/>
        </w:rPr>
        <w:t>We have a Credit Facility which permits borrowing up to $1.26 billion with a sublimit of $400.0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issuance of letters of credit and bankers’ acceptances. Under the Credit Facility, we have the right to request increases in available borrowings up to an additional $150.0 million, subject to the satisfaction of certain conditions. The Credit Facility matures in October 2018. We had outstanding borrowings under our Credit Facility totaling $446.0 million and $416.0 million as of March 31, 2016 and December 31, 2015, respectively. Our issued letters of credit under the Credit Facility totaled $5.1 million and $5.5 million as of March 31, 2016 and December 31, 2015, respectively. We also had $329.8 million and $333.2 million in Term Loans outstanding as of March 31, 2016 and December 31, 2015, respectively. As of March 31, 2016 and December 31, 2015, the unused portion of our Credit Facility was $807.6 million and $838.5 million, respectively.</w:t>
      </w:r>
    </w:p>
    <w:p>
      <w:pPr>
        <w:spacing w:after="0" w:line="17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7"/>
          <w:szCs w:val="17"/>
          <w:color w:val="auto"/>
        </w:rPr>
        <w:t>‑</w:t>
      </w:r>
      <w:r>
        <w:rPr>
          <w:rFonts w:ascii="Arial" w:cs="Arial" w:eastAsia="Arial" w:hAnsi="Arial"/>
          <w:sz w:val="17"/>
          <w:szCs w:val="17"/>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March 31, 2016, we were in compliance with all financial covenants contained in our Credit Facility and our Term Loans.</w:t>
      </w:r>
    </w:p>
    <w:p>
      <w:pPr>
        <w:spacing w:after="0" w:line="20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Other Credit Lines and Receivables Purchase Agreements</w:t>
      </w:r>
      <w:r>
        <w:rPr>
          <w:rFonts w:ascii="Arial" w:cs="Arial" w:eastAsia="Arial" w:hAnsi="Arial"/>
          <w:sz w:val="17"/>
          <w:szCs w:val="17"/>
          <w:color w:val="auto"/>
        </w:rPr>
        <w:t>. Additionally, we have other uncommitted credit lines primarily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letters of credit, bank guarantees and bankers’ acceptances. These credit lines are renewable on an annual basis and are subject to fees at market rates. As of March 31, 2016 and December 31, 2015, our outstanding letters of credit and bank guarantees under these credit lines totaled $162.8 million and $208.4 million, respectively. We also have Receivables Purchase Agreements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(“RPAs”) that allow for the sale of up to an aggregate of $499.0 million of our accounts receivable. As of March 31, 2016, we had sold accounts receivable of $106.6 million under the RPAs.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Short-Term Debt</w:t>
      </w:r>
      <w:r>
        <w:rPr>
          <w:rFonts w:ascii="Arial" w:cs="Arial" w:eastAsia="Arial" w:hAnsi="Arial"/>
          <w:sz w:val="17"/>
          <w:szCs w:val="17"/>
          <w:color w:val="auto"/>
        </w:rPr>
        <w:t>. As of March 31, 2016, our short-term debt of $28.8 million primarily represents the current maturities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next twelve months) of Term Loan borrowings, certain promissory notes related to acquisitions and capital lease obligations.</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that our cash and cash equivalents as of March 31, 2016 (of which $107.7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the first quarter of 2016, we signed a definitive agreement to acquire from certain ExxonMobil affiliates their aviation</w:t>
      </w:r>
      <w:r>
        <w:rPr>
          <w:rFonts w:ascii="Arial" w:cs="Arial" w:eastAsia="Arial" w:hAnsi="Arial"/>
          <w:sz w:val="18"/>
          <w:szCs w:val="18"/>
          <w:i w:val="1"/>
          <w:iCs w:val="1"/>
          <w:color w:val="auto"/>
        </w:rPr>
        <w:t xml:space="preserve"> </w:t>
      </w:r>
      <w:r>
        <w:rPr>
          <w:rFonts w:ascii="Arial" w:cs="Arial" w:eastAsia="Arial" w:hAnsi="Arial"/>
          <w:sz w:val="18"/>
          <w:szCs w:val="18"/>
          <w:color w:val="auto"/>
        </w:rPr>
        <w:t>fueling operations at 83 airports in Canada, the United Kingdom, Germany, Italy, France, Australia and New Zealand. The total purchase price is approximately $260.0 million and is expected to be fully funded with cash on hand. The transaction will close in phases, with the majority of locations expected to close during the second half of 2016. The transaction is subject to customary regulatory consents and closing conditions, including securing third party consents and therefore there can be no assurance that we will be successful in closing the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2015 to March 31, 2016. For a discussion of these matters, refer to “Contractual Obligations and Off-Balance Sheet Arrangements” in Item 7 of our 2015 10-K Report.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Derivative Obligations. </w:t>
      </w:r>
      <w:r>
        <w:rPr>
          <w:rFonts w:ascii="Arial" w:cs="Arial" w:eastAsia="Arial" w:hAnsi="Arial"/>
          <w:sz w:val="17"/>
          <w:szCs w:val="17"/>
          <w:color w:val="auto"/>
        </w:rPr>
        <w:t>As of March 31, 2016, our net derivative obligations were $65.1 million, principally due within one year.</w:t>
      </w:r>
    </w:p>
    <w:p>
      <w:pPr>
        <w:spacing w:after="0" w:line="237" w:lineRule="exact"/>
        <w:rPr>
          <w:sz w:val="20"/>
          <w:szCs w:val="20"/>
          <w:color w:val="auto"/>
        </w:rPr>
      </w:pPr>
    </w:p>
    <w:p>
      <w:pPr>
        <w:ind w:left="40" w:firstLine="279"/>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March 31, 2016, fixed purchase commitments under our derivative programs amounted to</w:t>
      </w:r>
      <w:r>
        <w:rPr>
          <w:rFonts w:ascii="Arial" w:cs="Arial" w:eastAsia="Arial" w:hAnsi="Arial"/>
          <w:sz w:val="18"/>
          <w:szCs w:val="18"/>
          <w:i w:val="1"/>
          <w:iCs w:val="1"/>
          <w:color w:val="auto"/>
        </w:rPr>
        <w:t xml:space="preserve"> </w:t>
      </w:r>
      <w:r>
        <w:rPr>
          <w:rFonts w:ascii="Arial" w:cs="Arial" w:eastAsia="Arial" w:hAnsi="Arial"/>
          <w:sz w:val="18"/>
          <w:szCs w:val="18"/>
          <w:color w:val="auto"/>
        </w:rPr>
        <w:t>$73.6 million, principally due within one year.</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A majority of these letters of credit expire within one year from their issuance, and expired letters of credit are renewed as needed. As of March 31, 2016, we had issued letters of credit and bank guarantees totaling $168.0 million under our Credit Facility and other uncommitted credit lines. For additional information on our Credit Facility and other credit lines, see the discussion in “Liquidity and Capital Resources”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194" w:lineRule="exact"/>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included elsewhere in this 10</w:t>
      </w:r>
      <w:r>
        <w:rPr>
          <w:rFonts w:ascii="MS PGothic" w:cs="MS PGothic" w:eastAsia="MS PGothic" w:hAnsi="MS PGothic"/>
          <w:sz w:val="17"/>
          <w:szCs w:val="17"/>
          <w:color w:val="auto"/>
        </w:rPr>
        <w:t>‑</w:t>
      </w:r>
      <w:r>
        <w:rPr>
          <w:rFonts w:ascii="Arial" w:cs="Arial" w:eastAsia="Arial" w:hAnsi="Arial"/>
          <w:sz w:val="17"/>
          <w:szCs w:val="17"/>
          <w:color w:val="auto"/>
        </w:rPr>
        <w:t>Q Report,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derivatives, goodwill and identifiable intangible assets and certain accrued liabilities.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Accounts Receivable and Allowance for Bad Debt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 Although we analyze customers’ payment 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 Write-offs for the first quarter of 2016 did not have a significant impact on our consolidated statement of operations.</w:t>
      </w:r>
    </w:p>
    <w:p>
      <w:pPr>
        <w:spacing w:after="0" w:line="16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however, be an accurate indicator of current or future creditworthiness of our customers, particularly in difficult economic and financial markets. As a result of the limited predictability inherent in estimating which customers are less likely or unlikely to remit amounts owed to us, our provision for estimated credit losses may not be sufficient. Any write-off of accounts receivable in excess of our provision for estimated credit losses would have an adverse effect on our results of operations.</w:t>
      </w:r>
    </w:p>
    <w:p>
      <w:pPr>
        <w:spacing w:after="0" w:line="175" w:lineRule="exact"/>
        <w:rPr>
          <w:sz w:val="20"/>
          <w:szCs w:val="20"/>
          <w:color w:val="auto"/>
        </w:rPr>
      </w:pPr>
    </w:p>
    <w:p>
      <w:pPr>
        <w:jc w:val="both"/>
        <w:ind w:firstLine="648"/>
        <w:spacing w:after="0" w:line="203" w:lineRule="exact"/>
        <w:rPr>
          <w:sz w:val="20"/>
          <w:szCs w:val="20"/>
          <w:color w:val="auto"/>
        </w:rPr>
      </w:pPr>
      <w:r>
        <w:rPr>
          <w:rFonts w:ascii="Arial" w:cs="Arial" w:eastAsia="Arial" w:hAnsi="Arial"/>
          <w:sz w:val="18"/>
          <w:szCs w:val="18"/>
          <w:color w:val="auto"/>
        </w:rPr>
        <w:t>If credit losses exceed established allowances, our business, financial condition, results of operations and cash flows may be adversely affected. For additional information on the credit risks inherent in our business, see “Item 1A – Risk Factors” included in our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Inventories are valued using the average cost methodology and are stated at the lower of average cost or market. We utilize a variety of fuel indices and other indicators of market value. Sharp negative changes in these indices can result in reduction of our inventory valuation, which could have an adverse impact on our results of operations in the period in which we take the adjustment. Historically these adjustments have not had a significant impact on our consolidated statements of operations. Components of inventory include fuel purchase costs, the related transportation costs and changes in the estimated fair market values for inventories included in a fair value hedge relationship.</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While we currently believe that our derivative contracts will be effective in mitigating the associated price risks, it is possible that our derivative instruments will be ineffective at mitigating material changes in prices, which could have an adverse impact on our financial position and results of operations. At the inception and on an ongoing basis, we assess the hedging relationship to determine its effectiveness in offsetting changes in cash flows or fair value attributable to the hedged risk.</w:t>
      </w:r>
    </w:p>
    <w:p>
      <w:pPr>
        <w:spacing w:after="0" w:line="17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fair value of our derivatives is derived using observable and certain unobservable inputs, such as basis differentials, which are based on the difference between the historical prices of our prior transactions and the underlying observable data. Measurement of the fair value of our derivatives also requires the assessment of certain risks related to non-performance, which requires a significant amount of judgment. The effect on our income before income taxes of a 10% change in the model input for non-performance risk would not be significant to our consolidated statements of operations.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We also enter into proprietary derivative transactions, primarily intended to capitalize on arbitrage opportunities related to basis or time spreads related to fuel products we sell. Our limited amounts of proprietary derivative transactions carry a higher degree of risk than our other derivative activities due to the speculative nature of these transactions. For the first quarter of 2016, our proprietary derivative transactions did not have a significant impact to our consolidated statement of operations.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4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derivatives that are subject to the accounting guidance for derivative instruments are recognized at their estimated fair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statements of income and comprehensive income. For our cash flow hedges, the effective portion of the changes in the fair market value of the hedge is recognized as a component of other comprehensive income in the shareholders’ equity section of the consolidated balance sheets and subsequently reclassified into the same line item as the forecasted transaction when both are settled, while the ineffective portion of the changes in the estimated fair market value of the hedge is recognized as a component of other income (expense), net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Goodwill is evaluated for impairment based on an assessment of qualitative factors to determine whether it is more likely than not that the fair value of any individual reporting unit is less than its carrying amount (Step 0). If we determine that it is more likely than not that the fair value of a reporting unit is greater than its carrying value, then no further testing is required. Otherwise, we would perform the two-step impairment analysis described below.</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Step 1 requires us to compare the fair value of the reporting units to which goodwill was assigned to their respective carrying values. In calculating fair value, we use the income approach as our primary indicator of fair value. Under the income approach, we calculate the fair value of a reporting unit based on the present value of estimated future cash flows. These estimates are based on a number of factors including industry experience, business expectations and the economic environment. If the fair value exceeds the carrying value, no further work is required and no impairment loss is recognized. If the carrying value exceeds the fair value, the goodwill of the reporting unit is potentially impaired and the Company would then complete step 2 in order to measure the impairment loss.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qualitative assessment associated with step 0 and the quantitative assessment associated with step 1 of our goodwill impairment analysis both involve significant management estimates and judgment in order to properly determine that the factors assessed are appropriate and are accurate for each of the Company’s reporting units.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at least annually for potential impairment. Our impairment analysis of our intangible assets not subject to amortization (primarily trademarks and/or trade names) generally involves the use of qualitative and quantitative analyses to estimate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whether the estimated future cash flows generated as a result of these assets will be greater than or equal to the carrying value assigned to such assets. We have not historically incurred any impairment losses associated with our intangible assets.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w:t>
      </w:r>
      <w:r>
        <w:rPr>
          <w:rFonts w:ascii="MS PGothic" w:cs="MS PGothic" w:eastAsia="MS PGothic" w:hAnsi="MS PGothic"/>
          <w:sz w:val="18"/>
          <w:szCs w:val="18"/>
          <w:color w:val="auto"/>
        </w:rPr>
        <w:t>‑</w:t>
      </w:r>
      <w:r>
        <w:rPr>
          <w:rFonts w:ascii="Arial" w:cs="Arial" w:eastAsia="Arial" w:hAnsi="Arial"/>
          <w:sz w:val="18"/>
          <w:szCs w:val="18"/>
          <w:color w:val="auto"/>
        </w:rPr>
        <w:t>party subcontractor. Our fuel sales are generated as a fuel reseller as well as from on</w:t>
      </w:r>
      <w:r>
        <w:rPr>
          <w:rFonts w:ascii="MS PGothic" w:cs="MS PGothic" w:eastAsia="MS PGothic" w:hAnsi="MS PGothic"/>
          <w:sz w:val="18"/>
          <w:szCs w:val="18"/>
          <w:color w:val="auto"/>
        </w:rPr>
        <w:t>‑</w:t>
      </w:r>
      <w:r>
        <w:rPr>
          <w:rFonts w:ascii="Arial" w:cs="Arial" w:eastAsia="Arial" w:hAnsi="Arial"/>
          <w:sz w:val="18"/>
          <w:szCs w:val="18"/>
          <w:color w:val="auto"/>
        </w:rPr>
        <w:t>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207"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6"/>
          <w:szCs w:val="16"/>
          <w:color w:val="auto"/>
        </w:rPr>
        <w:t>Revenue from fuel</w:t>
      </w:r>
      <w:r>
        <w:rPr>
          <w:rFonts w:ascii="MS PGothic" w:cs="MS PGothic" w:eastAsia="MS PGothic" w:hAnsi="MS PGothic"/>
          <w:sz w:val="16"/>
          <w:szCs w:val="16"/>
          <w:color w:val="auto"/>
        </w:rPr>
        <w:t>‑</w:t>
      </w:r>
      <w:r>
        <w:rPr>
          <w:rFonts w:ascii="Arial" w:cs="Arial" w:eastAsia="Arial" w:hAnsi="Arial"/>
          <w:sz w:val="16"/>
          <w:szCs w:val="16"/>
          <w:color w:val="auto"/>
        </w:rPr>
        <w:t>related services is recognized when services are performed, the sales price is fixed or determinable and collectability is reasonably assured. We record the sale of fuel</w:t>
      </w:r>
      <w:r>
        <w:rPr>
          <w:rFonts w:ascii="MS PGothic" w:cs="MS PGothic" w:eastAsia="MS PGothic" w:hAnsi="MS PGothic"/>
          <w:sz w:val="16"/>
          <w:szCs w:val="16"/>
          <w:color w:val="auto"/>
        </w:rPr>
        <w:t>‑</w:t>
      </w:r>
      <w:r>
        <w:rPr>
          <w:rFonts w:ascii="Arial" w:cs="Arial" w:eastAsia="Arial" w:hAnsi="Arial"/>
          <w:sz w:val="16"/>
          <w:szCs w:val="16"/>
          <w:color w:val="auto"/>
        </w:rPr>
        <w:t>related services on a gross basis as we generally have latitude in establishing the sales price, have discretion in supplier selection, maintain credit risk and are the primary obligor in the sales arrangement.</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Commission from fuel broker services is recognized when services are performed and collectability is reasonably assured. When acting as a fuel broker, we are paid a commission by the supplier.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card payment and processing transactions is recognized at the time the purchase is made by the customer using the charge card. Revenue from charge card transactions is generated from processing fees.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Whether the services have been performed and when title and risk of loss passes to the customer are the factors we take into consideration in deciding when to recognize revenue. These factors are readily determinable and consistently applied throughout our business. Therefore, we generally have not needed to make significant estimates or assumptions with respect to revenue recognition.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recently adopted accounting pronouncements is included in Note 1 - Significant Accounting Policies in the “Notes to the Consolidated Financial Statements” in this 10-Q Report.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Recently Issued Accounting Standards, Not Adopted as of March 31, 2016.</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In May 2014, the Financial Accounting Standards Board (“FASB”) issued Accounting Standards Update</w:t>
      </w:r>
      <w:r>
        <w:rPr>
          <w:rFonts w:ascii="Arial" w:cs="Arial" w:eastAsia="Arial" w:hAnsi="Arial"/>
          <w:sz w:val="18"/>
          <w:szCs w:val="18"/>
          <w:i w:val="1"/>
          <w:iCs w:val="1"/>
          <w:color w:val="auto"/>
        </w:rPr>
        <w:t xml:space="preserve"> </w:t>
      </w:r>
      <w:r>
        <w:rPr>
          <w:rFonts w:ascii="Arial" w:cs="Arial" w:eastAsia="Arial" w:hAnsi="Arial"/>
          <w:sz w:val="18"/>
          <w:szCs w:val="18"/>
          <w:color w:val="auto"/>
        </w:rPr>
        <w:t>(“ASU”) No. 2014-09, Revenue from Contracts with Customers. Under this ASU and subsequently issued amendments, an entity is required to recognize the amount of revenue it expects to be entitled to for the transfer of promised goods or services to customers. The standard is effective for interim and annual reporting periods beginning after December 15, 2017. The updated standard will replace most existing revenue recognition guidance in U.S. GAAP when it becomes effective and permits the use of either the retrospective or cumulative effect transition method. Early adoption of the standard is permitted, but not before December 15, 2016. We have not yet selected a transition method and we are currently evaluating how the adoption of the standard will impact our consolidated financial statements and related disclosures.</w:t>
      </w:r>
    </w:p>
    <w:p>
      <w:pPr>
        <w:spacing w:after="0" w:line="192" w:lineRule="exact"/>
        <w:rPr>
          <w:sz w:val="20"/>
          <w:szCs w:val="20"/>
          <w:color w:val="auto"/>
        </w:rPr>
      </w:pPr>
    </w:p>
    <w:p>
      <w:pPr>
        <w:jc w:val="both"/>
        <w:ind w:firstLine="383"/>
        <w:spacing w:after="0" w:line="272" w:lineRule="auto"/>
        <w:rPr>
          <w:sz w:val="20"/>
          <w:szCs w:val="20"/>
          <w:color w:val="auto"/>
        </w:rPr>
      </w:pP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In March 2016, the FASB issued ASU 2016-05, Derivatives and Hedging: Effect of Derivative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Novations on Existing Hedge Accounting Relationships and ASU 2016-06, Derivatives and Hedging: Contingent Put and Call Options in Debt Instruments. ASU 2016-05 clarifies that a change in the counterparty to a derivative instrument that has been designated as a hedging instrument does not, in and of itself, require dedesignation of that hedging relationship provided that all other hedge accounting criteria continue to be met. ASU 2016-06 clarifies the steps required to determine bifurcation of an embedded derivative. These standards are effective at the beginning of our 2017 fiscal year. We are currently evaluating whether the adoption of these standards will have a significant impact on our consolidated financial statements and related disclosures.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Inventory: Simplifying the Measurement of Inventory. </w:t>
      </w:r>
      <w:r>
        <w:rPr>
          <w:rFonts w:ascii="Arial" w:cs="Arial" w:eastAsia="Arial" w:hAnsi="Arial"/>
          <w:sz w:val="16"/>
          <w:szCs w:val="16"/>
          <w:color w:val="auto"/>
        </w:rPr>
        <w:t>In July 2015, the FASB issued ASU 2015-11, which simplifies the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inventory by requiring inventory within the scope of this update to be measured at the lower of cost or net realizable value rather than the lower of cost or market. This standard is effective at the beginning of our 2017 fiscal year. We are currently evaluating whether the adoption of this new guidance will have a significant impact on our consolidated financial statements and related disclosures.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February 2016, the FASB issued an ASU 2016-02, Leases. This standard will require all lessees to recognize a right of use</w:t>
      </w:r>
      <w:r>
        <w:rPr>
          <w:rFonts w:ascii="Arial" w:cs="Arial" w:eastAsia="Arial" w:hAnsi="Arial"/>
          <w:sz w:val="17"/>
          <w:szCs w:val="17"/>
          <w:i w:val="1"/>
          <w:iCs w:val="1"/>
          <w:color w:val="auto"/>
        </w:rPr>
        <w:t xml:space="preserve"> </w:t>
      </w:r>
      <w:r>
        <w:rPr>
          <w:rFonts w:ascii="Arial" w:cs="Arial" w:eastAsia="Arial" w:hAnsi="Arial"/>
          <w:sz w:val="17"/>
          <w:szCs w:val="17"/>
          <w:color w:val="auto"/>
        </w:rPr>
        <w:t>asset and a lease liability on the balance sheet, except for leases with durations that are less than twelve months. The standard is effective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We are currently evaluating whether the adoption of this new guidance will have a significant impact on our consolidated financial statements and disclosures.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Compensation – Stock Compensation: Improvements to Employee Share-Based Payment Accounting. </w:t>
      </w:r>
      <w:r>
        <w:rPr>
          <w:rFonts w:ascii="Arial" w:cs="Arial" w:eastAsia="Arial" w:hAnsi="Arial"/>
          <w:sz w:val="17"/>
          <w:szCs w:val="17"/>
          <w:color w:val="auto"/>
        </w:rPr>
        <w:t>In March 2016, the FASB issued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ASU 2016-09. This ASU is intended to improve the accounting for employee share-based payments. Several aspects of the accounting for share-based payment award transactions are simplified, including: </w:t>
      </w:r>
      <w:r>
        <w:rPr>
          <w:rFonts w:ascii="Arial" w:cs="Arial" w:eastAsia="Arial" w:hAnsi="Arial"/>
          <w:sz w:val="17"/>
          <w:szCs w:val="17"/>
          <w:i w:val="1"/>
          <w:iCs w:val="1"/>
          <w:color w:val="auto"/>
        </w:rPr>
        <w:t>(a)</w:t>
      </w:r>
      <w:r>
        <w:rPr>
          <w:rFonts w:ascii="Arial" w:cs="Arial" w:eastAsia="Arial" w:hAnsi="Arial"/>
          <w:sz w:val="17"/>
          <w:szCs w:val="17"/>
          <w:color w:val="auto"/>
        </w:rPr>
        <w:t xml:space="preserve"> income tax consequences; </w:t>
      </w:r>
      <w:r>
        <w:rPr>
          <w:rFonts w:ascii="Arial" w:cs="Arial" w:eastAsia="Arial" w:hAnsi="Arial"/>
          <w:sz w:val="17"/>
          <w:szCs w:val="17"/>
          <w:i w:val="1"/>
          <w:iCs w:val="1"/>
          <w:color w:val="auto"/>
        </w:rPr>
        <w:t>(b)</w:t>
      </w:r>
      <w:r>
        <w:rPr>
          <w:rFonts w:ascii="Arial" w:cs="Arial" w:eastAsia="Arial" w:hAnsi="Arial"/>
          <w:sz w:val="17"/>
          <w:szCs w:val="17"/>
          <w:color w:val="auto"/>
        </w:rPr>
        <w:t xml:space="preserve"> classification of awards as either equity or liabilities; and </w:t>
      </w:r>
      <w:r>
        <w:rPr>
          <w:rFonts w:ascii="Arial" w:cs="Arial" w:eastAsia="Arial" w:hAnsi="Arial"/>
          <w:sz w:val="17"/>
          <w:szCs w:val="17"/>
          <w:i w:val="1"/>
          <w:iCs w:val="1"/>
          <w:color w:val="auto"/>
        </w:rPr>
        <w:t>(c)</w:t>
      </w:r>
      <w:r>
        <w:rPr>
          <w:rFonts w:ascii="Arial" w:cs="Arial" w:eastAsia="Arial" w:hAnsi="Arial"/>
          <w:sz w:val="17"/>
          <w:szCs w:val="17"/>
          <w:color w:val="auto"/>
        </w:rPr>
        <w:t xml:space="preserve"> classification on the statement of cash flows. This update is effective at the beginning of our 2017 fiscal year with an election to early adopt at the beginning of 2016. We are currently evaluating whether the adoption of this new guidance will impact our consolidated financial statements and related disclosures.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Derivatives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describes our derivative classifications: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commodity contracts we enter into to mitigate the risk of price volatility in forecasted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w:t>
      </w:r>
    </w:p>
    <w:p>
      <w:pPr>
        <w:spacing w:after="0" w:line="116"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Fair Value Hedges</w:t>
      </w:r>
      <w:r>
        <w:rPr>
          <w:rFonts w:ascii="Arial" w:cs="Arial" w:eastAsia="Arial" w:hAnsi="Arial"/>
          <w:sz w:val="18"/>
          <w:szCs w:val="18"/>
          <w:color w:val="auto"/>
        </w:rPr>
        <w:t>. Includes derivatives we enter into in order to hedge price risk associated with our inventory and certain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relating to fixed price purchase and sale contracts.</w:t>
      </w:r>
    </w:p>
    <w:p>
      <w:pPr>
        <w:spacing w:after="0" w:line="12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i w:val="1"/>
          <w:iCs w:val="1"/>
          <w:color w:val="auto"/>
        </w:rPr>
        <w:t>Non-designated Derivatives</w:t>
      </w:r>
      <w:r>
        <w:rPr>
          <w:rFonts w:ascii="Arial" w:cs="Arial" w:eastAsia="Arial" w:hAnsi="Arial"/>
          <w:sz w:val="17"/>
          <w:szCs w:val="17"/>
          <w:color w:val="auto"/>
        </w:rPr>
        <w:t>. Includes derivatives we primarily enter into in order to mitigate the risk of market price fluctuations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marine and land fuel in the form of swaps or futures as well as certain fixed price purchase and sale contracts and proprietary trading. In addition, non-designated derivatives are entered into to hedge the risk of currency rate fluctuations.</w:t>
      </w:r>
    </w:p>
    <w:p>
      <w:pPr>
        <w:spacing w:after="0" w:line="12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March 31, 2016, see Notes to the Consolidated Financial Statements – </w:t>
      </w:r>
      <w:r>
        <w:rPr>
          <w:rFonts w:ascii="Arial" w:cs="Arial" w:eastAsia="Arial" w:hAnsi="Arial"/>
          <w:sz w:val="18"/>
          <w:szCs w:val="18"/>
          <w:i w:val="1"/>
          <w:iCs w:val="1"/>
          <w:color w:val="auto"/>
        </w:rPr>
        <w:t>Note 3. Derivatives</w:t>
      </w:r>
    </w:p>
    <w:p>
      <w:pPr>
        <w:spacing w:after="0" w:line="12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2015. Please refer to our 2015 10-K Report for a complete discussion of our exposure to these risks.</w:t>
      </w:r>
    </w:p>
    <w:p>
      <w:pPr>
        <w:spacing w:after="0" w:line="36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March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March 31,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Lac</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Mégantic, Quebec</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actions pending against us arising from a July 2013 train derailment in Lac-Mégantic, Quebec have now been dismissed.</w:t>
      </w:r>
    </w:p>
    <w:p>
      <w:pPr>
        <w:spacing w:after="0" w:line="200" w:lineRule="exact"/>
        <w:rPr>
          <w:sz w:val="20"/>
          <w:szCs w:val="20"/>
          <w:color w:val="auto"/>
        </w:rPr>
      </w:pPr>
    </w:p>
    <w:p>
      <w:pPr>
        <w:spacing w:after="0" w:line="24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information with respect to repurchases of common stock made by us during the quarterly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(in thousands, except average price per share):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of Shares Purchased</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as Part of Publicly</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78"/>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Average Price</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Announced Plans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4"/>
                <w:szCs w:val="14"/>
                <w:b w:val="1"/>
                <w:bCs w:val="1"/>
                <w:color w:val="auto"/>
                <w:vertAlign w:val="superscript"/>
              </w:rPr>
              <w:t>(1)</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 Per Share</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or Programs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1/1/16 - 1/31/16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59,524</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2/1/16 - 2/29/16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59,524</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3/1/16 - 3/31/16</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59,524</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59,524</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180" w:hanging="188"/>
        <w:spacing w:after="0" w:line="278" w:lineRule="auto"/>
        <w:rPr>
          <w:sz w:val="20"/>
          <w:szCs w:val="20"/>
          <w:color w:val="auto"/>
        </w:rPr>
      </w:pPr>
      <w:r>
        <w:rPr>
          <w:rFonts w:ascii="Arial" w:cs="Arial" w:eastAsia="Arial" w:hAnsi="Arial"/>
          <w:sz w:val="16"/>
          <w:szCs w:val="16"/>
          <w:color w:val="auto"/>
        </w:rPr>
        <w:t>(1)These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71" w:lineRule="exact"/>
        <w:rPr>
          <w:sz w:val="20"/>
          <w:szCs w:val="20"/>
          <w:color w:val="auto"/>
        </w:rPr>
      </w:pPr>
    </w:p>
    <w:p>
      <w:pPr>
        <w:jc w:val="both"/>
        <w:ind w:left="180" w:hanging="188"/>
        <w:spacing w:after="0" w:line="293" w:lineRule="auto"/>
        <w:rPr>
          <w:sz w:val="20"/>
          <w:szCs w:val="20"/>
          <w:color w:val="auto"/>
        </w:rPr>
      </w:pPr>
      <w:r>
        <w:rPr>
          <w:rFonts w:ascii="Arial" w:cs="Arial" w:eastAsia="Arial" w:hAnsi="Arial"/>
          <w:sz w:val="15"/>
          <w:szCs w:val="15"/>
          <w:color w:val="auto"/>
        </w:rPr>
        <w:t>(2)In June 2015, our Board of Directors renewed its existing common stock repurchase program by replacing the remainder of the existing program and authorizing the purchase of up to $100.0 million in common stock (the “Repurchase Program”). The Repurchase Program does not require a minimum number of shares of common stock to be purchased, has no expiration date and may be suspended or discontinued at any time. As of March 31, 2016, $59.5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167"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7"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 —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3887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4"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or Rule 15d — 14(a).</w:t>
      </w:r>
    </w:p>
    <w:p>
      <w:pPr>
        <w:spacing w:after="0" w:line="225"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under Section 906 of the Sarbanes-Oxley Act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1260" w:hanging="862"/>
        <w:spacing w:after="0" w:line="302"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materials from World Fuel Services Corporation’s Quarterly Report on Form 10-Q for the quarter ended March 31, 2016,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40"/>
          </w:cols>
          <w:pgMar w:left="920" w:top="125" w:right="11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25" w:lineRule="exact"/>
        <w:rPr>
          <w:sz w:val="20"/>
          <w:szCs w:val="20"/>
          <w:color w:val="auto"/>
        </w:rPr>
      </w:pPr>
    </w:p>
    <w:p>
      <w:pPr>
        <w:ind w:left="460" w:right="200" w:hanging="134"/>
        <w:spacing w:after="0" w:line="277" w:lineRule="auto"/>
        <w:rPr>
          <w:sz w:val="20"/>
          <w:szCs w:val="20"/>
          <w:color w:val="auto"/>
        </w:rPr>
      </w:pPr>
      <w:r>
        <w:rPr>
          <w:rFonts w:ascii="Arial" w:cs="Arial" w:eastAsia="Arial" w:hAnsi="Arial"/>
          <w:sz w:val="18"/>
          <w:szCs w:val="18"/>
          <w:color w:val="auto"/>
        </w:rPr>
        <w:t>1.I have reviewed this Quarterly Report on Form 10-Q of World Fuel Services Corporation for the quarterly period ended March 31, 2016;</w:t>
      </w:r>
    </w:p>
    <w:p>
      <w:pPr>
        <w:spacing w:after="0" w:line="170" w:lineRule="exact"/>
        <w:rPr>
          <w:sz w:val="20"/>
          <w:szCs w:val="20"/>
          <w:color w:val="auto"/>
        </w:rPr>
      </w:pPr>
    </w:p>
    <w:p>
      <w:pPr>
        <w:ind w:left="460" w:right="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sz w:val="20"/>
          <w:szCs w:val="20"/>
          <w:color w:val="auto"/>
        </w:rPr>
      </w:pPr>
    </w:p>
    <w:p>
      <w:pPr>
        <w:ind w:left="1100" w:hanging="134"/>
        <w:spacing w:after="0" w:line="312"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ind w:left="1100" w:right="420" w:hanging="134"/>
        <w:spacing w:after="0" w:line="312"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left="1100" w:right="30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1100" w:right="100" w:hanging="134"/>
        <w:spacing w:after="0" w:line="312"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ind w:left="460" w:right="200" w:hanging="134"/>
        <w:spacing w:after="0" w:line="26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100" w:right="2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1100" w:right="6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7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25" w:lineRule="exact"/>
        <w:rPr>
          <w:sz w:val="20"/>
          <w:szCs w:val="20"/>
          <w:color w:val="auto"/>
        </w:rPr>
      </w:pPr>
    </w:p>
    <w:p>
      <w:pPr>
        <w:ind w:left="460" w:right="200" w:hanging="134"/>
        <w:spacing w:after="0" w:line="277" w:lineRule="auto"/>
        <w:rPr>
          <w:sz w:val="20"/>
          <w:szCs w:val="20"/>
          <w:color w:val="auto"/>
        </w:rPr>
      </w:pPr>
      <w:r>
        <w:rPr>
          <w:rFonts w:ascii="Arial" w:cs="Arial" w:eastAsia="Arial" w:hAnsi="Arial"/>
          <w:sz w:val="18"/>
          <w:szCs w:val="18"/>
          <w:color w:val="auto"/>
        </w:rPr>
        <w:t>1.I have reviewed this Quarterly Report on Form 10-Q of World Fuel Services Corporation for the quarterly period ended March 31, 2016;</w:t>
      </w:r>
    </w:p>
    <w:p>
      <w:pPr>
        <w:spacing w:after="0" w:line="170" w:lineRule="exact"/>
        <w:rPr>
          <w:sz w:val="20"/>
          <w:szCs w:val="20"/>
          <w:color w:val="auto"/>
        </w:rPr>
      </w:pPr>
    </w:p>
    <w:p>
      <w:pPr>
        <w:ind w:left="460" w:right="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sz w:val="20"/>
          <w:szCs w:val="20"/>
          <w:color w:val="auto"/>
        </w:rPr>
      </w:pPr>
    </w:p>
    <w:p>
      <w:pPr>
        <w:ind w:left="1100" w:hanging="134"/>
        <w:spacing w:after="0" w:line="312"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ind w:left="1100" w:right="420" w:hanging="134"/>
        <w:spacing w:after="0" w:line="312"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left="1100" w:right="30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1100" w:right="100" w:hanging="134"/>
        <w:spacing w:after="0" w:line="312"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ind w:left="460" w:right="200" w:hanging="134"/>
        <w:spacing w:after="0" w:line="26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100" w:right="2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1100" w:right="6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7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and Chief Financial Officer under Section 906 of the Sarbanes-Oxley Act of 2002 (18 U.S.C. § 1350)</w:t>
      </w:r>
    </w:p>
    <w:p>
      <w:pPr>
        <w:spacing w:after="0" w:line="180" w:lineRule="exact"/>
        <w:rPr>
          <w:sz w:val="20"/>
          <w:szCs w:val="20"/>
          <w:color w:val="auto"/>
        </w:rPr>
      </w:pPr>
    </w:p>
    <w:p>
      <w:pPr>
        <w:ind w:right="400" w:firstLine="486"/>
        <w:spacing w:after="0" w:line="312" w:lineRule="auto"/>
        <w:rPr>
          <w:sz w:val="20"/>
          <w:szCs w:val="20"/>
          <w:color w:val="auto"/>
        </w:rPr>
      </w:pPr>
      <w:r>
        <w:rPr>
          <w:rFonts w:ascii="Arial" w:cs="Arial" w:eastAsia="Arial" w:hAnsi="Arial"/>
          <w:sz w:val="16"/>
          <w:szCs w:val="16"/>
          <w:color w:val="auto"/>
        </w:rPr>
        <w:t>We, Michael J. Kasbar, the Chairman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147" w:lineRule="exact"/>
        <w:rPr>
          <w:sz w:val="20"/>
          <w:szCs w:val="20"/>
          <w:color w:val="auto"/>
        </w:rPr>
      </w:pPr>
    </w:p>
    <w:p>
      <w:pPr>
        <w:ind w:left="760" w:right="60" w:hanging="271"/>
        <w:spacing w:after="0" w:line="26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2016 (the “Report”) fully complies with the requirements of Section 13(a) or 15(d), as applicable, of the Securities Exchange Act of 1934; and</w:t>
      </w:r>
    </w:p>
    <w:p>
      <w:pPr>
        <w:spacing w:after="0" w:line="181" w:lineRule="exact"/>
        <w:rPr>
          <w:rFonts w:ascii="Arial" w:cs="Arial" w:eastAsia="Arial" w:hAnsi="Arial"/>
          <w:sz w:val="18"/>
          <w:szCs w:val="18"/>
          <w:color w:val="auto"/>
        </w:rPr>
      </w:pPr>
    </w:p>
    <w:p>
      <w:pPr>
        <w:ind w:left="820" w:right="80" w:hanging="331"/>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2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0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2019-12-29T11:26:52Z</dcterms:created>
  <dcterms:modified xsi:type="dcterms:W3CDTF">2019-12-29T11:26:52Z</dcterms:modified>
</cp:coreProperties>
</file>