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Velazquez Carlos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402" w:lineRule="auto"/>
        <w:rPr>
          <w:sz w:val="20"/>
          <w:szCs w:val="20"/>
          <w:color w:val="auto"/>
        </w:rPr>
      </w:pPr>
      <w:r>
        <w:rPr>
          <w:rFonts w:ascii="Arial" w:cs="Arial" w:eastAsia="Arial" w:hAnsi="Arial"/>
          <w:sz w:val="16"/>
          <w:szCs w:val="16"/>
          <w:color w:val="0000FF"/>
        </w:rPr>
        <w:t>C/O WORLD FUEL SERVICES CORPORATION 9800 N.W. 41ST STREET, SUITE 400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SVP, Chief Accounting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05/10/2015</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w w:val="83"/>
              </w:rPr>
              <w:t>472</w:t>
            </w:r>
            <w:r>
              <w:rPr>
                <w:rFonts w:ascii="Arial" w:cs="Arial" w:eastAsia="Arial" w:hAnsi="Arial"/>
                <w:sz w:val="22"/>
                <w:szCs w:val="22"/>
                <w:color w:val="008000"/>
                <w:w w:val="83"/>
                <w:vertAlign w:val="superscript"/>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51.47</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15,725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57"/>
              <w:spacing w:after="0" w:line="324" w:lineRule="exact"/>
              <w:rPr>
                <w:sz w:val="20"/>
                <w:szCs w:val="20"/>
                <w:color w:val="auto"/>
              </w:rPr>
            </w:pPr>
            <w:r>
              <w:rPr>
                <w:rFonts w:ascii="Arial" w:cs="Arial" w:eastAsia="Arial" w:hAnsi="Arial"/>
                <w:sz w:val="35"/>
                <w:szCs w:val="35"/>
                <w:color w:val="0000FF"/>
                <w:w w:val="81"/>
                <w:vertAlign w:val="subscript"/>
              </w:rPr>
              <w:t>79</w:t>
            </w:r>
            <w:r>
              <w:rPr>
                <w:rFonts w:ascii="Arial" w:cs="Arial" w:eastAsia="Arial" w:hAnsi="Arial"/>
                <w:sz w:val="11"/>
                <w:szCs w:val="11"/>
                <w:color w:val="008000"/>
                <w:w w:val="81"/>
              </w:rPr>
              <w:t>(3)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51.47</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15,646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57"/>
              <w:spacing w:after="0" w:line="324" w:lineRule="exact"/>
              <w:rPr>
                <w:sz w:val="20"/>
                <w:szCs w:val="20"/>
                <w:color w:val="auto"/>
              </w:rPr>
            </w:pPr>
            <w:r>
              <w:rPr>
                <w:rFonts w:ascii="Arial" w:cs="Arial" w:eastAsia="Arial" w:hAnsi="Arial"/>
                <w:sz w:val="35"/>
                <w:szCs w:val="35"/>
                <w:color w:val="0000FF"/>
                <w:w w:val="81"/>
                <w:vertAlign w:val="subscript"/>
              </w:rPr>
              <w:t>93</w:t>
            </w:r>
            <w:r>
              <w:rPr>
                <w:rFonts w:ascii="Arial" w:cs="Arial" w:eastAsia="Arial" w:hAnsi="Arial"/>
                <w:sz w:val="11"/>
                <w:szCs w:val="11"/>
                <w:color w:val="008000"/>
                <w:w w:val="81"/>
              </w:rPr>
              <w:t>(4)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51.47</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15,553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1,723 shares of restricted stock held by the reporting person vested and settled on May 10, 2015.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8, 2015.</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288 shares of restricted stock held by the reporting person vested and settled on May 10, 2015.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338 shares of restricted stock held by the reporting person vested and settled on May 10, 2015. The issuer withheld the reported shares to cover the reporting person's tax liability associated with these shares of restricted stock.</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Carlos M. Velazquez</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85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2019-12-23T22:40:37Z</dcterms:created>
  <dcterms:modified xsi:type="dcterms:W3CDTF">2019-12-23T22:40:37Z</dcterms:modified>
</cp:coreProperties>
</file>