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3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9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6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5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October 27, 2016</w:t>
      </w:r>
    </w:p>
    <w:p>
      <w:pPr>
        <w:spacing w:after="0" w:line="36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9"/>
          <w:szCs w:val="39"/>
          <w:b w:val="1"/>
          <w:bCs w:val="1"/>
          <w:color w:val="auto"/>
        </w:rPr>
        <w:t>WORLD FUEL SERVICES CORPORATION</w:t>
      </w:r>
    </w:p>
    <w:p>
      <w:pPr>
        <w:spacing w:after="0" w:line="5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00"/>
          </w:cols>
          <w:pgMar w:left="240" w:top="673"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2740"/>
        <w:spacing w:after="0"/>
        <w:rPr>
          <w:sz w:val="20"/>
          <w:szCs w:val="20"/>
          <w:color w:val="auto"/>
        </w:rPr>
      </w:pPr>
      <w:r>
        <w:rPr>
          <w:rFonts w:ascii="Times New Roman" w:cs="Times New Roman" w:eastAsia="Times New Roman" w:hAnsi="Times New Roman"/>
          <w:sz w:val="18"/>
          <w:szCs w:val="18"/>
          <w:b w:val="1"/>
          <w:bCs w:val="1"/>
          <w:color w:val="auto"/>
        </w:rPr>
        <w:t>1-9533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59-2459427</w:t>
      </w:r>
    </w:p>
    <w:p>
      <w:pPr>
        <w:spacing w:after="0" w:line="31" w:lineRule="exact"/>
        <w:rPr>
          <w:sz w:val="24"/>
          <w:szCs w:val="24"/>
          <w:color w:val="auto"/>
        </w:rPr>
      </w:pPr>
    </w:p>
    <w:p>
      <w:pPr>
        <w:sectPr>
          <w:pgSz w:w="11900" w:h="16838" w:orient="portrait"/>
          <w:cols w:equalWidth="0" w:num="3">
            <w:col w:w="4920" w:space="720"/>
            <w:col w:w="3260" w:space="720"/>
            <w:col w:w="1580"/>
          </w:cols>
          <w:pgMar w:left="240" w:top="673" w:right="45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3180" w:space="720"/>
            <w:col w:w="2240"/>
          </w:cols>
          <w:pgMar w:left="240" w:top="673" w:right="4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7760" w:type="dxa"/>
            <w:vAlign w:val="bottom"/>
          </w:tcPr>
          <w:p>
            <w:pPr>
              <w:jc w:val="center"/>
              <w:ind w:right="5294"/>
              <w:spacing w:after="0"/>
              <w:rPr>
                <w:sz w:val="20"/>
                <w:szCs w:val="20"/>
                <w:color w:val="auto"/>
              </w:rPr>
            </w:pPr>
            <w:r>
              <w:rPr>
                <w:rFonts w:ascii="Times New Roman" w:cs="Times New Roman" w:eastAsia="Times New Roman" w:hAnsi="Times New Roman"/>
                <w:sz w:val="18"/>
                <w:szCs w:val="18"/>
                <w:b w:val="1"/>
                <w:bCs w:val="1"/>
                <w:color w:val="auto"/>
                <w:w w:val="99"/>
              </w:rPr>
              <w:t>9800 N.W. 41</w:t>
            </w:r>
            <w:r>
              <w:rPr>
                <w:rFonts w:ascii="Times New Roman" w:cs="Times New Roman" w:eastAsia="Times New Roman" w:hAnsi="Times New Roman"/>
                <w:sz w:val="8"/>
                <w:szCs w:val="8"/>
                <w:b w:val="1"/>
                <w:bCs w:val="1"/>
                <w:color w:val="auto"/>
                <w:w w:val="99"/>
              </w:rPr>
              <w:t>st</w:t>
            </w:r>
            <w:r>
              <w:rPr>
                <w:rFonts w:ascii="Times New Roman" w:cs="Times New Roman" w:eastAsia="Times New Roman" w:hAnsi="Times New Roman"/>
                <w:sz w:val="18"/>
                <w:szCs w:val="18"/>
                <w:b w:val="1"/>
                <w:bCs w:val="1"/>
                <w:color w:val="auto"/>
                <w:w w:val="99"/>
              </w:rPr>
              <w:t xml:space="preserve"> Street</w:t>
            </w:r>
          </w:p>
        </w:tc>
        <w:tc>
          <w:tcPr>
            <w:tcW w:w="1220" w:type="dxa"/>
            <w:vAlign w:val="bottom"/>
            <w:vMerge w:val="restart"/>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33178</w:t>
            </w:r>
          </w:p>
        </w:tc>
        <w:tc>
          <w:tcPr>
            <w:tcW w:w="0" w:type="dxa"/>
            <w:vAlign w:val="bottom"/>
          </w:tcPr>
          <w:p>
            <w:pPr>
              <w:spacing w:after="0"/>
              <w:rPr>
                <w:sz w:val="1"/>
                <w:szCs w:val="1"/>
                <w:color w:val="auto"/>
              </w:rPr>
            </w:pPr>
          </w:p>
        </w:tc>
      </w:tr>
      <w:tr>
        <w:trPr>
          <w:trHeight w:val="184"/>
        </w:trPr>
        <w:tc>
          <w:tcPr>
            <w:tcW w:w="7760" w:type="dxa"/>
            <w:vAlign w:val="bottom"/>
          </w:tcPr>
          <w:p>
            <w:pPr>
              <w:jc w:val="center"/>
              <w:ind w:right="5314"/>
              <w:spacing w:after="0" w:line="184" w:lineRule="exact"/>
              <w:rPr>
                <w:sz w:val="20"/>
                <w:szCs w:val="20"/>
                <w:color w:val="auto"/>
              </w:rPr>
            </w:pPr>
            <w:r>
              <w:rPr>
                <w:rFonts w:ascii="Times New Roman" w:cs="Times New Roman" w:eastAsia="Times New Roman" w:hAnsi="Times New Roman"/>
                <w:sz w:val="18"/>
                <w:szCs w:val="18"/>
                <w:b w:val="1"/>
                <w:bCs w:val="1"/>
                <w:color w:val="auto"/>
                <w:w w:val="99"/>
              </w:rPr>
              <w:t>Miami, Florida</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760" w:type="dxa"/>
            <w:vAlign w:val="bottom"/>
          </w:tcPr>
          <w:p>
            <w:pPr>
              <w:jc w:val="center"/>
              <w:ind w:right="529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20" w:type="dxa"/>
            <w:vAlign w:val="bottom"/>
          </w:tcPr>
          <w:p>
            <w:pPr>
              <w:jc w:val="center"/>
              <w:ind w:left="374"/>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0" w:type="dxa"/>
            <w:vAlign w:val="bottom"/>
          </w:tcPr>
          <w:p>
            <w:pPr>
              <w:spacing w:after="0"/>
              <w:rPr>
                <w:sz w:val="1"/>
                <w:szCs w:val="1"/>
                <w:color w:val="auto"/>
              </w:rPr>
            </w:pPr>
          </w:p>
        </w:tc>
      </w:tr>
      <w:tr>
        <w:trPr>
          <w:trHeight w:val="442"/>
        </w:trPr>
        <w:tc>
          <w:tcPr>
            <w:tcW w:w="776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428-8000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4"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200"/>
          </w:cols>
          <w:pgMar w:left="240" w:top="673"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2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information is provided pursuant to Item 7.01 of Form 8-K, “Regulation FD Disclosure” and Item 2.02 of Form 8-K, “Results of Operations and Financial Condition.”</w:t>
      </w:r>
    </w:p>
    <w:p>
      <w:pPr>
        <w:spacing w:after="0" w:line="2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October 27, 2016, World Fuel Services Corporation (the “Company”) issued a press release reporting its financial results for the third quarter ended September 30, 2016. A copy of the press release is attached hereto as Exhibit 99.1.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100" w:type="dxa"/>
            <w:vAlign w:val="bottom"/>
          </w:tcPr>
          <w:p>
            <w:pPr>
              <w:spacing w:after="0"/>
              <w:rPr>
                <w:sz w:val="17"/>
                <w:szCs w:val="17"/>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10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Press Release, dated October 27, 2016</w:t>
            </w:r>
          </w:p>
        </w:tc>
      </w:tr>
    </w:tbl>
    <w:p>
      <w:pPr>
        <w:sectPr>
          <w:pgSz w:w="11900" w:h="16838" w:orient="portrait"/>
          <w:cols w:equalWidth="0" w:num="1">
            <w:col w:w="11420"/>
          </w:cols>
          <w:pgMar w:left="240" w:top="581"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color w:val="auto"/>
        </w:rPr>
        <w:t>SIGNATURES</w:t>
      </w:r>
    </w:p>
    <w:p>
      <w:pPr>
        <w:spacing w:after="0" w:line="19"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960" w:val="left"/>
        </w:tabs>
        <w:rPr>
          <w:sz w:val="20"/>
          <w:szCs w:val="20"/>
          <w:color w:val="auto"/>
        </w:rPr>
      </w:pPr>
      <w:r>
        <w:rPr>
          <w:rFonts w:ascii="Times New Roman" w:cs="Times New Roman" w:eastAsia="Times New Roman" w:hAnsi="Times New Roman"/>
          <w:sz w:val="18"/>
          <w:szCs w:val="18"/>
          <w:color w:val="auto"/>
        </w:rPr>
        <w:t>Date: October 27, 2016</w:t>
      </w:r>
      <w:r>
        <w:rPr>
          <w:sz w:val="20"/>
          <w:szCs w:val="20"/>
          <w:color w:val="auto"/>
        </w:rPr>
        <w:tab/>
      </w:r>
      <w:r>
        <w:rPr>
          <w:rFonts w:ascii="Times New Roman" w:cs="Times New Roman" w:eastAsia="Times New Roman" w:hAnsi="Times New Roman"/>
          <w:sz w:val="17"/>
          <w:szCs w:val="17"/>
          <w:b w:val="1"/>
          <w:bCs w:val="1"/>
          <w:color w:val="auto"/>
        </w:rPr>
        <w:t>World Fuel Services Corporation</w:t>
      </w:r>
    </w:p>
    <w:p>
      <w:pPr>
        <w:spacing w:after="0" w:line="33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Ira M. Birns</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8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EXHIBIT INDEX</w:t>
            </w:r>
          </w:p>
        </w:tc>
      </w:tr>
      <w:tr>
        <w:trPr>
          <w:trHeight w:val="62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No.</w:t>
            </w: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27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50"/>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60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dated October 27, 2016</w:t>
            </w:r>
          </w:p>
        </w:tc>
      </w:tr>
    </w:tbl>
    <w:p>
      <w:pPr>
        <w:sectPr>
          <w:pgSz w:w="11900" w:h="16838" w:orient="portrait"/>
          <w:cols w:equalWidth="0" w:num="1">
            <w:col w:w="11420"/>
          </w:cols>
          <w:pgMar w:left="240" w:top="895"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33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-113665</wp:posOffset>
            </wp:positionV>
            <wp:extent cx="23241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4100" cy="977900"/>
                    </a:xfrm>
                    <a:prstGeom prst="rect">
                      <a:avLst/>
                    </a:prstGeom>
                    <a:noFill/>
                  </pic:spPr>
                </pic:pic>
              </a:graphicData>
            </a:graphic>
          </wp:anchor>
        </w:drawing>
      </w:r>
    </w:p>
    <w:p>
      <w:pPr>
        <w:spacing w:after="0" w:line="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0"/>
          <w:szCs w:val="20"/>
          <w:color w:val="auto"/>
        </w:rPr>
        <w:t>Ira M. Birns, Executive Vice President &amp;</w:t>
      </w:r>
    </w:p>
    <w:p>
      <w:pPr>
        <w:ind w:left="77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0"/>
          <w:szCs w:val="20"/>
          <w:color w:val="auto"/>
        </w:rPr>
        <w:t>Glenn Klevitz</w:t>
      </w:r>
    </w:p>
    <w:p>
      <w:pPr>
        <w:spacing w:after="0" w:line="2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0"/>
          <w:szCs w:val="20"/>
          <w:color w:val="auto"/>
        </w:rPr>
        <w:t>Vice President, Assistant Treasurer</w:t>
      </w:r>
    </w:p>
    <w:p>
      <w:pPr>
        <w:ind w:left="7700"/>
        <w:spacing w:after="0"/>
        <w:rPr>
          <w:sz w:val="20"/>
          <w:szCs w:val="20"/>
          <w:color w:val="auto"/>
        </w:rPr>
      </w:pPr>
      <w:r>
        <w:rPr>
          <w:rFonts w:ascii="Times New Roman" w:cs="Times New Roman" w:eastAsia="Times New Roman" w:hAnsi="Times New Roman"/>
          <w:sz w:val="20"/>
          <w:szCs w:val="20"/>
          <w:color w:val="auto"/>
        </w:rPr>
        <w:t>305-428-8000</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World Fuel Services Corporation Reports Third Quarter 2016 Earnings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Aviation segment posts record results ---</w:t>
      </w:r>
    </w:p>
    <w:p>
      <w:pPr>
        <w:spacing w:after="0" w:line="200" w:lineRule="exact"/>
        <w:rPr>
          <w:sz w:val="20"/>
          <w:szCs w:val="20"/>
          <w:color w:val="auto"/>
        </w:rPr>
      </w:pPr>
    </w:p>
    <w:p>
      <w:pPr>
        <w:spacing w:after="0" w:line="3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MIAMI—October 27, 2016-- World Fuel Services Corporation (NYSE: INT) today reported third quarter net income of $42.7 million or $0.61 diluted earnings per share compared to $43.7 million or $0.62 diluted earnings per share in the third quarter of 2015. Excluding the impact of certain non-recurring expenses, adjusted third quarter net income was $45.1 million or $0.65 adjusted diluted earnings per share. Non-GAAP net income and diluted earnings per share for the third quarter, excluding share-based compensation and amortization of acquired intangible assets were $57.2 million and $0.82, respectively, compared to $54.2 million and $0.77 in 2015.</w:t>
      </w:r>
    </w:p>
    <w:p>
      <w:pPr>
        <w:spacing w:after="0" w:line="1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aviation segment posted record results in the third quarter driven by seasonally strong core resale operations in North America, Europe and Asia as well as continued strength in government-related fueling activities, illustrating the strength of our diversified portfolio as it served to offset continued weakness in the marine markets,” stated Michael J. Kasbar, chairman and chief executive officer of World Fuel Services Corporation. “As we continue to develop and integrate our broad-based global energy management, fulfillment and payment platforms, our focus on increasing operating efficiency and expanding our value-added service offerings will serve us well as we look to execute on our long-term growth initiatives.”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aviation segment generated gross profit of $111.7 million, an increase of $4.8 million or 4.5% year-over-year. The company’s land segment posted gross profit of $87.8 million, an increase of $16.5 million or 23.2% year-over-year. The company’s marine segment generated gross profit of $37.2 million, a decrease of $11.4 million or 23.4% year-over-year.</w:t>
      </w:r>
    </w:p>
    <w:p>
      <w:pPr>
        <w:spacing w:after="0" w:line="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again generated positive operating cash flow this quarter, further contributing to our strong liquidity profile,” said Ira M. Birns, executive vice president and chief financial officer. “As announced today, we also amended our credit facility, which increases the aggregate size of our revolving credit facility and term loan by approximately $500 million to $2.1 billion, extends the term of the facility to October 2021 and offers more favorable terms, all of which provides us with even greater flexibility to execute on our strategic growth initiatives.”</w:t>
      </w:r>
    </w:p>
    <w:p>
      <w:pPr>
        <w:sectPr>
          <w:pgSz w:w="11900" w:h="16838" w:orient="portrait"/>
          <w:cols w:equalWidth="0" w:num="1">
            <w:col w:w="11420"/>
          </w:cols>
          <w:pgMar w:left="240" w:top="572"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auto"/>
        </w:rPr>
        <w:t>Non-GAAP Financial Measures</w:t>
      </w:r>
    </w:p>
    <w:p>
      <w:pPr>
        <w:spacing w:after="0" w:line="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non-GAAP financial measures exclude costs associated with share-based compensation, amortization of acquired intangible assets, expenses related to acquisitions and other related charges, deferred revenue purchase accounting adjustments, and termination of employment agreement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the expenses related to acquisitions and other related charges, and termination of employment agreement expenses are useful for purposes of evaluating operating performance of our core operating results and comparing them period over period. In accordance with the fair value provisions applicable to the accounting for business combinations, acquired deferred revenue is often recorded on the opening balance sheet at an amount that is lower than the historical carrying value. Although this acquisition accounting requirement has no impact on our business or cash flows, it adversely impacts our reported GAAP revenue in the reporting periods following an acquisition. We believe that the exclusion of the deferred revenue purchase accounting adjustment is useful to investors as an additional means to reflect trends of our business and provides investors with financial information that facilitates comparison of both historical and future results.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Information Relating to Forward-Looking Statements</w:t>
      </w:r>
    </w:p>
    <w:p>
      <w:pPr>
        <w:spacing w:after="0" w:line="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This release includes forward-looking statements within the meaning of the Private Securities Litigation Reform Act of 1995, including statements regarding our expectations about our strategic growth initiatives, operating efficiency, and expansion of our value-added service offerings. These forward-looking statements are qualified in their entirety by cautionary statements and risk factor disclosures contained in the company’s Securities and Exchange Commission (“SEC”) filings, including the company’s Annual Report on Form 10-K filed with the SEC on February 16, 2016.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the outcome of pending litigation and other proceedings,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About World Fuel Services Corporation</w:t>
      </w:r>
    </w:p>
    <w:p>
      <w:pPr>
        <w:spacing w:after="0" w:line="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www.wfscorp.com.</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Some amounts in this press release may not add due to rounding. All percentages have been calculated using unrounded amounts --</w:t>
      </w:r>
    </w:p>
    <w:p>
      <w:pPr>
        <w:sectPr>
          <w:pgSz w:w="11900" w:h="16838" w:orient="portrait"/>
          <w:cols w:equalWidth="0" w:num="1">
            <w:col w:w="11420"/>
          </w:cols>
          <w:pgMar w:left="240" w:top="576" w:right="2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(Unaudited - In millions,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59"/>
        </w:trPr>
        <w:tc>
          <w:tcPr>
            <w:tcW w:w="7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78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77"/>
        </w:trPr>
        <w:tc>
          <w:tcPr>
            <w:tcW w:w="7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872.3</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582.5</w:t>
            </w:r>
          </w:p>
        </w:tc>
        <w:tc>
          <w:tcPr>
            <w:tcW w:w="0" w:type="dxa"/>
            <w:vAlign w:val="bottom"/>
          </w:tcPr>
          <w:p>
            <w:pPr>
              <w:spacing w:after="0"/>
              <w:rPr>
                <w:sz w:val="1"/>
                <w:szCs w:val="1"/>
                <w:color w:val="auto"/>
              </w:rPr>
            </w:pPr>
          </w:p>
        </w:tc>
      </w:tr>
      <w:tr>
        <w:trPr>
          <w:trHeight w:val="275"/>
        </w:trPr>
        <w:tc>
          <w:tcPr>
            <w:tcW w:w="7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2,062.6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1,812.6</w:t>
            </w:r>
          </w:p>
        </w:tc>
        <w:tc>
          <w:tcPr>
            <w:tcW w:w="0" w:type="dxa"/>
            <w:vAlign w:val="bottom"/>
          </w:tcPr>
          <w:p>
            <w:pPr>
              <w:spacing w:after="0"/>
              <w:rPr>
                <w:sz w:val="1"/>
                <w:szCs w:val="1"/>
                <w:color w:val="auto"/>
              </w:rPr>
            </w:pPr>
          </w:p>
        </w:tc>
      </w:tr>
      <w:tr>
        <w:trPr>
          <w:trHeight w:val="265"/>
        </w:trPr>
        <w:tc>
          <w:tcPr>
            <w:tcW w:w="7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484.5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359.1</w:t>
            </w:r>
          </w:p>
        </w:tc>
        <w:tc>
          <w:tcPr>
            <w:tcW w:w="0" w:type="dxa"/>
            <w:vAlign w:val="bottom"/>
          </w:tcPr>
          <w:p>
            <w:pPr>
              <w:spacing w:after="0"/>
              <w:rPr>
                <w:sz w:val="1"/>
                <w:szCs w:val="1"/>
                <w:color w:val="auto"/>
              </w:rPr>
            </w:pPr>
          </w:p>
        </w:tc>
      </w:tr>
      <w:tr>
        <w:trPr>
          <w:trHeight w:val="275"/>
        </w:trPr>
        <w:tc>
          <w:tcPr>
            <w:tcW w:w="7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265"/>
        </w:trPr>
        <w:tc>
          <w:tcPr>
            <w:tcW w:w="7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Short-term derivative assets, net</w:t>
            </w:r>
          </w:p>
        </w:tc>
        <w:tc>
          <w:tcPr>
            <w:tcW w:w="3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220.4</w:t>
            </w:r>
          </w:p>
        </w:tc>
        <w:tc>
          <w:tcPr>
            <w:tcW w:w="0" w:type="dxa"/>
            <w:vAlign w:val="bottom"/>
          </w:tcPr>
          <w:p>
            <w:pPr>
              <w:spacing w:after="0"/>
              <w:rPr>
                <w:sz w:val="1"/>
                <w:szCs w:val="1"/>
                <w:color w:val="auto"/>
              </w:rPr>
            </w:pPr>
          </w:p>
        </w:tc>
      </w:tr>
      <w:tr>
        <w:trPr>
          <w:trHeight w:val="275"/>
        </w:trPr>
        <w:tc>
          <w:tcPr>
            <w:tcW w:w="7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208.0</w:t>
            </w:r>
          </w:p>
        </w:tc>
        <w:tc>
          <w:tcPr>
            <w:tcW w:w="0" w:type="dxa"/>
            <w:vAlign w:val="bottom"/>
          </w:tcPr>
          <w:p>
            <w:pPr>
              <w:spacing w:after="0"/>
              <w:rPr>
                <w:sz w:val="1"/>
                <w:szCs w:val="1"/>
                <w:color w:val="auto"/>
              </w:rPr>
            </w:pPr>
          </w:p>
        </w:tc>
      </w:tr>
      <w:tr>
        <w:trPr>
          <w:trHeight w:val="265"/>
        </w:trPr>
        <w:tc>
          <w:tcPr>
            <w:tcW w:w="7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Current assets held for sale</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55"/>
        </w:trPr>
        <w:tc>
          <w:tcPr>
            <w:tcW w:w="7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3,752.5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3,246.0</w:t>
            </w:r>
          </w:p>
        </w:tc>
        <w:tc>
          <w:tcPr>
            <w:tcW w:w="0" w:type="dxa"/>
            <w:vAlign w:val="bottom"/>
          </w:tcPr>
          <w:p>
            <w:pPr>
              <w:spacing w:after="0"/>
              <w:rPr>
                <w:sz w:val="1"/>
                <w:szCs w:val="1"/>
                <w:color w:val="auto"/>
              </w:rPr>
            </w:pPr>
          </w:p>
        </w:tc>
      </w:tr>
      <w:tr>
        <w:trPr>
          <w:trHeight w:val="265"/>
        </w:trPr>
        <w:tc>
          <w:tcPr>
            <w:tcW w:w="7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260.3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225.6</w:t>
            </w:r>
          </w:p>
        </w:tc>
        <w:tc>
          <w:tcPr>
            <w:tcW w:w="0" w:type="dxa"/>
            <w:vAlign w:val="bottom"/>
          </w:tcPr>
          <w:p>
            <w:pPr>
              <w:spacing w:after="0"/>
              <w:rPr>
                <w:sz w:val="1"/>
                <w:szCs w:val="1"/>
                <w:color w:val="auto"/>
              </w:rPr>
            </w:pPr>
          </w:p>
        </w:tc>
      </w:tr>
      <w:tr>
        <w:trPr>
          <w:trHeight w:val="275"/>
        </w:trPr>
        <w:tc>
          <w:tcPr>
            <w:tcW w:w="7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720.0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675.8</w:t>
            </w:r>
          </w:p>
        </w:tc>
        <w:tc>
          <w:tcPr>
            <w:tcW w:w="0" w:type="dxa"/>
            <w:vAlign w:val="bottom"/>
          </w:tcPr>
          <w:p>
            <w:pPr>
              <w:spacing w:after="0"/>
              <w:rPr>
                <w:sz w:val="1"/>
                <w:szCs w:val="1"/>
                <w:color w:val="auto"/>
              </w:rPr>
            </w:pPr>
          </w:p>
        </w:tc>
      </w:tr>
      <w:tr>
        <w:trPr>
          <w:trHeight w:val="265"/>
        </w:trPr>
        <w:tc>
          <w:tcPr>
            <w:tcW w:w="7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Identifiable intangible and other non-current assets</w:t>
            </w:r>
          </w:p>
        </w:tc>
        <w:tc>
          <w:tcPr>
            <w:tcW w:w="3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419.7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341.4</w:t>
            </w:r>
          </w:p>
        </w:tc>
        <w:tc>
          <w:tcPr>
            <w:tcW w:w="0" w:type="dxa"/>
            <w:vAlign w:val="bottom"/>
          </w:tcPr>
          <w:p>
            <w:pPr>
              <w:spacing w:after="0"/>
              <w:rPr>
                <w:sz w:val="1"/>
                <w:szCs w:val="1"/>
                <w:color w:val="auto"/>
              </w:rPr>
            </w:pPr>
          </w:p>
        </w:tc>
      </w:tr>
      <w:tr>
        <w:trPr>
          <w:trHeight w:val="270"/>
        </w:trPr>
        <w:tc>
          <w:tcPr>
            <w:tcW w:w="78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Non-current assets held for sale</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250"/>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5,152.5</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4,525.3</w:t>
            </w:r>
          </w:p>
        </w:tc>
        <w:tc>
          <w:tcPr>
            <w:tcW w:w="0" w:type="dxa"/>
            <w:vAlign w:val="bottom"/>
          </w:tcPr>
          <w:p>
            <w:pPr>
              <w:spacing w:after="0"/>
              <w:rPr>
                <w:sz w:val="1"/>
                <w:szCs w:val="1"/>
                <w:color w:val="auto"/>
              </w:rPr>
            </w:pPr>
          </w:p>
        </w:tc>
      </w:tr>
      <w:tr>
        <w:trPr>
          <w:trHeight w:val="289"/>
        </w:trPr>
        <w:tc>
          <w:tcPr>
            <w:tcW w:w="7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Short-term debt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65"/>
        </w:trPr>
        <w:tc>
          <w:tcPr>
            <w:tcW w:w="7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1,558.6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1,349.6</w:t>
            </w:r>
          </w:p>
        </w:tc>
        <w:tc>
          <w:tcPr>
            <w:tcW w:w="0" w:type="dxa"/>
            <w:vAlign w:val="bottom"/>
          </w:tcPr>
          <w:p>
            <w:pPr>
              <w:spacing w:after="0"/>
              <w:rPr>
                <w:sz w:val="1"/>
                <w:szCs w:val="1"/>
                <w:color w:val="auto"/>
              </w:rPr>
            </w:pPr>
          </w:p>
        </w:tc>
      </w:tr>
      <w:tr>
        <w:trPr>
          <w:trHeight w:val="275"/>
        </w:trPr>
        <w:tc>
          <w:tcPr>
            <w:tcW w:w="7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deposits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265"/>
        </w:trPr>
        <w:tc>
          <w:tcPr>
            <w:tcW w:w="7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254.3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255.2</w:t>
            </w:r>
          </w:p>
        </w:tc>
        <w:tc>
          <w:tcPr>
            <w:tcW w:w="0" w:type="dxa"/>
            <w:vAlign w:val="bottom"/>
          </w:tcPr>
          <w:p>
            <w:pPr>
              <w:spacing w:after="0"/>
              <w:rPr>
                <w:sz w:val="1"/>
                <w:szCs w:val="1"/>
                <w:color w:val="auto"/>
              </w:rPr>
            </w:pPr>
          </w:p>
        </w:tc>
      </w:tr>
      <w:tr>
        <w:trPr>
          <w:trHeight w:val="270"/>
        </w:trPr>
        <w:tc>
          <w:tcPr>
            <w:tcW w:w="78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liabilities held for sale</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50"/>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6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1,754.2</w:t>
            </w:r>
          </w:p>
        </w:tc>
        <w:tc>
          <w:tcPr>
            <w:tcW w:w="0" w:type="dxa"/>
            <w:vAlign w:val="bottom"/>
          </w:tcPr>
          <w:p>
            <w:pPr>
              <w:spacing w:after="0"/>
              <w:rPr>
                <w:sz w:val="1"/>
                <w:szCs w:val="1"/>
                <w:color w:val="auto"/>
              </w:rPr>
            </w:pPr>
          </w:p>
        </w:tc>
      </w:tr>
      <w:tr>
        <w:trPr>
          <w:trHeight w:val="275"/>
        </w:trPr>
        <w:tc>
          <w:tcPr>
            <w:tcW w:w="7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1,110.1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746.7</w:t>
            </w:r>
          </w:p>
        </w:tc>
        <w:tc>
          <w:tcPr>
            <w:tcW w:w="0" w:type="dxa"/>
            <w:vAlign w:val="bottom"/>
          </w:tcPr>
          <w:p>
            <w:pPr>
              <w:spacing w:after="0"/>
              <w:rPr>
                <w:sz w:val="1"/>
                <w:szCs w:val="1"/>
                <w:color w:val="auto"/>
              </w:rPr>
            </w:pPr>
          </w:p>
        </w:tc>
      </w:tr>
      <w:tr>
        <w:trPr>
          <w:trHeight w:val="265"/>
        </w:trPr>
        <w:tc>
          <w:tcPr>
            <w:tcW w:w="7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Non-current income tax liabilities, net</w:t>
            </w:r>
          </w:p>
        </w:tc>
        <w:tc>
          <w:tcPr>
            <w:tcW w:w="3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275"/>
        </w:trPr>
        <w:tc>
          <w:tcPr>
            <w:tcW w:w="7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265"/>
        </w:trPr>
        <w:tc>
          <w:tcPr>
            <w:tcW w:w="7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Non-current liabilities held for sale</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55"/>
        </w:trPr>
        <w:tc>
          <w:tcPr>
            <w:tcW w:w="7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3,175.7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2,619.4</w:t>
            </w:r>
          </w:p>
        </w:tc>
        <w:tc>
          <w:tcPr>
            <w:tcW w:w="0" w:type="dxa"/>
            <w:vAlign w:val="bottom"/>
          </w:tcPr>
          <w:p>
            <w:pPr>
              <w:spacing w:after="0"/>
              <w:rPr>
                <w:sz w:val="1"/>
                <w:szCs w:val="1"/>
                <w:color w:val="auto"/>
              </w:rPr>
            </w:pPr>
          </w:p>
        </w:tc>
      </w:tr>
      <w:tr>
        <w:trPr>
          <w:trHeight w:val="279"/>
        </w:trPr>
        <w:tc>
          <w:tcPr>
            <w:tcW w:w="7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World Fuel shareholders' equity:</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$1.00 par value; 0.1 shares authorized, none issued</w:t>
            </w:r>
          </w:p>
        </w:tc>
        <w:tc>
          <w:tcPr>
            <w:tcW w:w="3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7960" w:type="dxa"/>
            <w:vAlign w:val="bottom"/>
            <w:gridSpan w:val="2"/>
          </w:tcPr>
          <w:p>
            <w:pPr>
              <w:ind w:left="180"/>
              <w:spacing w:after="0" w:line="153" w:lineRule="exact"/>
              <w:rPr>
                <w:sz w:val="20"/>
                <w:szCs w:val="20"/>
                <w:color w:val="auto"/>
              </w:rPr>
            </w:pPr>
            <w:r>
              <w:rPr>
                <w:rFonts w:ascii="Times New Roman" w:cs="Times New Roman" w:eastAsia="Times New Roman" w:hAnsi="Times New Roman"/>
                <w:sz w:val="14"/>
                <w:szCs w:val="14"/>
                <w:color w:val="auto"/>
              </w:rPr>
              <w:t>Common stock, $0.01 par value; 100 shares authorized, 70.4 and 70.8 issued and outstanding as of September 30, 2016 and</w:t>
            </w:r>
          </w:p>
        </w:tc>
        <w:tc>
          <w:tcPr>
            <w:tcW w:w="360" w:type="dxa"/>
            <w:vAlign w:val="bottom"/>
          </w:tcPr>
          <w:p>
            <w:pPr>
              <w:spacing w:after="0"/>
              <w:rPr>
                <w:sz w:val="13"/>
                <w:szCs w:val="13"/>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3"/>
        </w:trPr>
        <w:tc>
          <w:tcPr>
            <w:tcW w:w="7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December 31, 2015, respectively</w:t>
            </w: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7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in excess of par value</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418.0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435.3</w:t>
            </w:r>
          </w:p>
        </w:tc>
        <w:tc>
          <w:tcPr>
            <w:tcW w:w="0" w:type="dxa"/>
            <w:vAlign w:val="bottom"/>
          </w:tcPr>
          <w:p>
            <w:pPr>
              <w:spacing w:after="0"/>
              <w:rPr>
                <w:sz w:val="1"/>
                <w:szCs w:val="1"/>
                <w:color w:val="auto"/>
              </w:rPr>
            </w:pPr>
          </w:p>
        </w:tc>
      </w:tr>
      <w:tr>
        <w:trPr>
          <w:trHeight w:val="265"/>
        </w:trPr>
        <w:tc>
          <w:tcPr>
            <w:tcW w:w="7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3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1,681.2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1,569.4</w:t>
            </w:r>
          </w:p>
        </w:tc>
        <w:tc>
          <w:tcPr>
            <w:tcW w:w="0" w:type="dxa"/>
            <w:vAlign w:val="bottom"/>
          </w:tcPr>
          <w:p>
            <w:pPr>
              <w:spacing w:after="0"/>
              <w:rPr>
                <w:sz w:val="1"/>
                <w:szCs w:val="1"/>
                <w:color w:val="auto"/>
              </w:rPr>
            </w:pPr>
          </w:p>
        </w:tc>
      </w:tr>
      <w:tr>
        <w:trPr>
          <w:trHeight w:val="270"/>
        </w:trPr>
        <w:tc>
          <w:tcPr>
            <w:tcW w:w="78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0" w:type="dxa"/>
            <w:vAlign w:val="bottom"/>
          </w:tcPr>
          <w:p>
            <w:pPr>
              <w:spacing w:after="0"/>
              <w:rPr>
                <w:sz w:val="1"/>
                <w:szCs w:val="1"/>
                <w:color w:val="auto"/>
              </w:rPr>
            </w:pPr>
          </w:p>
        </w:tc>
      </w:tr>
      <w:tr>
        <w:trPr>
          <w:trHeight w:val="250"/>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World Fuel shareholders' equity</w:t>
            </w:r>
          </w:p>
        </w:tc>
        <w:tc>
          <w:tcPr>
            <w:tcW w:w="36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1,895.9</w:t>
            </w:r>
          </w:p>
        </w:tc>
        <w:tc>
          <w:tcPr>
            <w:tcW w:w="0" w:type="dxa"/>
            <w:vAlign w:val="bottom"/>
          </w:tcPr>
          <w:p>
            <w:pPr>
              <w:spacing w:after="0"/>
              <w:rPr>
                <w:sz w:val="1"/>
                <w:szCs w:val="1"/>
                <w:color w:val="auto"/>
              </w:rPr>
            </w:pPr>
          </w:p>
        </w:tc>
      </w:tr>
      <w:tr>
        <w:trPr>
          <w:trHeight w:val="270"/>
        </w:trPr>
        <w:tc>
          <w:tcPr>
            <w:tcW w:w="78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Noncontrolling interest equity</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50"/>
        </w:trPr>
        <w:tc>
          <w:tcPr>
            <w:tcW w:w="7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Total equity</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1,976.8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1,905.9</w:t>
            </w:r>
          </w:p>
        </w:tc>
        <w:tc>
          <w:tcPr>
            <w:tcW w:w="0" w:type="dxa"/>
            <w:vAlign w:val="bottom"/>
          </w:tcPr>
          <w:p>
            <w:pPr>
              <w:spacing w:after="0"/>
              <w:rPr>
                <w:sz w:val="1"/>
                <w:szCs w:val="1"/>
                <w:color w:val="auto"/>
              </w:rPr>
            </w:pPr>
          </w:p>
        </w:tc>
      </w:tr>
      <w:tr>
        <w:trPr>
          <w:trHeight w:val="237"/>
        </w:trPr>
        <w:tc>
          <w:tcPr>
            <w:tcW w:w="7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5,152.5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4,525.3</w:t>
            </w:r>
          </w:p>
        </w:tc>
        <w:tc>
          <w:tcPr>
            <w:tcW w:w="0" w:type="dxa"/>
            <w:vAlign w:val="bottom"/>
          </w:tcPr>
          <w:p>
            <w:pPr>
              <w:spacing w:after="0"/>
              <w:rPr>
                <w:sz w:val="1"/>
                <w:szCs w:val="1"/>
                <w:color w:val="auto"/>
              </w:rPr>
            </w:pPr>
          </w:p>
        </w:tc>
      </w:tr>
      <w:tr>
        <w:trPr>
          <w:trHeight w:val="20"/>
        </w:trPr>
        <w:tc>
          <w:tcPr>
            <w:tcW w:w="7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1">
            <w:col w:w="11360"/>
          </w:cols>
          <w:pgMar w:left="240" w:top="792" w:right="299" w:bottom="1440" w:gutter="0" w:footer="0" w:header="0"/>
        </w:sectPr>
      </w:pPr>
    </w:p>
    <w:p>
      <w:pPr>
        <w:ind w:left="660" w:right="160" w:hanging="328"/>
        <w:spacing w:after="0" w:line="282" w:lineRule="auto"/>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prior period amounts have been revised to reflect the impact of adjustments made to the Company's provision for income taxes and to correct the timing of previously recorded out-of-period adjustments.</w:t>
      </w:r>
    </w:p>
    <w:p>
      <w:pPr>
        <w:sectPr>
          <w:pgSz w:w="11900" w:h="16838" w:orient="portrait"/>
          <w:cols w:equalWidth="0" w:num="1">
            <w:col w:w="11360"/>
          </w:cols>
          <w:pgMar w:left="240" w:top="792" w:right="299" w:bottom="1440" w:gutter="0" w:footer="0" w:header="0"/>
          <w:type w:val="continuous"/>
        </w:sectPr>
      </w:pPr>
    </w:p>
    <w:bookmarkStart w:id="6" w:name="page7"/>
    <w:bookmarkEnd w:id="6"/>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(Unaudited –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6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60" w:type="dxa"/>
            <w:vAlign w:val="bottom"/>
          </w:tcPr>
          <w:p>
            <w:pPr>
              <w:spacing w:after="0"/>
              <w:rPr>
                <w:sz w:val="16"/>
                <w:szCs w:val="16"/>
                <w:color w:val="auto"/>
              </w:rPr>
            </w:pPr>
          </w:p>
        </w:tc>
        <w:tc>
          <w:tcPr>
            <w:tcW w:w="240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75"/>
        </w:trPr>
        <w:tc>
          <w:tcPr>
            <w:tcW w:w="5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55"/>
        </w:trPr>
        <w:tc>
          <w:tcPr>
            <w:tcW w:w="5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7,399.8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7,810.7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19,223.6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23,647.8</w:t>
            </w:r>
          </w:p>
        </w:tc>
        <w:tc>
          <w:tcPr>
            <w:tcW w:w="0" w:type="dxa"/>
            <w:vAlign w:val="bottom"/>
          </w:tcPr>
          <w:p>
            <w:pPr>
              <w:spacing w:after="0"/>
              <w:rPr>
                <w:sz w:val="1"/>
                <w:szCs w:val="1"/>
                <w:color w:val="auto"/>
              </w:rPr>
            </w:pPr>
          </w:p>
        </w:tc>
      </w:tr>
      <w:tr>
        <w:trPr>
          <w:trHeight w:val="265"/>
        </w:trPr>
        <w:tc>
          <w:tcPr>
            <w:tcW w:w="5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7,163.1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7,584.0</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18,546.9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23,017.1</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226.7</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676.7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630.7</w:t>
            </w:r>
          </w:p>
        </w:tc>
        <w:tc>
          <w:tcPr>
            <w:tcW w:w="0" w:type="dxa"/>
            <w:vAlign w:val="bottom"/>
          </w:tcPr>
          <w:p>
            <w:pPr>
              <w:spacing w:after="0"/>
              <w:rPr>
                <w:sz w:val="1"/>
                <w:szCs w:val="1"/>
                <w:color w:val="auto"/>
              </w:rPr>
            </w:pPr>
          </w:p>
        </w:tc>
      </w:tr>
      <w:tr>
        <w:trPr>
          <w:trHeight w:val="277"/>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270.3</w:t>
            </w:r>
          </w:p>
        </w:tc>
        <w:tc>
          <w:tcPr>
            <w:tcW w:w="0" w:type="dxa"/>
            <w:vAlign w:val="bottom"/>
          </w:tcPr>
          <w:p>
            <w:pPr>
              <w:spacing w:after="0"/>
              <w:rPr>
                <w:sz w:val="1"/>
                <w:szCs w:val="1"/>
                <w:color w:val="auto"/>
              </w:rPr>
            </w:pPr>
          </w:p>
        </w:tc>
      </w:tr>
      <w:tr>
        <w:trPr>
          <w:trHeight w:val="265"/>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Provision for bad debt</w:t>
            </w:r>
          </w:p>
        </w:tc>
        <w:tc>
          <w:tcPr>
            <w:tcW w:w="4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70"/>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179.6</w:t>
            </w:r>
          </w:p>
        </w:tc>
        <w:tc>
          <w:tcPr>
            <w:tcW w:w="0" w:type="dxa"/>
            <w:vAlign w:val="bottom"/>
          </w:tcPr>
          <w:p>
            <w:pPr>
              <w:spacing w:after="0"/>
              <w:rPr>
                <w:sz w:val="1"/>
                <w:szCs w:val="1"/>
                <w:color w:val="auto"/>
              </w:rPr>
            </w:pPr>
          </w:p>
        </w:tc>
      </w:tr>
      <w:tr>
        <w:trPr>
          <w:trHeight w:val="250"/>
        </w:trPr>
        <w:tc>
          <w:tcPr>
            <w:tcW w:w="51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178.4</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511.9</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455.1</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from operations</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164.8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175.6</w:t>
            </w:r>
          </w:p>
        </w:tc>
        <w:tc>
          <w:tcPr>
            <w:tcW w:w="0" w:type="dxa"/>
            <w:vAlign w:val="bottom"/>
          </w:tcPr>
          <w:p>
            <w:pPr>
              <w:spacing w:after="0"/>
              <w:rPr>
                <w:sz w:val="1"/>
                <w:szCs w:val="1"/>
                <w:color w:val="auto"/>
              </w:rPr>
            </w:pPr>
          </w:p>
        </w:tc>
      </w:tr>
      <w:tr>
        <w:trPr>
          <w:trHeight w:val="277"/>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Non-operating expenses, net: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 and other financing costs, net</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65"/>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income, net</w:t>
            </w:r>
          </w:p>
        </w:tc>
        <w:tc>
          <w:tcPr>
            <w:tcW w:w="4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50"/>
        </w:trPr>
        <w:tc>
          <w:tcPr>
            <w:tcW w:w="51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50"/>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4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154.6</w:t>
            </w:r>
          </w:p>
        </w:tc>
        <w:tc>
          <w:tcPr>
            <w:tcW w:w="0" w:type="dxa"/>
            <w:vAlign w:val="bottom"/>
          </w:tcPr>
          <w:p>
            <w:pPr>
              <w:spacing w:after="0"/>
              <w:rPr>
                <w:sz w:val="1"/>
                <w:szCs w:val="1"/>
                <w:color w:val="auto"/>
              </w:rPr>
            </w:pPr>
          </w:p>
        </w:tc>
      </w:tr>
      <w:tr>
        <w:trPr>
          <w:trHeight w:val="270"/>
        </w:trPr>
        <w:tc>
          <w:tcPr>
            <w:tcW w:w="5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250"/>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income including noncontrolling interest</w:t>
            </w:r>
          </w:p>
        </w:tc>
        <w:tc>
          <w:tcPr>
            <w:tcW w:w="4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121.0</w:t>
            </w:r>
          </w:p>
        </w:tc>
        <w:tc>
          <w:tcPr>
            <w:tcW w:w="0" w:type="dxa"/>
            <w:vAlign w:val="bottom"/>
          </w:tcPr>
          <w:p>
            <w:pPr>
              <w:spacing w:after="0"/>
              <w:rPr>
                <w:sz w:val="1"/>
                <w:szCs w:val="1"/>
                <w:color w:val="auto"/>
              </w:rPr>
            </w:pPr>
          </w:p>
        </w:tc>
      </w:tr>
      <w:tr>
        <w:trPr>
          <w:trHeight w:val="270"/>
        </w:trPr>
        <w:tc>
          <w:tcPr>
            <w:tcW w:w="5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77"/>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income attributable to World Fuel</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124.5</w:t>
            </w:r>
          </w:p>
        </w:tc>
        <w:tc>
          <w:tcPr>
            <w:tcW w:w="0" w:type="dxa"/>
            <w:vAlign w:val="bottom"/>
          </w:tcPr>
          <w:p>
            <w:pPr>
              <w:spacing w:after="0"/>
              <w:rPr>
                <w:sz w:val="1"/>
                <w:szCs w:val="1"/>
                <w:color w:val="auto"/>
              </w:rPr>
            </w:pPr>
          </w:p>
        </w:tc>
      </w:tr>
      <w:tr>
        <w:trPr>
          <w:trHeight w:val="256"/>
        </w:trPr>
        <w:tc>
          <w:tcPr>
            <w:tcW w:w="5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0.62</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0.62</w:t>
            </w:r>
          </w:p>
        </w:tc>
        <w:tc>
          <w:tcPr>
            <w:tcW w:w="10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56"/>
        </w:trPr>
        <w:tc>
          <w:tcPr>
            <w:tcW w:w="5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Basic weighted average common shares</w:t>
            </w:r>
          </w:p>
        </w:tc>
        <w:tc>
          <w:tcPr>
            <w:tcW w:w="4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256"/>
        </w:trPr>
        <w:tc>
          <w:tcPr>
            <w:tcW w:w="5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0.61</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0.62</w:t>
            </w:r>
          </w:p>
        </w:tc>
        <w:tc>
          <w:tcPr>
            <w:tcW w:w="10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56"/>
        </w:trPr>
        <w:tc>
          <w:tcPr>
            <w:tcW w:w="5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Diluted weighted average common shares</w:t>
            </w:r>
          </w:p>
        </w:tc>
        <w:tc>
          <w:tcPr>
            <w:tcW w:w="4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310"/>
        </w:trPr>
        <w:tc>
          <w:tcPr>
            <w:tcW w:w="51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Comprehensive income:</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including noncontrolling interest</w:t>
            </w: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121.0</w:t>
            </w:r>
          </w:p>
        </w:tc>
        <w:tc>
          <w:tcPr>
            <w:tcW w:w="0" w:type="dxa"/>
            <w:vAlign w:val="bottom"/>
          </w:tcPr>
          <w:p>
            <w:pPr>
              <w:spacing w:after="0"/>
              <w:rPr>
                <w:sz w:val="1"/>
                <w:szCs w:val="1"/>
                <w:color w:val="auto"/>
              </w:rPr>
            </w:pPr>
          </w:p>
        </w:tc>
      </w:tr>
      <w:tr>
        <w:trPr>
          <w:trHeight w:val="279"/>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53"/>
        </w:trPr>
        <w:tc>
          <w:tcPr>
            <w:tcW w:w="5260" w:type="dxa"/>
            <w:vAlign w:val="bottom"/>
            <w:gridSpan w:val="2"/>
          </w:tcPr>
          <w:p>
            <w:pPr>
              <w:ind w:left="180"/>
              <w:spacing w:after="0" w:line="153" w:lineRule="exact"/>
              <w:rPr>
                <w:sz w:val="20"/>
                <w:szCs w:val="20"/>
                <w:color w:val="auto"/>
              </w:rPr>
            </w:pPr>
            <w:r>
              <w:rPr>
                <w:rFonts w:ascii="Times New Roman" w:cs="Times New Roman" w:eastAsia="Times New Roman" w:hAnsi="Times New Roman"/>
                <w:sz w:val="14"/>
                <w:szCs w:val="14"/>
                <w:color w:val="auto"/>
              </w:rPr>
              <w:t>Derivative instruments, net of income tax benefit of $4.8 and $1.7 for the three and</w:t>
            </w:r>
          </w:p>
        </w:tc>
        <w:tc>
          <w:tcPr>
            <w:tcW w:w="4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3"/>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nine months ended September 30, 2016, respectively</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250"/>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Comprehensive income including noncontrolling interest</w:t>
            </w:r>
          </w:p>
        </w:tc>
        <w:tc>
          <w:tcPr>
            <w:tcW w:w="4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81.9</w:t>
            </w:r>
          </w:p>
        </w:tc>
        <w:tc>
          <w:tcPr>
            <w:tcW w:w="0" w:type="dxa"/>
            <w:vAlign w:val="bottom"/>
          </w:tcPr>
          <w:p>
            <w:pPr>
              <w:spacing w:after="0"/>
              <w:rPr>
                <w:sz w:val="1"/>
                <w:szCs w:val="1"/>
                <w:color w:val="auto"/>
              </w:rPr>
            </w:pPr>
          </w:p>
        </w:tc>
      </w:tr>
      <w:tr>
        <w:trPr>
          <w:trHeight w:val="270"/>
        </w:trPr>
        <w:tc>
          <w:tcPr>
            <w:tcW w:w="5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income (loss) attributable to noncontrolling interest</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Comprehensive income attributable to World Fuel</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20"/>
                <w:szCs w:val="20"/>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20"/>
        </w:trPr>
        <w:tc>
          <w:tcPr>
            <w:tcW w:w="5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prior period amounts have been revised to reflect the impact of adjustments made to the Company's provision for income taxes and to correct the timing of previously recorded out-of-period adjustments.</w:t>
      </w:r>
    </w:p>
    <w:p>
      <w:pPr>
        <w:sectPr>
          <w:pgSz w:w="11900" w:h="16838" w:orient="portrait"/>
          <w:cols w:equalWidth="0" w:num="1">
            <w:col w:w="11200"/>
          </w:cols>
          <w:pgMar w:left="240" w:top="1009"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00" w:type="dxa"/>
            <w:vAlign w:val="bottom"/>
          </w:tcPr>
          <w:p>
            <w:pPr>
              <w:spacing w:after="0"/>
              <w:rPr>
                <w:sz w:val="16"/>
                <w:szCs w:val="16"/>
                <w:color w:val="auto"/>
              </w:rPr>
            </w:pPr>
          </w:p>
        </w:tc>
        <w:tc>
          <w:tcPr>
            <w:tcW w:w="2040" w:type="dxa"/>
            <w:vAlign w:val="bottom"/>
            <w:gridSpan w:val="4"/>
          </w:tcPr>
          <w:p>
            <w:pPr>
              <w:jc w:val="right"/>
              <w:ind w:right="27"/>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75"/>
        </w:trPr>
        <w:tc>
          <w:tcPr>
            <w:tcW w:w="6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82"/>
        </w:trPr>
        <w:tc>
          <w:tcPr>
            <w:tcW w:w="6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Net income including noncontrolling interest</w:t>
            </w:r>
          </w:p>
        </w:tc>
        <w:tc>
          <w:tcPr>
            <w:tcW w:w="1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4"/>
                <w:szCs w:val="14"/>
                <w:color w:val="auto"/>
              </w:rPr>
              <w:t>121.0</w:t>
            </w:r>
          </w:p>
        </w:tc>
        <w:tc>
          <w:tcPr>
            <w:tcW w:w="0" w:type="dxa"/>
            <w:vAlign w:val="bottom"/>
          </w:tcPr>
          <w:p>
            <w:pPr>
              <w:spacing w:after="0"/>
              <w:rPr>
                <w:sz w:val="1"/>
                <w:szCs w:val="1"/>
                <w:color w:val="auto"/>
              </w:rPr>
            </w:pPr>
          </w:p>
        </w:tc>
      </w:tr>
      <w:tr>
        <w:trPr>
          <w:trHeight w:val="151"/>
        </w:trPr>
        <w:tc>
          <w:tcPr>
            <w:tcW w:w="6540" w:type="dxa"/>
            <w:vAlign w:val="bottom"/>
            <w:gridSpan w:val="2"/>
            <w:shd w:val="clear" w:color="auto" w:fill="CCEEFF"/>
          </w:tcPr>
          <w:p>
            <w:pPr>
              <w:ind w:left="180"/>
              <w:spacing w:after="0" w:line="151" w:lineRule="exact"/>
              <w:rPr>
                <w:sz w:val="20"/>
                <w:szCs w:val="20"/>
                <w:color w:val="auto"/>
              </w:rPr>
            </w:pPr>
            <w:r>
              <w:rPr>
                <w:rFonts w:ascii="Times New Roman" w:cs="Times New Roman" w:eastAsia="Times New Roman" w:hAnsi="Times New Roman"/>
                <w:sz w:val="14"/>
                <w:szCs w:val="14"/>
                <w:color w:val="auto"/>
              </w:rPr>
              <w:t>Adjustments to reconcile net income including noncontrolling interest to net cash provided by operating</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activities: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275"/>
        </w:trPr>
        <w:tc>
          <w:tcPr>
            <w:tcW w:w="6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bad debt</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79"/>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Gain on sale of held for sale assets and liabilities</w:t>
            </w:r>
          </w:p>
        </w:tc>
        <w:tc>
          <w:tcPr>
            <w:tcW w:w="30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5"/>
        </w:trPr>
        <w:tc>
          <w:tcPr>
            <w:tcW w:w="6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Share-based payment award compensation costs</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65"/>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Deferred income tax provision (benefit)</w:t>
            </w:r>
          </w:p>
        </w:tc>
        <w:tc>
          <w:tcPr>
            <w:tcW w:w="3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75"/>
        </w:trPr>
        <w:tc>
          <w:tcPr>
            <w:tcW w:w="6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Extinguishment of liabilities, net</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65"/>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Foreign currency losses, net</w:t>
            </w:r>
          </w:p>
        </w:tc>
        <w:tc>
          <w:tcPr>
            <w:tcW w:w="3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75"/>
        </w:trPr>
        <w:tc>
          <w:tcPr>
            <w:tcW w:w="6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79"/>
        </w:trPr>
        <w:tc>
          <w:tcPr>
            <w:tcW w:w="65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Changes in assets and liabilities, net of acquisitions: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receivable, net</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312.0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261.9</w:t>
            </w:r>
          </w:p>
        </w:tc>
        <w:tc>
          <w:tcPr>
            <w:tcW w:w="0" w:type="dxa"/>
            <w:vAlign w:val="bottom"/>
          </w:tcPr>
          <w:p>
            <w:pPr>
              <w:spacing w:after="0"/>
              <w:rPr>
                <w:sz w:val="1"/>
                <w:szCs w:val="1"/>
                <w:color w:val="auto"/>
              </w:rPr>
            </w:pPr>
          </w:p>
        </w:tc>
      </w:tr>
      <w:tr>
        <w:trPr>
          <w:trHeight w:val="265"/>
        </w:trPr>
        <w:tc>
          <w:tcPr>
            <w:tcW w:w="65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Inventories</w:t>
            </w:r>
          </w:p>
        </w:tc>
        <w:tc>
          <w:tcPr>
            <w:tcW w:w="3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75"/>
        </w:trPr>
        <w:tc>
          <w:tcPr>
            <w:tcW w:w="6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expenses</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65"/>
        </w:trPr>
        <w:tc>
          <w:tcPr>
            <w:tcW w:w="65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Short-term derivative assets, net</w:t>
            </w:r>
          </w:p>
        </w:tc>
        <w:tc>
          <w:tcPr>
            <w:tcW w:w="3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275"/>
        </w:trPr>
        <w:tc>
          <w:tcPr>
            <w:tcW w:w="6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current assets</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265"/>
        </w:trPr>
        <w:tc>
          <w:tcPr>
            <w:tcW w:w="65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Cash collateral with financial counterparties</w:t>
            </w:r>
          </w:p>
        </w:tc>
        <w:tc>
          <w:tcPr>
            <w:tcW w:w="3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275"/>
        </w:trPr>
        <w:tc>
          <w:tcPr>
            <w:tcW w:w="6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non-current assets</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65"/>
        </w:trPr>
        <w:tc>
          <w:tcPr>
            <w:tcW w:w="65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275"/>
        </w:trPr>
        <w:tc>
          <w:tcPr>
            <w:tcW w:w="6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Customer deposits</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65"/>
        </w:trPr>
        <w:tc>
          <w:tcPr>
            <w:tcW w:w="65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Non-current income tax, net and other long-term liabilities</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Total adjustments</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104.8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147.4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220.3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325.2</w:t>
            </w:r>
          </w:p>
        </w:tc>
        <w:tc>
          <w:tcPr>
            <w:tcW w:w="0" w:type="dxa"/>
            <w:vAlign w:val="bottom"/>
          </w:tcPr>
          <w:p>
            <w:pPr>
              <w:spacing w:after="0"/>
              <w:rPr>
                <w:sz w:val="1"/>
                <w:szCs w:val="1"/>
                <w:color w:val="auto"/>
              </w:rPr>
            </w:pPr>
          </w:p>
        </w:tc>
      </w:tr>
      <w:tr>
        <w:trPr>
          <w:trHeight w:val="27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businesses, net of cash acquired and other investments</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265"/>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sale of business</w:t>
            </w:r>
          </w:p>
        </w:tc>
        <w:tc>
          <w:tcPr>
            <w:tcW w:w="3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265"/>
        </w:trPr>
        <w:tc>
          <w:tcPr>
            <w:tcW w:w="6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1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27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Borrowings of debt</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1,568.0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4,169.0</w:t>
            </w:r>
          </w:p>
        </w:tc>
        <w:tc>
          <w:tcPr>
            <w:tcW w:w="0" w:type="dxa"/>
            <w:vAlign w:val="bottom"/>
          </w:tcPr>
          <w:p>
            <w:pPr>
              <w:spacing w:after="0"/>
              <w:rPr>
                <w:sz w:val="1"/>
                <w:szCs w:val="1"/>
                <w:color w:val="auto"/>
              </w:rPr>
            </w:pPr>
          </w:p>
        </w:tc>
      </w:tr>
      <w:tr>
        <w:trPr>
          <w:trHeight w:val="265"/>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Repayments of debt</w:t>
            </w:r>
          </w:p>
        </w:tc>
        <w:tc>
          <w:tcPr>
            <w:tcW w:w="3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(3,977.6)</w:t>
            </w:r>
          </w:p>
        </w:tc>
        <w:tc>
          <w:tcPr>
            <w:tcW w:w="0" w:type="dxa"/>
            <w:vAlign w:val="bottom"/>
          </w:tcPr>
          <w:p>
            <w:pPr>
              <w:spacing w:after="0"/>
              <w:rPr>
                <w:sz w:val="1"/>
                <w:szCs w:val="1"/>
                <w:color w:val="auto"/>
              </w:rPr>
            </w:pP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senior revolving credit facility and senior term loan facility loan costs</w:t>
            </w:r>
          </w:p>
        </w:tc>
        <w:tc>
          <w:tcPr>
            <w:tcW w:w="3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65"/>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Dividends paid on common stock</w:t>
            </w:r>
          </w:p>
        </w:tc>
        <w:tc>
          <w:tcPr>
            <w:tcW w:w="3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3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153"/>
        </w:trPr>
        <w:tc>
          <w:tcPr>
            <w:tcW w:w="6540" w:type="dxa"/>
            <w:vAlign w:val="bottom"/>
            <w:gridSpan w:val="2"/>
          </w:tcPr>
          <w:p>
            <w:pPr>
              <w:ind w:left="180"/>
              <w:spacing w:after="0" w:line="153" w:lineRule="exact"/>
              <w:rPr>
                <w:sz w:val="20"/>
                <w:szCs w:val="20"/>
                <w:color w:val="auto"/>
              </w:rPr>
            </w:pPr>
            <w:r>
              <w:rPr>
                <w:rFonts w:ascii="Times New Roman" w:cs="Times New Roman" w:eastAsia="Times New Roman" w:hAnsi="Times New Roman"/>
                <w:sz w:val="14"/>
                <w:szCs w:val="14"/>
                <w:color w:val="auto"/>
              </w:rPr>
              <w:t>Federal and state tax benefits resulting from tax deductions in excess of the compensation cost recognized</w:t>
            </w:r>
          </w:p>
        </w:tc>
        <w:tc>
          <w:tcPr>
            <w:tcW w:w="300" w:type="dxa"/>
            <w:vAlign w:val="bottom"/>
          </w:tcPr>
          <w:p>
            <w:pPr>
              <w:spacing w:after="0"/>
              <w:rPr>
                <w:sz w:val="13"/>
                <w:szCs w:val="13"/>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for share-based payment awards</w:t>
            </w: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540" w:type="dxa"/>
            <w:vAlign w:val="bottom"/>
            <w:gridSpan w:val="2"/>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Purchases of common stock tendered by employees to satisfy the required withholding taxes related to</w:t>
            </w:r>
          </w:p>
        </w:tc>
        <w:tc>
          <w:tcPr>
            <w:tcW w:w="3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8"/>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payment awards</w:t>
            </w:r>
          </w:p>
        </w:tc>
        <w:tc>
          <w:tcPr>
            <w:tcW w:w="3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6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1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336.3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325.7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99.9</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55"/>
        </w:trPr>
        <w:tc>
          <w:tcPr>
            <w:tcW w:w="6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307.3</w:t>
            </w:r>
          </w:p>
        </w:tc>
        <w:tc>
          <w:tcPr>
            <w:tcW w:w="0" w:type="dxa"/>
            <w:vAlign w:val="bottom"/>
          </w:tcPr>
          <w:p>
            <w:pPr>
              <w:spacing w:after="0"/>
              <w:rPr>
                <w:sz w:val="1"/>
                <w:szCs w:val="1"/>
                <w:color w:val="auto"/>
              </w:rPr>
            </w:pPr>
          </w:p>
        </w:tc>
      </w:tr>
      <w:tr>
        <w:trPr>
          <w:trHeight w:val="265"/>
        </w:trPr>
        <w:tc>
          <w:tcPr>
            <w:tcW w:w="6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as of beginning of period</w:t>
            </w:r>
          </w:p>
        </w:tc>
        <w:tc>
          <w:tcPr>
            <w:tcW w:w="1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737.2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489.7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582.5</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4"/>
                <w:szCs w:val="14"/>
                <w:color w:val="auto"/>
              </w:rPr>
              <w:t>302.3</w:t>
            </w:r>
          </w:p>
        </w:tc>
        <w:tc>
          <w:tcPr>
            <w:tcW w:w="0" w:type="dxa"/>
            <w:vAlign w:val="bottom"/>
          </w:tcPr>
          <w:p>
            <w:pPr>
              <w:spacing w:after="0"/>
              <w:rPr>
                <w:sz w:val="1"/>
                <w:szCs w:val="1"/>
                <w:color w:val="auto"/>
              </w:rPr>
            </w:pPr>
          </w:p>
        </w:tc>
      </w:tr>
      <w:tr>
        <w:trPr>
          <w:trHeight w:val="237"/>
        </w:trPr>
        <w:tc>
          <w:tcPr>
            <w:tcW w:w="6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as of end of period</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609.6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609.6</w:t>
            </w:r>
          </w:p>
        </w:tc>
        <w:tc>
          <w:tcPr>
            <w:tcW w:w="0" w:type="dxa"/>
            <w:vAlign w:val="bottom"/>
          </w:tcPr>
          <w:p>
            <w:pPr>
              <w:spacing w:after="0"/>
              <w:rPr>
                <w:sz w:val="1"/>
                <w:szCs w:val="1"/>
                <w:color w:val="auto"/>
              </w:rPr>
            </w:pPr>
          </w:p>
        </w:tc>
      </w:tr>
      <w:tr>
        <w:trPr>
          <w:trHeight w:val="20"/>
        </w:trPr>
        <w:tc>
          <w:tcPr>
            <w:tcW w:w="6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14" w:right="23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WORLD FUEL SERVICES CORPORATION AND SUBSIDIARIES RECONCILIATION OF GAAP TO NON-GAAP FINANCIAL MEASURES </w:t>
      </w:r>
      <w:r>
        <w:rPr>
          <w:rFonts w:ascii="Times New Roman" w:cs="Times New Roman" w:eastAsia="Times New Roman" w:hAnsi="Times New Roman"/>
          <w:sz w:val="18"/>
          <w:szCs w:val="18"/>
          <w:color w:val="auto"/>
        </w:rPr>
        <w:t>(Unaudited - In millions, except per share data)</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40" w:type="dxa"/>
            <w:vAlign w:val="bottom"/>
          </w:tcPr>
          <w:p>
            <w:pPr>
              <w:spacing w:after="0"/>
              <w:rPr>
                <w:sz w:val="16"/>
                <w:szCs w:val="16"/>
                <w:color w:val="auto"/>
              </w:rPr>
            </w:pPr>
          </w:p>
        </w:tc>
        <w:tc>
          <w:tcPr>
            <w:tcW w:w="216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314"/>
        </w:trPr>
        <w:tc>
          <w:tcPr>
            <w:tcW w:w="6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5"/>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Non-GAAP financial measures and reconciliation:</w:t>
            </w:r>
          </w:p>
        </w:tc>
        <w:tc>
          <w:tcPr>
            <w:tcW w:w="36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5"/>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GAAP net income attributable to World Fuel</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124.5</w:t>
            </w:r>
          </w:p>
        </w:tc>
      </w:tr>
      <w:tr>
        <w:trPr>
          <w:trHeight w:val="265"/>
        </w:trPr>
        <w:tc>
          <w:tcPr>
            <w:tcW w:w="6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Expenses related to the acquisitions and other related charges, net of income taxes (1)</w:t>
            </w:r>
          </w:p>
        </w:tc>
        <w:tc>
          <w:tcPr>
            <w:tcW w:w="3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r>
      <w:tr>
        <w:trPr>
          <w:trHeight w:val="275"/>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revenue purchase accounting adjustment, net of income taxes (2)</w:t>
            </w:r>
          </w:p>
        </w:tc>
        <w:tc>
          <w:tcPr>
            <w:tcW w:w="3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r>
      <w:tr>
        <w:trPr>
          <w:trHeight w:val="265"/>
        </w:trPr>
        <w:tc>
          <w:tcPr>
            <w:tcW w:w="6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Termination of employment agreement, net of income taxes (3)</w:t>
            </w:r>
          </w:p>
        </w:tc>
        <w:tc>
          <w:tcPr>
            <w:tcW w:w="36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r>
      <w:tr>
        <w:trPr>
          <w:trHeight w:val="255"/>
        </w:trPr>
        <w:tc>
          <w:tcPr>
            <w:tcW w:w="6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Adjusted net income attributable to World Fuel</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130.0</w:t>
            </w:r>
          </w:p>
        </w:tc>
      </w:tr>
      <w:tr>
        <w:trPr>
          <w:trHeight w:val="265"/>
        </w:trPr>
        <w:tc>
          <w:tcPr>
            <w:tcW w:w="6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Share-based compensation expense, net of income taxes (4)</w:t>
            </w:r>
          </w:p>
        </w:tc>
        <w:tc>
          <w:tcPr>
            <w:tcW w:w="3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w:t>
            </w:r>
          </w:p>
        </w:tc>
      </w:tr>
      <w:tr>
        <w:trPr>
          <w:trHeight w:val="270"/>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asset amortization expense, net of income taxes (5)</w:t>
            </w:r>
          </w:p>
        </w:tc>
        <w:tc>
          <w:tcPr>
            <w:tcW w:w="3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w:t>
            </w:r>
          </w:p>
        </w:tc>
      </w:tr>
      <w:tr>
        <w:trPr>
          <w:trHeight w:val="250"/>
        </w:trPr>
        <w:tc>
          <w:tcPr>
            <w:tcW w:w="6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Non-GAAP net income attributable to World Fuel</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163.5</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152.4</w:t>
            </w:r>
          </w:p>
        </w:tc>
      </w:tr>
      <w:tr>
        <w:trPr>
          <w:trHeight w:val="275"/>
        </w:trPr>
        <w:tc>
          <w:tcPr>
            <w:tcW w:w="6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5"/>
        </w:trPr>
        <w:tc>
          <w:tcPr>
            <w:tcW w:w="6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GAAP diluted earnings per common share</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0.61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0.62</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w:t>
            </w:r>
          </w:p>
        </w:tc>
      </w:tr>
      <w:tr>
        <w:trPr>
          <w:trHeight w:val="275"/>
        </w:trPr>
        <w:tc>
          <w:tcPr>
            <w:tcW w:w="6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Expenses related to the acquisitions and other related charges, net of income taxes (1)</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0.03</w:t>
            </w:r>
          </w:p>
        </w:tc>
      </w:tr>
      <w:tr>
        <w:trPr>
          <w:trHeight w:val="265"/>
        </w:trPr>
        <w:tc>
          <w:tcPr>
            <w:tcW w:w="6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revenue purchase accounting adjustment, net of income taxes (2)</w:t>
            </w:r>
          </w:p>
        </w:tc>
        <w:tc>
          <w:tcPr>
            <w:tcW w:w="36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0.02</w:t>
            </w:r>
          </w:p>
        </w:tc>
      </w:tr>
      <w:tr>
        <w:trPr>
          <w:trHeight w:val="270"/>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Termination of employment agreement, net of income taxes (3)</w:t>
            </w:r>
          </w:p>
        </w:tc>
        <w:tc>
          <w:tcPr>
            <w:tcW w:w="3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0.03</w:t>
            </w:r>
          </w:p>
        </w:tc>
      </w:tr>
      <w:tr>
        <w:trPr>
          <w:trHeight w:val="250"/>
        </w:trPr>
        <w:tc>
          <w:tcPr>
            <w:tcW w:w="6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Adjusted diluted earnings per common share</w:t>
            </w:r>
          </w:p>
        </w:tc>
        <w:tc>
          <w:tcPr>
            <w:tcW w:w="3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0.65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0.65</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1.83</w:t>
            </w:r>
          </w:p>
        </w:tc>
      </w:tr>
      <w:tr>
        <w:trPr>
          <w:trHeight w:val="275"/>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Share-based compensation expense, net of income taxes (4)</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0.12</w:t>
            </w:r>
          </w:p>
        </w:tc>
      </w:tr>
      <w:tr>
        <w:trPr>
          <w:trHeight w:val="265"/>
        </w:trPr>
        <w:tc>
          <w:tcPr>
            <w:tcW w:w="6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Intangible asset amortization expense, net of income taxes (5)</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0.30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0.20</w:t>
            </w: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Non-GAAP diluted earnings per common share</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0.77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2.14</w:t>
            </w:r>
          </w:p>
        </w:tc>
      </w:tr>
      <w:tr>
        <w:trPr>
          <w:trHeight w:val="20"/>
        </w:trPr>
        <w:tc>
          <w:tcPr>
            <w:tcW w:w="6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pre-tax amount of expenses related to acquisitions and other related charges was $2.6 million and $3.0 million for the three months ended September 30, 2016 and 2015, respectively, and $10.0 million and $3.0 million for the nine months ended September 30, 2016 and 2015, respectively.</w:t>
      </w:r>
    </w:p>
    <w:p>
      <w:pPr>
        <w:spacing w:after="0" w:line="12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pre-tax amount of deferred revenue purchase accounting adjustment was $1.5 million for the nine months ended September 30, 2015.</w:t>
      </w:r>
    </w:p>
    <w:p>
      <w:pPr>
        <w:spacing w:after="0" w:line="176"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pre-tax amount of the termination of employment agreement was $3.8 million for the nine months ended September 30, 2015.</w:t>
      </w:r>
    </w:p>
    <w:p>
      <w:pPr>
        <w:spacing w:after="0" w:line="176" w:lineRule="exact"/>
        <w:rPr>
          <w:rFonts w:ascii="Times New Roman" w:cs="Times New Roman" w:eastAsia="Times New Roman" w:hAnsi="Times New Roman"/>
          <w:sz w:val="14"/>
          <w:szCs w:val="14"/>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pre-tax amount of share-based compensation expense was $5.8 million and $4.8 million for the three months ended September 30, 2016 and 2015, respectively, and $14.5 million and $12.4 million for the nine months ended September 30, 2016 and 2015, respectively.</w:t>
      </w:r>
    </w:p>
    <w:p>
      <w:pPr>
        <w:spacing w:after="0" w:line="121" w:lineRule="exact"/>
        <w:rPr>
          <w:rFonts w:ascii="Times New Roman" w:cs="Times New Roman" w:eastAsia="Times New Roman" w:hAnsi="Times New Roman"/>
          <w:sz w:val="14"/>
          <w:szCs w:val="14"/>
          <w:color w:val="auto"/>
        </w:rPr>
      </w:pPr>
    </w:p>
    <w:p>
      <w:pPr>
        <w:ind w:left="660" w:right="340" w:hanging="328"/>
        <w:spacing w:after="0" w:line="282" w:lineRule="auto"/>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pre-tax amount of intangible asset amortization expense attributable to World Fuel was $10.3 million and $6.8 million for the three months ended September 30, 2016 and 2015, respectively, and $26.8 million and $21.1 million for the nine months ended September 30, 2016 and 2015, respectively.</w:t>
      </w:r>
    </w:p>
    <w:p>
      <w:pPr>
        <w:sectPr>
          <w:pgSz w:w="11900" w:h="16838" w:orient="portrait"/>
          <w:cols w:equalWidth="0" w:num="1">
            <w:col w:w="11420"/>
          </w:cols>
          <w:pgMar w:left="240" w:top="792"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 -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20" w:type="dxa"/>
            <w:vAlign w:val="bottom"/>
          </w:tcPr>
          <w:p>
            <w:pPr>
              <w:spacing w:after="0"/>
              <w:rPr>
                <w:sz w:val="16"/>
                <w:szCs w:val="16"/>
                <w:color w:val="auto"/>
              </w:rPr>
            </w:pPr>
          </w:p>
        </w:tc>
        <w:tc>
          <w:tcPr>
            <w:tcW w:w="216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75"/>
        </w:trPr>
        <w:tc>
          <w:tcPr>
            <w:tcW w:w="61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6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Aviation segment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2,969.2</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2,995.3</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7,810.2</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9,077.6</w:t>
            </w:r>
          </w:p>
        </w:tc>
      </w:tr>
      <w:tr>
        <w:trPr>
          <w:trHeight w:val="275"/>
        </w:trPr>
        <w:tc>
          <w:tcPr>
            <w:tcW w:w="6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Land segment</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2,509.8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2,427.3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6,375.9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7,055.9</w:t>
            </w:r>
          </w:p>
        </w:tc>
      </w:tr>
      <w:tr>
        <w:trPr>
          <w:trHeight w:val="265"/>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Marine segment</w:t>
            </w:r>
          </w:p>
        </w:tc>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1,920.7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2,388.1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5,037.5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7,514.3</w:t>
            </w:r>
          </w:p>
        </w:tc>
      </w:tr>
      <w:tr>
        <w:trPr>
          <w:trHeight w:val="255"/>
        </w:trPr>
        <w:tc>
          <w:tcPr>
            <w:tcW w:w="6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7,399.8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7,810.7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19,223.6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23,647.8</w:t>
            </w:r>
          </w:p>
        </w:tc>
      </w:tr>
      <w:tr>
        <w:trPr>
          <w:trHeight w:val="279"/>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5"/>
        </w:trPr>
        <w:tc>
          <w:tcPr>
            <w:tcW w:w="6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Aviation segment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298.9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273.0</w:t>
            </w:r>
          </w:p>
        </w:tc>
      </w:tr>
      <w:tr>
        <w:trPr>
          <w:trHeight w:val="265"/>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Land segment</w:t>
            </w:r>
          </w:p>
        </w:tc>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213.5</w:t>
            </w:r>
          </w:p>
        </w:tc>
      </w:tr>
      <w:tr>
        <w:trPr>
          <w:trHeight w:val="270"/>
        </w:trPr>
        <w:tc>
          <w:tcPr>
            <w:tcW w:w="6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Marine segment</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144.3</w:t>
            </w:r>
          </w:p>
        </w:tc>
      </w:tr>
      <w:tr>
        <w:trPr>
          <w:trHeight w:val="250"/>
        </w:trPr>
        <w:tc>
          <w:tcPr>
            <w:tcW w:w="6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236.7</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226.7</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676.7</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630.7</w:t>
            </w:r>
          </w:p>
        </w:tc>
      </w:tr>
      <w:tr>
        <w:trPr>
          <w:trHeight w:val="289"/>
        </w:trPr>
        <w:tc>
          <w:tcPr>
            <w:tcW w:w="6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from operations:</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5"/>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Aviation segment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52.6</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123.8</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99.1</w:t>
            </w:r>
          </w:p>
        </w:tc>
      </w:tr>
      <w:tr>
        <w:trPr>
          <w:trHeight w:val="275"/>
        </w:trPr>
        <w:tc>
          <w:tcPr>
            <w:tcW w:w="6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Land segment</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65.2</w:t>
            </w:r>
          </w:p>
        </w:tc>
      </w:tr>
      <w:tr>
        <w:trPr>
          <w:trHeight w:val="265"/>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Marine segment</w:t>
            </w:r>
          </w:p>
        </w:tc>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57.3</w:t>
            </w:r>
          </w:p>
        </w:tc>
      </w:tr>
      <w:tr>
        <w:trPr>
          <w:trHeight w:val="255"/>
        </w:trPr>
        <w:tc>
          <w:tcPr>
            <w:tcW w:w="6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221.5</w:t>
            </w:r>
          </w:p>
        </w:tc>
      </w:tr>
      <w:tr>
        <w:trPr>
          <w:trHeight w:val="265"/>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Corporate overhead - unallocated</w:t>
            </w:r>
          </w:p>
        </w:tc>
        <w:tc>
          <w:tcPr>
            <w:tcW w:w="36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237"/>
        </w:trPr>
        <w:tc>
          <w:tcPr>
            <w:tcW w:w="618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175.6</w:t>
            </w: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VOLUME SUPPLEMENTAL INFORMATION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 - In millions)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75"/>
        </w:trPr>
        <w:tc>
          <w:tcPr>
            <w:tcW w:w="61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6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Volume (Gallons):</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5"/>
        </w:trPr>
        <w:tc>
          <w:tcPr>
            <w:tcW w:w="6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Aviation Segment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1,892.8</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1,673.3</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5,242.4</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4,695.4</w:t>
            </w:r>
          </w:p>
        </w:tc>
      </w:tr>
      <w:tr>
        <w:trPr>
          <w:trHeight w:val="265"/>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Land Segment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1,421.7</w:t>
            </w: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1,259.1</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3,878.6</w:t>
            </w: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3,550.6</w:t>
            </w:r>
          </w:p>
        </w:tc>
      </w:tr>
      <w:tr>
        <w:trPr>
          <w:trHeight w:val="270"/>
        </w:trPr>
        <w:tc>
          <w:tcPr>
            <w:tcW w:w="61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Marine Segment </w:t>
            </w:r>
            <w:r>
              <w:rPr>
                <w:rFonts w:ascii="Times New Roman" w:cs="Times New Roman" w:eastAsia="Times New Roman" w:hAnsi="Times New Roman"/>
                <w:sz w:val="8"/>
                <w:szCs w:val="8"/>
                <w:color w:val="auto"/>
              </w:rPr>
              <w:t>(1)</w:t>
            </w:r>
          </w:p>
        </w:tc>
        <w:tc>
          <w:tcPr>
            <w:tcW w:w="12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2,071.3</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2,263.7</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6,262.9</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6,502.1</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Consolidated Total</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5,385.8</w:t>
            </w: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5,196.1</w:t>
            </w:r>
          </w:p>
        </w:tc>
        <w:tc>
          <w:tcPr>
            <w:tcW w:w="120" w:type="dxa"/>
            <w:vAlign w:val="bottom"/>
          </w:tcPr>
          <w:p>
            <w:pPr>
              <w:spacing w:after="0"/>
              <w:rPr>
                <w:sz w:val="20"/>
                <w:szCs w:val="20"/>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15,383.9</w:t>
            </w: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14,748.1</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right="100" w:firstLine="8"/>
        <w:spacing w:after="0"/>
        <w:tabs>
          <w:tab w:leader="none" w:pos="167"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Converted from metric tons to gallons at a rate of 264 gallons per metric ton. Marine segment metric tons were 7.8 and 23.7 for the three and nine months ended September 30, 2016.</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 M Birns, 305-428-8000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Glenn Klevitz, 305-428-8000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Assistant Treasurer</w:t>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2019-12-05T18:38:00Z</dcterms:created>
  <dcterms:modified xsi:type="dcterms:W3CDTF">2019-12-05T18:38:00Z</dcterms:modified>
</cp:coreProperties>
</file>