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Velazquez Carlos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402" w:lineRule="auto"/>
        <w:rPr>
          <w:sz w:val="20"/>
          <w:szCs w:val="20"/>
          <w:color w:val="auto"/>
        </w:rPr>
      </w:pPr>
      <w:r>
        <w:rPr>
          <w:rFonts w:ascii="Arial" w:cs="Arial" w:eastAsia="Arial" w:hAnsi="Arial"/>
          <w:sz w:val="16"/>
          <w:szCs w:val="16"/>
          <w:color w:val="0000FF"/>
        </w:rPr>
        <w:t>C/O WORLD FUEL SERVICES CORPORATION 9800 N.W. 41ST STREET, SUITE 400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SVP, Chief Accounting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08/21/2014</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08/21/2014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788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44.73</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16,197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$44.73 to $44.74, inclusive. The reporting person undertakes to provide the issuer and will provide any security holder of the issuer or the SEC staff, upon request,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Carlos M. Velazquez</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08/25/2014</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85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2019-12-17T17:21:18Z</dcterms:created>
  <dcterms:modified xsi:type="dcterms:W3CDTF">2019-12-17T17:21:18Z</dcterms:modified>
</cp:coreProperties>
</file>