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13,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02" w:orient="portrait"/>
          <w:cols w:equalWidth="0" w:num="1">
            <w:col w:w="11400"/>
          </w:cols>
          <w:pgMar w:left="240" w:top="544" w:right="259" w:bottom="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1-9533</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02" w:orient="portrait"/>
          <w:cols w:equalWidth="0" w:num="3">
            <w:col w:w="4360" w:space="720"/>
            <w:col w:w="312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11"/>
          <w:szCs w:val="11"/>
          <w:b w:val="1"/>
          <w:bCs w:val="1"/>
          <w:color w:val="auto"/>
        </w:rPr>
        <w:t>st</w:t>
      </w:r>
      <w:r>
        <w:rPr>
          <w:rFonts w:ascii="Arial" w:cs="Arial" w:eastAsia="Arial" w:hAnsi="Arial"/>
          <w:sz w:val="18"/>
          <w:szCs w:val="18"/>
          <w:b w:val="1"/>
          <w:bCs w:val="1"/>
          <w:color w:val="auto"/>
        </w:rPr>
        <w:t xml:space="preserve"> Street, Suite 400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Miami</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02"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information set forth below in Item 5.02 of this Form 8-K is incorporated herein by reference.</w:t>
      </w:r>
    </w:p>
    <w:p>
      <w:pPr>
        <w:spacing w:after="0" w:line="221" w:lineRule="exact"/>
        <w:rPr>
          <w:sz w:val="24"/>
          <w:szCs w:val="24"/>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4"/>
          <w:szCs w:val="24"/>
          <w:color w:val="auto"/>
        </w:rPr>
      </w:pPr>
    </w:p>
    <w:p>
      <w:pPr>
        <w:ind w:firstLine="648"/>
        <w:spacing w:after="0" w:line="290" w:lineRule="auto"/>
        <w:rPr>
          <w:sz w:val="20"/>
          <w:szCs w:val="20"/>
          <w:color w:val="auto"/>
        </w:rPr>
      </w:pPr>
      <w:r>
        <w:rPr>
          <w:rFonts w:ascii="Arial" w:cs="Arial" w:eastAsia="Arial" w:hAnsi="Arial"/>
          <w:sz w:val="16"/>
          <w:szCs w:val="16"/>
          <w:color w:val="auto"/>
        </w:rPr>
        <w:t>On March 13, 2015, World Fuel Services, Inc. (“WFS Inc.”) and Mr. Michael S. Clementi agreed that he would retire from his position as Aviation Segment President of WFS Inc., a subsidiary of World Fuel Services Corporation (the “Company”), effective March 16, 2015. In connection with the termination of the employment agreement between WFS Inc. and Mr. Clementi, as amended (the “Employment Agreement”), which has been previously filed with the Securities and Exchange Commission (the “SEC”) and described in detail in the Company’s 2014 Proxy Statement, Mr. Clementi will be entitled to receive those payments and benefits provided for in a termination without cause as set forth in (i) the Employment Agreement and (ii) the restricted stock unit award agreements (“RSUs”) and restricted stock award agreement (“RSA”) governing his 2012 and 2014 RSUs and 2013 RSA, the forms of which have been previously filed with the SEC. In addition, Mr. Clementi also entered into a separation agreement that includes, among other things, a general release of all legal claims, confidentiality provisions, as well as a four-year non-compete and non-solicitation restriction.</w:t>
      </w:r>
    </w:p>
    <w:p>
      <w:pPr>
        <w:spacing w:after="0" w:line="166" w:lineRule="exact"/>
        <w:rPr>
          <w:sz w:val="24"/>
          <w:szCs w:val="24"/>
          <w:color w:val="auto"/>
        </w:rPr>
      </w:pPr>
    </w:p>
    <w:p>
      <w:pPr>
        <w:ind w:right="340" w:firstLine="648"/>
        <w:spacing w:after="0" w:line="277" w:lineRule="auto"/>
        <w:rPr>
          <w:sz w:val="20"/>
          <w:szCs w:val="20"/>
          <w:color w:val="auto"/>
        </w:rPr>
      </w:pPr>
      <w:r>
        <w:rPr>
          <w:rFonts w:ascii="Arial" w:cs="Arial" w:eastAsia="Arial" w:hAnsi="Arial"/>
          <w:sz w:val="18"/>
          <w:szCs w:val="18"/>
          <w:color w:val="auto"/>
        </w:rPr>
        <w:t>As a result of the foregoing, the Company will record a one-time charge of approximately $3.3 million in the first quarter of 2015. The after-tax impact of approximately $2.0 million will reduce diluted earnings per share by $0.03 for the first quarter.</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902" w:orient="portrait"/>
          <w:cols w:equalWidth="0" w:num="1">
            <w:col w:w="11400"/>
          </w:cols>
          <w:pgMar w:left="240" w:top="544" w:right="259" w:bottom="0" w:gutter="0" w:footer="0" w:header="0"/>
          <w:type w:val="continuous"/>
        </w:sectPr>
      </w:pPr>
    </w:p>
    <w:bookmarkStart w:id="1" w:name="page2"/>
    <w:bookmarkEnd w:id="1"/>
    <w:p>
      <w:pPr>
        <w:spacing w:after="0"/>
        <w:tabs>
          <w:tab w:leader="none" w:pos="5700" w:val="left"/>
        </w:tabs>
        <w:rPr>
          <w:sz w:val="20"/>
          <w:szCs w:val="20"/>
          <w:color w:val="auto"/>
        </w:rPr>
      </w:pPr>
      <w:r>
        <w:rPr>
          <w:rFonts w:ascii="Arial" w:cs="Arial" w:eastAsia="Arial" w:hAnsi="Arial"/>
          <w:sz w:val="18"/>
          <w:szCs w:val="18"/>
          <w:color w:val="auto"/>
        </w:rPr>
        <w:t>Date: March 16,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Senior Vice President,General Counsel and</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2019-12-05T23:38:56Z</dcterms:created>
  <dcterms:modified xsi:type="dcterms:W3CDTF">2019-12-05T23:38:56Z</dcterms:modified>
</cp:coreProperties>
</file>