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5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Date of Report (Date of earliest event reported): October 26, 2017</w:t>
      </w:r>
    </w:p>
    <w:p>
      <w:pPr>
        <w:spacing w:after="0" w:line="366" w:lineRule="exact"/>
        <w:rPr>
          <w:sz w:val="24"/>
          <w:szCs w:val="24"/>
          <w:color w:val="auto"/>
        </w:rPr>
      </w:pPr>
    </w:p>
    <w:p>
      <w:pPr>
        <w:jc w:val="center"/>
        <w:ind w:right="-59"/>
        <w:spacing w:after="0"/>
        <w:rPr>
          <w:sz w:val="20"/>
          <w:szCs w:val="20"/>
          <w:color w:val="auto"/>
        </w:rPr>
      </w:pPr>
      <w:r>
        <w:rPr>
          <w:rFonts w:ascii="Arial" w:cs="Arial" w:eastAsia="Arial" w:hAnsi="Arial"/>
          <w:sz w:val="39"/>
          <w:szCs w:val="39"/>
          <w:b w:val="1"/>
          <w:bCs w:val="1"/>
          <w:color w:val="auto"/>
        </w:rPr>
        <w:t>WORLD FUEL SERVICES CORPORATION</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80"/>
          </w:cols>
          <w:pgMar w:left="240" w:top="679"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1260"/>
        <w:spacing w:after="0"/>
        <w:rPr>
          <w:sz w:val="20"/>
          <w:szCs w:val="20"/>
          <w:color w:val="auto"/>
        </w:rPr>
      </w:pPr>
      <w:r>
        <w:rPr>
          <w:rFonts w:ascii="Arial" w:cs="Arial" w:eastAsia="Arial" w:hAnsi="Arial"/>
          <w:sz w:val="17"/>
          <w:szCs w:val="17"/>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2740"/>
        <w:spacing w:after="0"/>
        <w:rPr>
          <w:sz w:val="20"/>
          <w:szCs w:val="20"/>
          <w:color w:val="auto"/>
        </w:rPr>
      </w:pPr>
      <w:r>
        <w:rPr>
          <w:rFonts w:ascii="Arial" w:cs="Arial" w:eastAsia="Arial" w:hAnsi="Arial"/>
          <w:sz w:val="16"/>
          <w:szCs w:val="16"/>
          <w:b w:val="1"/>
          <w:bCs w:val="1"/>
          <w:color w:val="auto"/>
        </w:rPr>
        <w:t>1-9533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59-2459427</w:t>
      </w:r>
    </w:p>
    <w:p>
      <w:pPr>
        <w:spacing w:after="0" w:line="50" w:lineRule="exact"/>
        <w:rPr>
          <w:sz w:val="24"/>
          <w:szCs w:val="24"/>
          <w:color w:val="auto"/>
        </w:rPr>
      </w:pPr>
    </w:p>
    <w:p>
      <w:pPr>
        <w:sectPr>
          <w:pgSz w:w="11900" w:h="16838" w:orient="portrait"/>
          <w:cols w:equalWidth="0" w:num="3">
            <w:col w:w="4920" w:space="720"/>
            <w:col w:w="3260" w:space="720"/>
            <w:col w:w="1760"/>
          </w:cols>
          <w:pgMar w:left="240" w:top="679" w:right="279" w:bottom="1440" w:gutter="0" w:footer="0" w:header="0"/>
          <w:type w:val="continuous"/>
        </w:sectPr>
      </w:pPr>
    </w:p>
    <w:p>
      <w:pPr>
        <w:ind w:left="18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340" w:space="720"/>
            <w:col w:w="3180" w:space="720"/>
            <w:col w:w="2420"/>
          </w:cols>
          <w:pgMar w:left="240" w:top="679" w:right="2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tbl>
      <w:tblPr>
        <w:tblLayout w:type="fixed"/>
        <w:tblInd w:w="1000" w:type="dxa"/>
        <w:tblCellMar>
          <w:top w:w="0" w:type="dxa"/>
          <w:left w:w="0" w:type="dxa"/>
          <w:bottom w:w="0" w:type="dxa"/>
          <w:right w:w="0" w:type="dxa"/>
        </w:tblCellMar>
      </w:tblPr>
      <w:tr>
        <w:trPr>
          <w:trHeight w:val="216"/>
        </w:trPr>
        <w:tc>
          <w:tcPr>
            <w:tcW w:w="7760" w:type="dxa"/>
            <w:vAlign w:val="bottom"/>
          </w:tcPr>
          <w:p>
            <w:pPr>
              <w:jc w:val="center"/>
              <w:ind w:right="5294"/>
              <w:spacing w:after="0"/>
              <w:rPr>
                <w:sz w:val="20"/>
                <w:szCs w:val="20"/>
                <w:color w:val="auto"/>
              </w:rPr>
            </w:pPr>
            <w:r>
              <w:rPr>
                <w:rFonts w:ascii="Arial" w:cs="Arial" w:eastAsia="Arial" w:hAnsi="Arial"/>
                <w:sz w:val="18"/>
                <w:szCs w:val="18"/>
                <w:b w:val="1"/>
                <w:bCs w:val="1"/>
                <w:color w:val="auto"/>
                <w:w w:val="91"/>
              </w:rPr>
              <w:t>9800 N.W. 41</w:t>
            </w:r>
            <w:r>
              <w:rPr>
                <w:rFonts w:ascii="Arial" w:cs="Arial" w:eastAsia="Arial" w:hAnsi="Arial"/>
                <w:sz w:val="8"/>
                <w:szCs w:val="8"/>
                <w:b w:val="1"/>
                <w:bCs w:val="1"/>
                <w:color w:val="auto"/>
                <w:w w:val="91"/>
              </w:rPr>
              <w:t>st</w:t>
            </w:r>
            <w:r>
              <w:rPr>
                <w:rFonts w:ascii="Arial" w:cs="Arial" w:eastAsia="Arial" w:hAnsi="Arial"/>
                <w:sz w:val="18"/>
                <w:szCs w:val="18"/>
                <w:b w:val="1"/>
                <w:bCs w:val="1"/>
                <w:color w:val="auto"/>
                <w:w w:val="91"/>
              </w:rPr>
              <w:t xml:space="preserve"> Street</w:t>
            </w:r>
          </w:p>
        </w:tc>
        <w:tc>
          <w:tcPr>
            <w:tcW w:w="12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33178</w:t>
            </w:r>
          </w:p>
        </w:tc>
        <w:tc>
          <w:tcPr>
            <w:tcW w:w="0" w:type="dxa"/>
            <w:vAlign w:val="bottom"/>
          </w:tcPr>
          <w:p>
            <w:pPr>
              <w:spacing w:after="0"/>
              <w:rPr>
                <w:sz w:val="1"/>
                <w:szCs w:val="1"/>
                <w:color w:val="auto"/>
              </w:rPr>
            </w:pPr>
          </w:p>
        </w:tc>
      </w:tr>
      <w:tr>
        <w:trPr>
          <w:trHeight w:val="180"/>
        </w:trPr>
        <w:tc>
          <w:tcPr>
            <w:tcW w:w="7760" w:type="dxa"/>
            <w:vAlign w:val="bottom"/>
          </w:tcPr>
          <w:p>
            <w:pPr>
              <w:jc w:val="center"/>
              <w:ind w:right="5314"/>
              <w:spacing w:after="0" w:line="181" w:lineRule="exact"/>
              <w:rPr>
                <w:sz w:val="20"/>
                <w:szCs w:val="20"/>
                <w:color w:val="auto"/>
              </w:rPr>
            </w:pPr>
            <w:r>
              <w:rPr>
                <w:rFonts w:ascii="Arial" w:cs="Arial" w:eastAsia="Arial" w:hAnsi="Arial"/>
                <w:sz w:val="18"/>
                <w:szCs w:val="18"/>
                <w:b w:val="1"/>
                <w:bCs w:val="1"/>
                <w:color w:val="auto"/>
                <w:w w:val="95"/>
              </w:rPr>
              <w:t>Miami, Florida</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7760" w:type="dxa"/>
            <w:vAlign w:val="bottom"/>
          </w:tcPr>
          <w:p>
            <w:pPr>
              <w:jc w:val="center"/>
              <w:ind w:right="529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374"/>
              <w:spacing w:after="0"/>
              <w:rPr>
                <w:sz w:val="20"/>
                <w:szCs w:val="20"/>
                <w:color w:val="auto"/>
              </w:rPr>
            </w:pPr>
            <w:r>
              <w:rPr>
                <w:rFonts w:ascii="Arial" w:cs="Arial" w:eastAsia="Arial" w:hAnsi="Arial"/>
                <w:sz w:val="16"/>
                <w:szCs w:val="16"/>
                <w:b w:val="1"/>
                <w:bCs w:val="1"/>
                <w:color w:val="auto"/>
                <w:w w:val="96"/>
              </w:rPr>
              <w:t>(Zip Code)</w:t>
            </w:r>
          </w:p>
        </w:tc>
        <w:tc>
          <w:tcPr>
            <w:tcW w:w="0" w:type="dxa"/>
            <w:vAlign w:val="bottom"/>
          </w:tcPr>
          <w:p>
            <w:pPr>
              <w:spacing w:after="0"/>
              <w:rPr>
                <w:sz w:val="1"/>
                <w:szCs w:val="1"/>
                <w:color w:val="auto"/>
              </w:rPr>
            </w:pPr>
          </w:p>
        </w:tc>
      </w:tr>
      <w:tr>
        <w:trPr>
          <w:trHeight w:val="444"/>
        </w:trPr>
        <w:tc>
          <w:tcPr>
            <w:tcW w:w="7760" w:type="dxa"/>
            <w:vAlign w:val="bottom"/>
          </w:tcPr>
          <w:p>
            <w:pPr>
              <w:ind w:left="2120"/>
              <w:spacing w:after="0"/>
              <w:rPr>
                <w:sz w:val="20"/>
                <w:szCs w:val="20"/>
                <w:color w:val="auto"/>
              </w:rPr>
            </w:pPr>
            <w:r>
              <w:rPr>
                <w:rFonts w:ascii="Arial" w:cs="Arial" w:eastAsia="Arial" w:hAnsi="Arial"/>
                <w:sz w:val="18"/>
                <w:szCs w:val="18"/>
                <w:b w:val="1"/>
                <w:bCs w:val="1"/>
                <w:color w:val="auto"/>
                <w:w w:val="97"/>
              </w:rPr>
              <w:t>Registrant’s telephone number, including area code: (305) 428-8000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p>
      <w:pPr>
        <w:ind w:firstLine="648"/>
        <w:spacing w:after="0" w:line="28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3"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80"/>
          </w:cols>
          <w:pgMar w:left="240" w:top="679"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information is provided pursuant to Item 7.01 of Form 8-K, “Regulation FD Disclosure” and Item 2.02 of Form 8-K, “Results of Operations and Financial Condition.”</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October 26, 2017, World Fuel Services Corporation (the “Company”) issued a press release reporting its financial results for the third quarter ended September 30, 2017. A copy of the press release is attached hereto as Exhibit 99.1.</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2100" w:type="dxa"/>
            <w:vAlign w:val="bottom"/>
          </w:tcPr>
          <w:p>
            <w:pPr>
              <w:spacing w:after="0"/>
              <w:rPr>
                <w:sz w:val="17"/>
                <w:szCs w:val="17"/>
                <w:color w:val="auto"/>
              </w:rPr>
            </w:pPr>
          </w:p>
        </w:tc>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210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86"/>
              </w:rPr>
              <w:t>Press Release, dated October 26, 2017</w:t>
            </w:r>
          </w:p>
        </w:tc>
      </w:tr>
    </w:tbl>
    <w:p>
      <w:pPr>
        <w:sectPr>
          <w:pgSz w:w="11900" w:h="16838" w:orient="portrait"/>
          <w:cols w:equalWidth="0" w:num="1">
            <w:col w:w="11420"/>
          </w:cols>
          <w:pgMar w:left="240" w:top="58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color w:val="auto"/>
        </w:rPr>
        <w:t>SIGNATURES</w:t>
      </w:r>
    </w:p>
    <w:p>
      <w:pPr>
        <w:spacing w:after="0" w:line="1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October 26, 2017</w:t>
      </w:r>
      <w:r>
        <w:rPr>
          <w:sz w:val="20"/>
          <w:szCs w:val="20"/>
          <w:color w:val="auto"/>
        </w:rPr>
        <w:tab/>
      </w:r>
      <w:r>
        <w:rPr>
          <w:rFonts w:ascii="Arial" w:cs="Arial" w:eastAsia="Arial" w:hAnsi="Arial"/>
          <w:sz w:val="16"/>
          <w:szCs w:val="16"/>
          <w:b w:val="1"/>
          <w:bCs w:val="1"/>
          <w:color w:val="auto"/>
        </w:rPr>
        <w:t>World Fuel Services Corporation</w:t>
      </w:r>
    </w:p>
    <w:p>
      <w:pPr>
        <w:spacing w:after="0" w:line="33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90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80" w:type="dxa"/>
            <w:vAlign w:val="bottom"/>
          </w:tcPr>
          <w:p>
            <w:pPr>
              <w:ind w:left="1580"/>
              <w:spacing w:after="0"/>
              <w:rPr>
                <w:sz w:val="20"/>
                <w:szCs w:val="20"/>
                <w:color w:val="auto"/>
              </w:rPr>
            </w:pPr>
            <w:r>
              <w:rPr>
                <w:rFonts w:ascii="Arial" w:cs="Arial" w:eastAsia="Arial" w:hAnsi="Arial"/>
                <w:sz w:val="22"/>
                <w:szCs w:val="22"/>
                <w:color w:val="auto"/>
              </w:rPr>
              <w:t>EXHIBIT INDEX</w:t>
            </w:r>
          </w:p>
        </w:tc>
      </w:tr>
      <w:tr>
        <w:trPr>
          <w:trHeight w:val="625"/>
        </w:trPr>
        <w:tc>
          <w:tcPr>
            <w:tcW w:w="4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808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27"/>
        </w:trPr>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196"/>
        </w:trPr>
        <w:tc>
          <w:tcPr>
            <w:tcW w:w="360" w:type="dxa"/>
            <w:vAlign w:val="bottom"/>
            <w:gridSpan w:val="2"/>
          </w:tcPr>
          <w:p>
            <w:pPr>
              <w:ind w:left="40"/>
              <w:spacing w:after="0" w:line="182" w:lineRule="exact"/>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2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80" w:type="dxa"/>
            <w:vAlign w:val="bottom"/>
          </w:tcPr>
          <w:p>
            <w:pPr>
              <w:ind w:left="20"/>
              <w:spacing w:after="0" w:line="182" w:lineRule="exact"/>
              <w:rPr>
                <w:sz w:val="20"/>
                <w:szCs w:val="20"/>
                <w:color w:val="auto"/>
              </w:rPr>
            </w:pPr>
            <w:r>
              <w:rPr>
                <w:rFonts w:ascii="Arial" w:cs="Arial" w:eastAsia="Arial" w:hAnsi="Arial"/>
                <w:sz w:val="18"/>
                <w:szCs w:val="18"/>
                <w:color w:val="auto"/>
              </w:rPr>
              <w:t>Press Release, dated October 26, 2017</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bl>
    <w:p>
      <w:pPr>
        <w:sectPr>
          <w:pgSz w:w="11900" w:h="16838" w:orient="portrait"/>
          <w:cols w:equalWidth="0" w:num="1">
            <w:col w:w="11420"/>
          </w:cols>
          <w:pgMar w:left="240" w:top="59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332" w:lineRule="exact"/>
        <w:rPr>
          <w:sz w:val="20"/>
          <w:szCs w:val="20"/>
          <w:color w:val="auto"/>
        </w:rPr>
      </w:pPr>
    </w:p>
    <w:p>
      <w:pPr>
        <w:ind w:left="7660"/>
        <w:spacing w:after="0"/>
        <w:rPr>
          <w:sz w:val="20"/>
          <w:szCs w:val="20"/>
          <w:color w:val="auto"/>
        </w:rPr>
      </w:pPr>
      <w:r>
        <w:rPr>
          <w:rFonts w:ascii="Arial" w:cs="Arial" w:eastAsia="Arial" w:hAnsi="Arial"/>
          <w:sz w:val="20"/>
          <w:szCs w:val="20"/>
          <w:u w:val="single" w:color="auto"/>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-117475</wp:posOffset>
            </wp:positionV>
            <wp:extent cx="2324100" cy="977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24100" cy="977900"/>
                    </a:xfrm>
                    <a:prstGeom prst="rect">
                      <a:avLst/>
                    </a:prstGeom>
                    <a:noFill/>
                  </pic:spPr>
                </pic:pic>
              </a:graphicData>
            </a:graphic>
          </wp:anchor>
        </w:drawing>
      </w:r>
    </w:p>
    <w:p>
      <w:pPr>
        <w:ind w:left="7660"/>
        <w:spacing w:after="0"/>
        <w:rPr>
          <w:sz w:val="20"/>
          <w:szCs w:val="20"/>
          <w:color w:val="auto"/>
        </w:rPr>
      </w:pPr>
      <w:r>
        <w:rPr>
          <w:rFonts w:ascii="Arial" w:cs="Arial" w:eastAsia="Arial" w:hAnsi="Arial"/>
          <w:sz w:val="20"/>
          <w:szCs w:val="20"/>
          <w:color w:val="auto"/>
        </w:rPr>
        <w:t>Ira M. Birns, Executive Vice President &amp;</w:t>
      </w:r>
    </w:p>
    <w:p>
      <w:pPr>
        <w:ind w:left="766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Glenn Klevitz</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Vice President, Assistant Treasurer</w:t>
      </w:r>
    </w:p>
    <w:p>
      <w:pPr>
        <w:ind w:left="7660"/>
        <w:spacing w:after="0"/>
        <w:rPr>
          <w:sz w:val="20"/>
          <w:szCs w:val="20"/>
          <w:color w:val="auto"/>
        </w:rPr>
      </w:pPr>
      <w:r>
        <w:rPr>
          <w:rFonts w:ascii="Arial" w:cs="Arial" w:eastAsia="Arial" w:hAnsi="Arial"/>
          <w:sz w:val="20"/>
          <w:szCs w:val="20"/>
          <w:color w:val="auto"/>
        </w:rPr>
        <w:t>305-428-8000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World Fuel Services Corporation Reports Third Quarter 2017 Results</w:t>
      </w:r>
    </w:p>
    <w:p>
      <w:pPr>
        <w:spacing w:after="0" w:line="200" w:lineRule="exact"/>
        <w:rPr>
          <w:sz w:val="20"/>
          <w:szCs w:val="20"/>
          <w:color w:val="auto"/>
        </w:rPr>
      </w:pPr>
    </w:p>
    <w:p>
      <w:pPr>
        <w:spacing w:after="0" w:line="2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MIAMI—October 26, 2017-- World Fuel Services Corporation (NYSE: INT) today reported third quarter 2017 net loss of $38.5 million or $0.57 diluted loss per share, which includes a non-cash accounting charge of $76.9 million relating to a U.S. deferred tax valuation allowance (“DTA”). Excluding the DTA and certain other one-time items, adjusted third quarter net income was $40.9 million or $0.60 adjusted diluted earnings per share. In the third quarter of 2016, net income as adjusted for one-time items was $45.1 million or $0.65 adjusted diluted earnings per share. Non-GAAP net income and diluted earnings per share for the third quarter of 2017, excluding share-based compensation, amortization of acquired intangible assets and other one-time items were $52.0 million and $0.77, respectively, compared to $57.2 million and $0.82 in 2016.</w:t>
      </w:r>
    </w:p>
    <w:p>
      <w:pPr>
        <w:spacing w:after="0" w:line="11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the third quarter, we were pleased with our performance despite the challenges brought by an unprecedented series of hurricanes,” stated Michael J. Kasbar, chairman and chief executive officer of World Fuel Services Corporation. “We have a solid pipeline of initiatives to accelerate organic growth and remain committed to our long-term strategy of leveraging our comprehensive energy management, omni-channel fulfillment and payments platform.”</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company’s aviation segment generated gross profit of $123.9 million, an increase of $12.3 million or 11.0% year-over-year. The company’s marine segment generated gross profit of $30.5 million, a decrease of $6.8 million or 18.2% year-over-year. The company’s land segment generated gross profit of $85.5 million, a decrease of $2.3 million or 2.6% year-over-year.</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“Despite operational disruptions during the quarter, our strategically diversified business model delivered a solid financial result,” said Ira M. Birns, executive vice president and chief financial officer. “We repurchased an additional $30 million of our common stock during the quarter, taking year-to-date repurchases to $62 million, delivering on our commitment to return further value to our shareholders.”</w:t>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auto"/>
        </w:rPr>
        <w:t>Non-GAAP Financial Measures</w:t>
      </w:r>
    </w:p>
    <w:p>
      <w:pPr>
        <w:spacing w:after="0" w:line="21"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This press release contains non-GAAP financial measures, including Non-GAAP and adjusted net income and diluted earnings per share (“EPS”) for the three and nine months ended September 30, 2017 and 2016 (collectively, the “2017 Non-GAAP Measures”). The 2017 Non-GAAP Measures exclude costs associated with share-based compensation, amortization of acquired intangible assets, acquisition-related charges, valuation allowance against the net U.S. deferred tax assets, severance and other restructuring-related costs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acquisition-related charges, valuation allowance against the net U.S. deferred tax assets, severance and other restructuring-related costs are useful for purposes of evaluating operating performance of our core operating results and comparing them period over period. We believe that the 2017 Non-GAAP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w:t>
      </w:r>
    </w:p>
    <w:p>
      <w:pPr>
        <w:spacing w:after="0" w:line="8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Non-GAAP financial measures should not be considered in isolation from, or as a substitute for, financial information prepared in accordance with GAAP. In addition, our presentation of the 2017 Non-GAAP Measures may not be comparable to the presentation of such metrics by other companies. Non-GAAP and adjusted diluted earnings per common share is computed by dividing non-GAAP net income and adjusted net income, respectively, attributable to World Fuel Services and available to common shareholders by the sum of the weighted average number of shares of common stock, stock units, restricted stock entitled to dividends not subject to forfeiture and vested restricted stock units outstanding during the period and the number of additional shares of common stock that would have been outstanding if our outstanding potentially dilutive securities had been issued. Investors are encouraged to review the reconciliation of these 2017 Non-GAAP Measures to their most directly comparable GAAP financial measures.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Information Relating to Forward-Looking Statements</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This release includes forward-looking statements within the meaning of the Private Securities Litigation Reform Act of 1995, including statements regarding our expectations about accelerating organic growth and executing on our long-term strategy. These forward-looking statements are qualified in their entirety by cautionary statements and risk factor disclosures contained in the Company’s Securities and Exchange Commission (“SEC”) filings, including the Company’s most recent Annual Report on Form 10-K filed with the SEC. Actual results may differ materially from any forward-looking statements due to risks and uncertainties, including, but not limited to: our ability to effectively leverage technology and operating systems and realize the anticipated benefits, our ability to successfully execute and achieve efficiencies and other benefits related to our transformation initiatives, our ability to effectively integrate and derive benefits from acquired businesses, our ability to capitalize on new market opportunities and changes in supply and other market dynamics in the regions where we operate, potential liabilities and the extent of any insurance coverage, the outcome of pending litigation and other proceedings, the impact of quarterly fluctuations in results, particularly as a result of seasonality,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About World Fuel Services Corporation</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information, call 305-428-8000 or visit </w:t>
      </w:r>
      <w:r>
        <w:rPr>
          <w:rFonts w:ascii="Arial" w:cs="Arial" w:eastAsia="Arial" w:hAnsi="Arial"/>
          <w:sz w:val="16"/>
          <w:szCs w:val="16"/>
          <w:u w:val="single" w:color="auto"/>
          <w:color w:val="auto"/>
        </w:rPr>
        <w:t>www.wfscorp.com</w:t>
      </w:r>
      <w:r>
        <w:rPr>
          <w:rFonts w:ascii="Arial" w:cs="Arial" w:eastAsia="Arial" w:hAnsi="Arial"/>
          <w:sz w:val="16"/>
          <w:szCs w:val="16"/>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Some amounts in this press release may not add due to rounding. All percentages have been calculated using unrounded amounts --</w:t>
      </w:r>
    </w:p>
    <w:p>
      <w:pPr>
        <w:sectPr>
          <w:pgSz w:w="11900" w:h="16838" w:orient="portrait"/>
          <w:cols w:equalWidth="0" w:num="1">
            <w:col w:w="11420"/>
          </w:cols>
          <w:pgMar w:left="240" w:top="580" w:right="239" w:bottom="1440" w:gutter="0" w:footer="0" w:header="0"/>
        </w:sectPr>
      </w:pPr>
    </w:p>
    <w:bookmarkStart w:id="6" w:name="page7"/>
    <w:bookmarkEnd w:id="6"/>
    <w:p>
      <w:pPr>
        <w:ind w:left="3060"/>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(Unaudited - 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As of</w:t>
            </w:r>
          </w:p>
        </w:tc>
      </w:tr>
      <w:tr>
        <w:trPr>
          <w:trHeight w:val="258"/>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77"/>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Assets: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546.0</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698.6</w:t>
            </w: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receivable, net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2,583.4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2,344.0</w:t>
            </w:r>
          </w:p>
        </w:tc>
      </w:tr>
      <w:tr>
        <w:trPr>
          <w:trHeight w:val="264"/>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522.7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458.0</w:t>
            </w: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r>
      <w:tr>
        <w:trPr>
          <w:trHeight w:val="264"/>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Short-term derivative assets, net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58.9</w:t>
            </w:r>
          </w:p>
        </w:tc>
      </w:tr>
      <w:tr>
        <w:trPr>
          <w:trHeight w:val="270"/>
        </w:trPr>
        <w:tc>
          <w:tcPr>
            <w:tcW w:w="82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current assets</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287.3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230.6</w:t>
            </w:r>
          </w:p>
        </w:tc>
      </w:tr>
      <w:tr>
        <w:trPr>
          <w:trHeight w:val="250"/>
        </w:trPr>
        <w:tc>
          <w:tcPr>
            <w:tcW w:w="8360" w:type="dxa"/>
            <w:vAlign w:val="bottom"/>
            <w:gridSpan w:val="2"/>
          </w:tcPr>
          <w:p>
            <w:pPr>
              <w:ind w:left="280"/>
              <w:spacing w:after="0"/>
              <w:rPr>
                <w:sz w:val="20"/>
                <w:szCs w:val="20"/>
                <w:color w:val="auto"/>
              </w:rPr>
            </w:pPr>
            <w:r>
              <w:rPr>
                <w:rFonts w:ascii="Arial" w:cs="Arial" w:eastAsia="Arial" w:hAnsi="Arial"/>
                <w:sz w:val="14"/>
                <w:szCs w:val="14"/>
                <w:color w:val="auto"/>
              </w:rPr>
              <w:t>Total current assets</w:t>
            </w:r>
          </w:p>
        </w:tc>
        <w:tc>
          <w:tcPr>
            <w:tcW w:w="30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4,025.3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3,836.6</w:t>
            </w:r>
          </w:p>
        </w:tc>
      </w:tr>
      <w:tr>
        <w:trPr>
          <w:trHeight w:val="276"/>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311.2</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901.1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835.8</w:t>
            </w:r>
          </w:p>
        </w:tc>
      </w:tr>
      <w:tr>
        <w:trPr>
          <w:trHeight w:val="270"/>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Identifiable intangible and other non-current assets</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464.6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429.1</w:t>
            </w:r>
          </w:p>
        </w:tc>
      </w:tr>
      <w:tr>
        <w:trPr>
          <w:trHeight w:val="277"/>
        </w:trPr>
        <w:tc>
          <w:tcPr>
            <w:tcW w:w="82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5,723.1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5,412.6</w:t>
            </w:r>
          </w:p>
        </w:tc>
      </w:t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78"/>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 and capital leases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r>
      <w:tr>
        <w:trPr>
          <w:trHeight w:val="264"/>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2,041.0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1,770.4</w:t>
            </w: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Customer deposits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90.8</w:t>
            </w:r>
          </w:p>
        </w:tc>
      </w:tr>
      <w:tr>
        <w:trPr>
          <w:trHeight w:val="264"/>
        </w:trPr>
        <w:tc>
          <w:tcPr>
            <w:tcW w:w="82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302.2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306.0</w:t>
            </w:r>
          </w:p>
        </w:tc>
      </w:tr>
      <w:tr>
        <w:trPr>
          <w:trHeight w:val="256"/>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current liabilities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2,466.3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2,182.7</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Long-term debt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1,128.1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1,170.8</w:t>
            </w:r>
          </w:p>
        </w:tc>
      </w:tr>
      <w:tr>
        <w:trPr>
          <w:trHeight w:val="276"/>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Non-current income tax liabilities, net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84.6</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 long-term liabilities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34.5</w:t>
            </w:r>
          </w:p>
        </w:tc>
      </w:tr>
      <w:tr>
        <w:trPr>
          <w:trHeight w:val="250"/>
        </w:trPr>
        <w:tc>
          <w:tcPr>
            <w:tcW w:w="82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3,787.3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3,472.6</w:t>
            </w:r>
          </w:p>
        </w:tc>
      </w:tr>
      <w:tr>
        <w:trPr>
          <w:trHeight w:val="277"/>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Commitments and contingencies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78"/>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World Fuel shareholders' equity:</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Preferred stock, $1.00 par value; 0.1 shares authorized, none issued</w:t>
            </w:r>
          </w:p>
        </w:tc>
        <w:tc>
          <w:tcPr>
            <w:tcW w:w="3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57"/>
        </w:trPr>
        <w:tc>
          <w:tcPr>
            <w:tcW w:w="8360" w:type="dxa"/>
            <w:vAlign w:val="bottom"/>
            <w:gridSpan w:val="2"/>
          </w:tcPr>
          <w:p>
            <w:pPr>
              <w:ind w:left="180"/>
              <w:spacing w:after="0" w:line="157" w:lineRule="exact"/>
              <w:rPr>
                <w:sz w:val="20"/>
                <w:szCs w:val="20"/>
                <w:color w:val="auto"/>
              </w:rPr>
            </w:pPr>
            <w:r>
              <w:rPr>
                <w:rFonts w:ascii="Arial" w:cs="Arial" w:eastAsia="Arial" w:hAnsi="Arial"/>
                <w:sz w:val="14"/>
                <w:szCs w:val="14"/>
                <w:color w:val="auto"/>
                <w:w w:val="95"/>
              </w:rPr>
              <w:t>Common stock, $0.01 par value; 100.0 shares authorized, 67.7 and 69.9 issued and outstanding as of September 30, 2017 and December</w:t>
            </w: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8"/>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31, 2016, respectively</w:t>
            </w:r>
          </w:p>
        </w:tc>
        <w:tc>
          <w:tcPr>
            <w:tcW w:w="30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in excess of par value</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399.9</w:t>
            </w:r>
          </w:p>
        </w:tc>
      </w:tr>
      <w:tr>
        <w:trPr>
          <w:trHeight w:val="264"/>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Retained earnings</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1,693.9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1,679.3</w:t>
            </w:r>
          </w:p>
        </w:tc>
      </w:tr>
      <w:tr>
        <w:trPr>
          <w:trHeight w:val="270"/>
        </w:trPr>
        <w:tc>
          <w:tcPr>
            <w:tcW w:w="82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(154.8)</w:t>
            </w:r>
          </w:p>
        </w:tc>
      </w:tr>
      <w:tr>
        <w:trPr>
          <w:trHeight w:val="250"/>
        </w:trPr>
        <w:tc>
          <w:tcPr>
            <w:tcW w:w="8360" w:type="dxa"/>
            <w:vAlign w:val="bottom"/>
            <w:gridSpan w:val="2"/>
          </w:tcPr>
          <w:p>
            <w:pPr>
              <w:ind w:left="280"/>
              <w:spacing w:after="0"/>
              <w:rPr>
                <w:sz w:val="20"/>
                <w:szCs w:val="20"/>
                <w:color w:val="auto"/>
              </w:rPr>
            </w:pPr>
            <w:r>
              <w:rPr>
                <w:rFonts w:ascii="Arial" w:cs="Arial" w:eastAsia="Arial" w:hAnsi="Arial"/>
                <w:sz w:val="14"/>
                <w:szCs w:val="14"/>
                <w:color w:val="auto"/>
              </w:rPr>
              <w:t>Total World Fuel shareholders' equity</w:t>
            </w:r>
          </w:p>
        </w:tc>
        <w:tc>
          <w:tcPr>
            <w:tcW w:w="30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1,919.0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1,925.0</w:t>
            </w:r>
          </w:p>
        </w:tc>
      </w:tr>
      <w:tr>
        <w:trPr>
          <w:trHeight w:val="270"/>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Noncontrolling interest equity</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r>
      <w:tr>
        <w:trPr>
          <w:trHeight w:val="250"/>
        </w:trPr>
        <w:tc>
          <w:tcPr>
            <w:tcW w:w="82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1,935.8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1,940.0</w:t>
            </w:r>
          </w:p>
        </w:tc>
      </w:tr>
      <w:tr>
        <w:trPr>
          <w:trHeight w:val="237"/>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liabilities and equity</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5,723.1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5,412.6</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420"/>
          </w:cols>
          <w:pgMar w:left="240" w:top="796" w:right="239" w:bottom="1440" w:gutter="0" w:footer="0" w:header="0"/>
        </w:sectPr>
      </w:pPr>
    </w:p>
    <w:bookmarkStart w:id="7" w:name="page8"/>
    <w:bookmarkEnd w:id="7"/>
    <w:p>
      <w:pPr>
        <w:jc w:val="center"/>
        <w:ind w:left="340" w:right="2260"/>
        <w:spacing w:after="0" w:line="266" w:lineRule="auto"/>
        <w:rPr>
          <w:sz w:val="20"/>
          <w:szCs w:val="20"/>
          <w:color w:val="auto"/>
        </w:rPr>
      </w:pPr>
      <w:r>
        <w:rPr>
          <w:rFonts w:ascii="Arial" w:cs="Arial" w:eastAsia="Arial" w:hAnsi="Arial"/>
          <w:sz w:val="18"/>
          <w:szCs w:val="18"/>
          <w:b w:val="1"/>
          <w:bCs w:val="1"/>
          <w:color w:val="auto"/>
        </w:rPr>
        <w:t xml:space="preserve">WORLD FUEL SERVICES CORPORATION AND SUBSIDIARIES CONSOLIDATED STATEMENTS OF INCOME AND COMPREHENSIVE INCOME </w:t>
      </w:r>
      <w:r>
        <w:rPr>
          <w:rFonts w:ascii="Arial" w:cs="Arial" w:eastAsia="Arial" w:hAnsi="Arial"/>
          <w:sz w:val="18"/>
          <w:szCs w:val="18"/>
          <w:color w:val="auto"/>
        </w:rPr>
        <w:t>(Unaudited – In millions, except per share data)</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6"/>
                <w:szCs w:val="16"/>
                <w:color w:val="auto"/>
              </w:rPr>
            </w:pPr>
          </w:p>
        </w:tc>
        <w:tc>
          <w:tcPr>
            <w:tcW w:w="220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September 30,</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w w:val="98"/>
              </w:rPr>
              <w:t>September 30,</w:t>
            </w:r>
          </w:p>
        </w:tc>
      </w:tr>
      <w:tr>
        <w:trPr>
          <w:trHeight w:val="264"/>
        </w:trPr>
        <w:tc>
          <w:tcPr>
            <w:tcW w:w="5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56"/>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8,543.0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7,399.8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24,823.4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19,223.6</w:t>
            </w:r>
          </w:p>
        </w:tc>
      </w:tr>
      <w:tr>
        <w:trPr>
          <w:trHeight w:val="264"/>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8,303.1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7,163.1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24,121.1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18,546.9</w:t>
            </w:r>
          </w:p>
        </w:tc>
      </w:tr>
      <w:tr>
        <w:trPr>
          <w:trHeight w:val="250"/>
        </w:trPr>
        <w:tc>
          <w:tcPr>
            <w:tcW w:w="59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236.7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702.3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676.7</w:t>
            </w:r>
          </w:p>
        </w:tc>
      </w:tr>
      <w:tr>
        <w:trPr>
          <w:trHeight w:val="277"/>
        </w:trPr>
        <w:tc>
          <w:tcPr>
            <w:tcW w:w="6020" w:type="dxa"/>
            <w:vAlign w:val="bottom"/>
            <w:gridSpan w:val="2"/>
          </w:tcPr>
          <w:p>
            <w:pPr>
              <w:ind w:left="40"/>
              <w:spacing w:after="0"/>
              <w:rPr>
                <w:sz w:val="20"/>
                <w:szCs w:val="20"/>
                <w:color w:val="auto"/>
              </w:rPr>
            </w:pPr>
            <w:r>
              <w:rPr>
                <w:rFonts w:ascii="Arial" w:cs="Arial" w:eastAsia="Arial" w:hAnsi="Arial"/>
                <w:sz w:val="14"/>
                <w:szCs w:val="14"/>
                <w:color w:val="auto"/>
              </w:rPr>
              <w:t>Operating expenses:</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6"/>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Compensation and employee benefits</w:t>
            </w: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314.5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306.2</w:t>
            </w:r>
          </w:p>
        </w:tc>
      </w:tr>
      <w:tr>
        <w:trPr>
          <w:trHeight w:val="264"/>
        </w:trPr>
        <w:tc>
          <w:tcPr>
            <w:tcW w:w="6020" w:type="dxa"/>
            <w:vAlign w:val="bottom"/>
            <w:gridSpan w:val="2"/>
          </w:tcPr>
          <w:p>
            <w:pPr>
              <w:ind w:left="180"/>
              <w:spacing w:after="0"/>
              <w:rPr>
                <w:sz w:val="20"/>
                <w:szCs w:val="20"/>
                <w:color w:val="auto"/>
              </w:rPr>
            </w:pPr>
            <w:r>
              <w:rPr>
                <w:rFonts w:ascii="Arial" w:cs="Arial" w:eastAsia="Arial" w:hAnsi="Arial"/>
                <w:sz w:val="14"/>
                <w:szCs w:val="14"/>
                <w:color w:val="auto"/>
              </w:rPr>
              <w:t>Provision for bad debt</w:t>
            </w:r>
          </w:p>
        </w:tc>
        <w:tc>
          <w:tcPr>
            <w:tcW w:w="4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5.4</w:t>
            </w: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200.2</w:t>
            </w:r>
          </w:p>
        </w:tc>
      </w:tr>
      <w:tr>
        <w:trPr>
          <w:trHeight w:val="250"/>
        </w:trPr>
        <w:tc>
          <w:tcPr>
            <w:tcW w:w="590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178.6</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178.4</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539.5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511.9</w:t>
            </w:r>
          </w:p>
        </w:tc>
      </w:tr>
      <w:tr>
        <w:trPr>
          <w:trHeight w:val="250"/>
        </w:trPr>
        <w:tc>
          <w:tcPr>
            <w:tcW w:w="59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Income from operations</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164.8</w:t>
            </w:r>
          </w:p>
        </w:tc>
      </w:tr>
      <w:tr>
        <w:trPr>
          <w:trHeight w:val="277"/>
        </w:trPr>
        <w:tc>
          <w:tcPr>
            <w:tcW w:w="6020" w:type="dxa"/>
            <w:vAlign w:val="bottom"/>
            <w:gridSpan w:val="2"/>
          </w:tcPr>
          <w:p>
            <w:pPr>
              <w:ind w:left="40"/>
              <w:spacing w:after="0"/>
              <w:rPr>
                <w:sz w:val="20"/>
                <w:szCs w:val="20"/>
                <w:color w:val="auto"/>
              </w:rPr>
            </w:pPr>
            <w:r>
              <w:rPr>
                <w:rFonts w:ascii="Arial" w:cs="Arial" w:eastAsia="Arial" w:hAnsi="Arial"/>
                <w:sz w:val="14"/>
                <w:szCs w:val="14"/>
                <w:color w:val="auto"/>
              </w:rPr>
              <w:t>Non-operating expenses, net:</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6"/>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 expense and other financing costs, net</w:t>
            </w: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r>
      <w:tr>
        <w:trPr>
          <w:trHeight w:val="264"/>
        </w:trPr>
        <w:tc>
          <w:tcPr>
            <w:tcW w:w="6020" w:type="dxa"/>
            <w:vAlign w:val="bottom"/>
            <w:gridSpan w:val="2"/>
          </w:tcPr>
          <w:p>
            <w:pPr>
              <w:ind w:left="180"/>
              <w:spacing w:after="0"/>
              <w:rPr>
                <w:sz w:val="20"/>
                <w:szCs w:val="20"/>
                <w:color w:val="auto"/>
              </w:rPr>
            </w:pPr>
            <w:r>
              <w:rPr>
                <w:rFonts w:ascii="Arial" w:cs="Arial" w:eastAsia="Arial" w:hAnsi="Arial"/>
                <w:sz w:val="14"/>
                <w:szCs w:val="14"/>
                <w:color w:val="auto"/>
              </w:rPr>
              <w:t>Other income (expense), net</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250"/>
        </w:trPr>
        <w:tc>
          <w:tcPr>
            <w:tcW w:w="590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w:t>
            </w:r>
          </w:p>
        </w:tc>
      </w:tr>
      <w:tr>
        <w:trPr>
          <w:trHeight w:val="250"/>
        </w:trPr>
        <w:tc>
          <w:tcPr>
            <w:tcW w:w="6020" w:type="dxa"/>
            <w:vAlign w:val="bottom"/>
            <w:gridSpan w:val="2"/>
          </w:tcPr>
          <w:p>
            <w:pPr>
              <w:ind w:left="40"/>
              <w:spacing w:after="0"/>
              <w:rPr>
                <w:sz w:val="20"/>
                <w:szCs w:val="20"/>
                <w:color w:val="auto"/>
              </w:rPr>
            </w:pPr>
            <w:r>
              <w:rPr>
                <w:rFonts w:ascii="Arial" w:cs="Arial" w:eastAsia="Arial" w:hAnsi="Arial"/>
                <w:sz w:val="14"/>
                <w:szCs w:val="14"/>
                <w:color w:val="auto"/>
              </w:rPr>
              <w:t>Income before income taxes</w:t>
            </w:r>
          </w:p>
        </w:tc>
        <w:tc>
          <w:tcPr>
            <w:tcW w:w="40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140.1</w:t>
            </w:r>
          </w:p>
        </w:tc>
      </w:tr>
      <w:tr>
        <w:trPr>
          <w:trHeight w:val="270"/>
        </w:trPr>
        <w:tc>
          <w:tcPr>
            <w:tcW w:w="5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r>
      <w:tr>
        <w:trPr>
          <w:trHeight w:val="250"/>
        </w:trPr>
        <w:tc>
          <w:tcPr>
            <w:tcW w:w="6020" w:type="dxa"/>
            <w:vAlign w:val="bottom"/>
            <w:gridSpan w:val="2"/>
          </w:tcPr>
          <w:p>
            <w:pPr>
              <w:ind w:left="40"/>
              <w:spacing w:after="0"/>
              <w:rPr>
                <w:sz w:val="20"/>
                <w:szCs w:val="20"/>
                <w:color w:val="auto"/>
              </w:rPr>
            </w:pPr>
            <w:r>
              <w:rPr>
                <w:rFonts w:ascii="Arial" w:cs="Arial" w:eastAsia="Arial" w:hAnsi="Arial"/>
                <w:sz w:val="14"/>
                <w:szCs w:val="14"/>
                <w:color w:val="auto"/>
              </w:rPr>
              <w:t>Net income (loss) including noncontrolling interest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124.4</w:t>
            </w:r>
          </w:p>
        </w:tc>
      </w:tr>
      <w:tr>
        <w:trPr>
          <w:trHeight w:val="270"/>
        </w:trPr>
        <w:tc>
          <w:tcPr>
            <w:tcW w:w="5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r>
        <w:trPr>
          <w:trHeight w:val="277"/>
        </w:trPr>
        <w:tc>
          <w:tcPr>
            <w:tcW w:w="6020" w:type="dxa"/>
            <w:vAlign w:val="bottom"/>
            <w:gridSpan w:val="2"/>
          </w:tcPr>
          <w:p>
            <w:pPr>
              <w:ind w:left="40"/>
              <w:spacing w:after="0"/>
              <w:rPr>
                <w:sz w:val="20"/>
                <w:szCs w:val="20"/>
                <w:color w:val="auto"/>
              </w:rPr>
            </w:pPr>
            <w:r>
              <w:rPr>
                <w:rFonts w:ascii="Arial" w:cs="Arial" w:eastAsia="Arial" w:hAnsi="Arial"/>
                <w:sz w:val="14"/>
                <w:szCs w:val="14"/>
                <w:color w:val="auto"/>
              </w:rPr>
              <w:t>Net income (loss) attributable to World Fuel</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124.3</w:t>
            </w:r>
          </w:p>
        </w:tc>
      </w:tr>
      <w:tr>
        <w:trPr>
          <w:trHeight w:val="257"/>
        </w:trPr>
        <w:tc>
          <w:tcPr>
            <w:tcW w:w="5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r>
      <w:tr>
        <w:trPr>
          <w:trHeight w:val="291"/>
        </w:trPr>
        <w:tc>
          <w:tcPr>
            <w:tcW w:w="6020" w:type="dxa"/>
            <w:vAlign w:val="bottom"/>
            <w:gridSpan w:val="2"/>
          </w:tcPr>
          <w:p>
            <w:pPr>
              <w:ind w:left="40"/>
              <w:spacing w:after="0"/>
              <w:rPr>
                <w:sz w:val="20"/>
                <w:szCs w:val="20"/>
                <w:color w:val="auto"/>
              </w:rPr>
            </w:pPr>
            <w:r>
              <w:rPr>
                <w:rFonts w:ascii="Arial" w:cs="Arial" w:eastAsia="Arial" w:hAnsi="Arial"/>
                <w:sz w:val="14"/>
                <w:szCs w:val="14"/>
                <w:color w:val="auto"/>
              </w:rPr>
              <w:t>Basic earnings per common share</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(0.57)</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0.62</w:t>
            </w:r>
          </w:p>
        </w:tc>
        <w:tc>
          <w:tcPr>
            <w:tcW w:w="10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0.33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1.79</w:t>
            </w:r>
          </w:p>
        </w:tc>
      </w:tr>
      <w:tr>
        <w:trPr>
          <w:trHeight w:val="257"/>
        </w:trPr>
        <w:tc>
          <w:tcPr>
            <w:tcW w:w="5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r>
      <w:tr>
        <w:trPr>
          <w:trHeight w:val="291"/>
        </w:trPr>
        <w:tc>
          <w:tcPr>
            <w:tcW w:w="6020" w:type="dxa"/>
            <w:vAlign w:val="bottom"/>
            <w:gridSpan w:val="2"/>
          </w:tcPr>
          <w:p>
            <w:pPr>
              <w:ind w:left="40"/>
              <w:spacing w:after="0"/>
              <w:rPr>
                <w:sz w:val="20"/>
                <w:szCs w:val="20"/>
                <w:color w:val="auto"/>
              </w:rPr>
            </w:pPr>
            <w:r>
              <w:rPr>
                <w:rFonts w:ascii="Arial" w:cs="Arial" w:eastAsia="Arial" w:hAnsi="Arial"/>
                <w:sz w:val="14"/>
                <w:szCs w:val="14"/>
                <w:color w:val="auto"/>
              </w:rPr>
              <w:t>Basic weighted average common shares</w:t>
            </w:r>
          </w:p>
        </w:tc>
        <w:tc>
          <w:tcPr>
            <w:tcW w:w="4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68.3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69.4</w:t>
            </w:r>
          </w:p>
        </w:tc>
      </w:tr>
      <w:tr>
        <w:trPr>
          <w:trHeight w:val="257"/>
        </w:trPr>
        <w:tc>
          <w:tcPr>
            <w:tcW w:w="5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r>
      <w:tr>
        <w:trPr>
          <w:trHeight w:val="291"/>
        </w:trPr>
        <w:tc>
          <w:tcPr>
            <w:tcW w:w="6020" w:type="dxa"/>
            <w:vAlign w:val="bottom"/>
            <w:gridSpan w:val="2"/>
          </w:tcPr>
          <w:p>
            <w:pPr>
              <w:ind w:left="40"/>
              <w:spacing w:after="0"/>
              <w:rPr>
                <w:sz w:val="20"/>
                <w:szCs w:val="20"/>
                <w:color w:val="auto"/>
              </w:rPr>
            </w:pPr>
            <w:r>
              <w:rPr>
                <w:rFonts w:ascii="Arial" w:cs="Arial" w:eastAsia="Arial" w:hAnsi="Arial"/>
                <w:sz w:val="14"/>
                <w:szCs w:val="14"/>
                <w:color w:val="auto"/>
              </w:rPr>
              <w:t>Diluted earnings per common share</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(0.57)</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0.61</w:t>
            </w:r>
          </w:p>
        </w:tc>
        <w:tc>
          <w:tcPr>
            <w:tcW w:w="10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0.33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1.78</w:t>
            </w:r>
          </w:p>
        </w:tc>
      </w:tr>
      <w:tr>
        <w:trPr>
          <w:trHeight w:val="257"/>
        </w:trPr>
        <w:tc>
          <w:tcPr>
            <w:tcW w:w="5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r>
      <w:tr>
        <w:trPr>
          <w:trHeight w:val="291"/>
        </w:trPr>
        <w:tc>
          <w:tcPr>
            <w:tcW w:w="6020" w:type="dxa"/>
            <w:vAlign w:val="bottom"/>
            <w:gridSpan w:val="2"/>
          </w:tcPr>
          <w:p>
            <w:pPr>
              <w:ind w:left="40"/>
              <w:spacing w:after="0"/>
              <w:rPr>
                <w:sz w:val="20"/>
                <w:szCs w:val="20"/>
                <w:color w:val="auto"/>
              </w:rPr>
            </w:pPr>
            <w:r>
              <w:rPr>
                <w:rFonts w:ascii="Arial" w:cs="Arial" w:eastAsia="Arial" w:hAnsi="Arial"/>
                <w:sz w:val="14"/>
                <w:szCs w:val="14"/>
                <w:color w:val="auto"/>
              </w:rPr>
              <w:t>Diluted weighted average common shares</w:t>
            </w:r>
          </w:p>
        </w:tc>
        <w:tc>
          <w:tcPr>
            <w:tcW w:w="4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68.2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69.5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69.9</w:t>
            </w:r>
          </w:p>
        </w:tc>
      </w:tr>
      <w:tr>
        <w:trPr>
          <w:trHeight w:val="311"/>
        </w:trPr>
        <w:tc>
          <w:tcPr>
            <w:tcW w:w="59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r>
    </w:tbl>
    <w:p>
      <w:pPr>
        <w:spacing w:after="0" w:line="89" w:lineRule="exact"/>
        <w:rPr>
          <w:sz w:val="20"/>
          <w:szCs w:val="20"/>
          <w:color w:val="auto"/>
        </w:rPr>
      </w:pPr>
    </w:p>
    <w:p>
      <w:pPr>
        <w:sectPr>
          <w:pgSz w:w="11900" w:h="16838" w:orient="portrait"/>
          <w:cols w:equalWidth="0" w:num="1">
            <w:col w:w="11320"/>
          </w:cols>
          <w:pgMar w:left="240" w:top="796" w:right="339" w:bottom="1440" w:gutter="0" w:footer="0" w:header="0"/>
        </w:sectPr>
      </w:pPr>
    </w:p>
    <w:p>
      <w:pPr>
        <w:ind w:left="40"/>
        <w:spacing w:after="0"/>
        <w:rPr>
          <w:sz w:val="20"/>
          <w:szCs w:val="20"/>
          <w:color w:val="auto"/>
        </w:rPr>
      </w:pPr>
      <w:r>
        <w:rPr>
          <w:rFonts w:ascii="Arial" w:cs="Arial" w:eastAsia="Arial" w:hAnsi="Arial"/>
          <w:sz w:val="14"/>
          <w:szCs w:val="14"/>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8629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 including noncontrolling interest</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8629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Foreign currency translation adjustments</w:t>
      </w:r>
    </w:p>
    <w:p>
      <w:pPr>
        <w:spacing w:after="0" w:line="42" w:lineRule="exact"/>
        <w:rPr>
          <w:sz w:val="20"/>
          <w:szCs w:val="20"/>
          <w:color w:val="auto"/>
        </w:rPr>
      </w:pPr>
    </w:p>
    <w:p>
      <w:pPr>
        <w:ind w:left="180"/>
        <w:spacing w:after="0" w:line="253" w:lineRule="auto"/>
        <w:rPr>
          <w:sz w:val="20"/>
          <w:szCs w:val="20"/>
          <w:color w:val="auto"/>
        </w:rPr>
      </w:pPr>
      <w:r>
        <w:rPr>
          <w:rFonts w:ascii="Arial" w:cs="Arial" w:eastAsia="Arial" w:hAnsi="Arial"/>
          <w:sz w:val="14"/>
          <w:szCs w:val="14"/>
          <w:color w:val="auto"/>
        </w:rPr>
        <w:t>Cash Flow hedges, net of income tax benefit of $5.5 and income tax expense of $1.1 for the three and nine months ended September 30,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8629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88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89" w:lineRule="exact"/>
        <w:rPr>
          <w:sz w:val="20"/>
          <w:szCs w:val="20"/>
          <w:color w:val="auto"/>
        </w:rPr>
      </w:pPr>
    </w:p>
    <w:p>
      <w:pPr>
        <w:ind w:left="40" w:right="2100"/>
        <w:spacing w:after="0" w:line="422" w:lineRule="auto"/>
        <w:rPr>
          <w:sz w:val="20"/>
          <w:szCs w:val="20"/>
          <w:color w:val="auto"/>
        </w:rPr>
      </w:pPr>
      <w:r>
        <w:rPr>
          <w:rFonts w:ascii="Arial" w:cs="Arial" w:eastAsia="Arial" w:hAnsi="Arial"/>
          <w:sz w:val="13"/>
          <w:szCs w:val="13"/>
          <w:color w:val="auto"/>
        </w:rPr>
        <w:t>Comprehensive income (loss) including noncontrolling interest Comprehensive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86295"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295"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Comprehensive income (loss) attributable to World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88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388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37388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5"/>
                <w:szCs w:val="15"/>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124.4</w:t>
            </w:r>
          </w:p>
        </w:tc>
      </w:tr>
      <w:tr>
        <w:trPr>
          <w:trHeight w:val="554"/>
        </w:trPr>
        <w:tc>
          <w:tcPr>
            <w:tcW w:w="48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(27.9)</w:t>
            </w:r>
          </w:p>
        </w:tc>
      </w:tr>
      <w:tr>
        <w:trPr>
          <w:trHeight w:val="357"/>
        </w:trPr>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250"/>
        </w:trPr>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w:t>
            </w:r>
          </w:p>
        </w:tc>
      </w:tr>
      <w:tr>
        <w:trPr>
          <w:trHeight w:val="244"/>
        </w:trPr>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93.7</w:t>
            </w:r>
          </w:p>
        </w:tc>
      </w:tr>
      <w:tr>
        <w:trPr>
          <w:trHeight w:val="276"/>
        </w:trPr>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r>
      <w:tr>
        <w:trPr>
          <w:trHeight w:val="237"/>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52.8</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91.9</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5780" w:space="240"/>
            <w:col w:w="5300"/>
          </w:cols>
          <w:pgMar w:left="240" w:top="796"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For the Three Months Ended</w:t>
            </w:r>
          </w:p>
        </w:tc>
        <w:tc>
          <w:tcPr>
            <w:tcW w:w="380" w:type="dxa"/>
            <w:vAlign w:val="bottom"/>
          </w:tcPr>
          <w:p>
            <w:pPr>
              <w:spacing w:after="0"/>
              <w:rPr>
                <w:sz w:val="16"/>
                <w:szCs w:val="16"/>
                <w:color w:val="auto"/>
              </w:rPr>
            </w:pPr>
          </w:p>
        </w:tc>
        <w:tc>
          <w:tcPr>
            <w:tcW w:w="222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September 30,</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w w:val="98"/>
              </w:rPr>
              <w:t>September 30,</w:t>
            </w:r>
          </w:p>
        </w:tc>
      </w:tr>
      <w:tr>
        <w:trPr>
          <w:trHeight w:val="264"/>
        </w:trPr>
        <w:tc>
          <w:tcPr>
            <w:tcW w:w="59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8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4"/>
        </w:trPr>
        <w:tc>
          <w:tcPr>
            <w:tcW w:w="6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Net income (loss) including noncontrolling interest</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124.4</w:t>
            </w:r>
          </w:p>
        </w:tc>
      </w:tr>
      <w:tr>
        <w:trPr>
          <w:trHeight w:val="143"/>
        </w:trPr>
        <w:tc>
          <w:tcPr>
            <w:tcW w:w="6080" w:type="dxa"/>
            <w:vAlign w:val="bottom"/>
            <w:gridSpan w:val="2"/>
            <w:shd w:val="clear" w:color="auto" w:fill="CCEEFF"/>
          </w:tcPr>
          <w:p>
            <w:pPr>
              <w:ind w:left="180"/>
              <w:spacing w:after="0" w:line="143" w:lineRule="exact"/>
              <w:rPr>
                <w:sz w:val="20"/>
                <w:szCs w:val="20"/>
                <w:color w:val="auto"/>
              </w:rPr>
            </w:pPr>
            <w:r>
              <w:rPr>
                <w:rFonts w:ascii="Arial" w:cs="Arial" w:eastAsia="Arial" w:hAnsi="Arial"/>
                <w:sz w:val="14"/>
                <w:szCs w:val="14"/>
                <w:color w:val="auto"/>
              </w:rPr>
              <w:t>Adjustments to reconcile net income including noncontrolling interest to net cash provided by</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94"/>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operating activities:</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58.4</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Provision for bad debt</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Valuation allowance against the net U.S. deferred tax assets</w:t>
            </w:r>
          </w:p>
        </w:tc>
        <w:tc>
          <w:tcPr>
            <w:tcW w:w="3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Gain on sale of held for sale assets and liabilities</w:t>
            </w:r>
          </w:p>
        </w:tc>
        <w:tc>
          <w:tcPr>
            <w:tcW w:w="3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Share-based payment award compensation costs</w:t>
            </w:r>
          </w:p>
        </w:tc>
        <w:tc>
          <w:tcPr>
            <w:tcW w:w="3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14.5</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Deferred income tax benefit</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Extinguishment of liabilities, net</w:t>
            </w:r>
          </w:p>
        </w:tc>
        <w:tc>
          <w:tcPr>
            <w:tcW w:w="38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Foreign currency losses (gains), net</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Other</w:t>
            </w:r>
          </w:p>
        </w:tc>
        <w:tc>
          <w:tcPr>
            <w:tcW w:w="3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290"/>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Changes in assets and liabilities, net of acquisitions:</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Accounts receivable, net</w:t>
            </w:r>
          </w:p>
        </w:tc>
        <w:tc>
          <w:tcPr>
            <w:tcW w:w="3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(364.9)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(212.3)</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Prepaid expenses</w:t>
            </w:r>
          </w:p>
        </w:tc>
        <w:tc>
          <w:tcPr>
            <w:tcW w:w="3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Short-term derivative assets, net</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192.5</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Other current assets</w:t>
            </w:r>
          </w:p>
        </w:tc>
        <w:tc>
          <w:tcPr>
            <w:tcW w:w="3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(30.4)</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Cash collateral with financial counterparties</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128.8</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Other non-current assets</w:t>
            </w:r>
          </w:p>
        </w:tc>
        <w:tc>
          <w:tcPr>
            <w:tcW w:w="3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13.6</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213.2</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Customer deposits</w:t>
            </w:r>
          </w:p>
        </w:tc>
        <w:tc>
          <w:tcPr>
            <w:tcW w:w="3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w:t>
            </w:r>
          </w:p>
        </w:tc>
      </w:tr>
      <w:tr>
        <w:trPr>
          <w:trHeight w:val="264"/>
        </w:trPr>
        <w:tc>
          <w:tcPr>
            <w:tcW w:w="59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Non-current income tax, net and other long-term liabilities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r>
      <w:tr>
        <w:trPr>
          <w:trHeight w:val="250"/>
        </w:trPr>
        <w:tc>
          <w:tcPr>
            <w:tcW w:w="59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adjustments</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95.9</w:t>
            </w:r>
          </w:p>
        </w:tc>
      </w:tr>
      <w:tr>
        <w:trPr>
          <w:trHeight w:val="250"/>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220.3</w:t>
            </w:r>
          </w:p>
        </w:tc>
      </w:tr>
      <w:tr>
        <w:trPr>
          <w:trHeight w:val="28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Acquisition of businesses, net of cash acquired and other investments</w:t>
            </w:r>
          </w:p>
        </w:tc>
        <w:tc>
          <w:tcPr>
            <w:tcW w:w="3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(216.7)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(266.4)</w:t>
            </w: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sale of business</w:t>
            </w:r>
          </w:p>
        </w:tc>
        <w:tc>
          <w:tcPr>
            <w:tcW w:w="3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Capital expenditures</w:t>
            </w:r>
          </w:p>
        </w:tc>
        <w:tc>
          <w:tcPr>
            <w:tcW w:w="3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(28.9)</w:t>
            </w:r>
          </w:p>
        </w:tc>
      </w:tr>
      <w:tr>
        <w:trPr>
          <w:trHeight w:val="270"/>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investing activities, net</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r>
      <w:tr>
        <w:trPr>
          <w:trHeight w:val="250"/>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Net cash (used in) investing activities</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(259.2)</w:t>
            </w:r>
          </w:p>
        </w:tc>
      </w:tr>
      <w:tr>
        <w:trPr>
          <w:trHeight w:val="28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Borrowings of debt</w:t>
            </w:r>
          </w:p>
        </w:tc>
        <w:tc>
          <w:tcPr>
            <w:tcW w:w="3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1,508.3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1,233.1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3,500.1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2,810.6</w:t>
            </w: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Repayments of debt</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(2,451.1)</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Dividends paid on common stock</w:t>
            </w:r>
          </w:p>
        </w:tc>
        <w:tc>
          <w:tcPr>
            <w:tcW w:w="3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Purchases of common stock</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r>
      <w:tr>
        <w:trPr>
          <w:trHeight w:val="157"/>
        </w:trPr>
        <w:tc>
          <w:tcPr>
            <w:tcW w:w="6080" w:type="dxa"/>
            <w:vAlign w:val="bottom"/>
            <w:gridSpan w:val="2"/>
          </w:tcPr>
          <w:p>
            <w:pPr>
              <w:ind w:left="180"/>
              <w:spacing w:after="0" w:line="157" w:lineRule="exact"/>
              <w:rPr>
                <w:sz w:val="20"/>
                <w:szCs w:val="20"/>
                <w:color w:val="auto"/>
              </w:rPr>
            </w:pPr>
            <w:r>
              <w:rPr>
                <w:rFonts w:ascii="Arial" w:cs="Arial" w:eastAsia="Arial" w:hAnsi="Arial"/>
                <w:sz w:val="14"/>
                <w:szCs w:val="14"/>
                <w:color w:val="auto"/>
                <w:w w:val="99"/>
              </w:rPr>
              <w:t>Federal and state tax benefits resulting from tax deductions in excess of the compensation cost</w:t>
            </w: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8"/>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recognized for share-based payment awards</w:t>
            </w:r>
          </w:p>
        </w:tc>
        <w:tc>
          <w:tcPr>
            <w:tcW w:w="38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163"/>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w w:val="94"/>
              </w:rPr>
              <w:t>Purchases of common stock tendered by employees to satisfy the required withholding taxes related</w:t>
            </w: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94"/>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 share-based payment awards</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264"/>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financing activities, net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25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336.3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325.7</w:t>
            </w:r>
          </w:p>
        </w:tc>
      </w:tr>
      <w:tr>
        <w:trPr>
          <w:trHeight w:val="250"/>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289.9</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and cash equivalents, as of beginning of period</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575.6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737.2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698.6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582.5</w:t>
            </w:r>
          </w:p>
        </w:tc>
      </w:tr>
      <w:tr>
        <w:trPr>
          <w:trHeight w:val="23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as of end of period</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546.0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872.3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546.0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872.3</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918" w:right="23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 xml:space="preserve">WORLD FUEL SERVICES CORPORATION AND SUBSIDIARIES RECONCILIATION OF GAAP TO NON-GAAP FINANCIAL MEASURES </w:t>
      </w:r>
      <w:r>
        <w:rPr>
          <w:rFonts w:ascii="Arial" w:cs="Arial" w:eastAsia="Arial" w:hAnsi="Arial"/>
          <w:sz w:val="18"/>
          <w:szCs w:val="18"/>
          <w:color w:val="auto"/>
        </w:rPr>
        <w:t>(Unaudited - In millions, except per share data)</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9"/>
                <w:szCs w:val="19"/>
                <w:color w:val="auto"/>
              </w:rPr>
            </w:pPr>
          </w:p>
        </w:tc>
        <w:tc>
          <w:tcPr>
            <w:tcW w:w="216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6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September 30,</w:t>
            </w: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w w:val="98"/>
              </w:rPr>
              <w:t>September 30,</w:t>
            </w:r>
          </w:p>
        </w:tc>
      </w:tr>
      <w:tr>
        <w:trPr>
          <w:trHeight w:val="264"/>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Non-GAAP financial measures and reconciliation:</w:t>
            </w:r>
          </w:p>
        </w:tc>
        <w:tc>
          <w:tcPr>
            <w:tcW w:w="3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56"/>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GAAP net income (loss) attributable to World Fuel</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124.3</w:t>
            </w:r>
          </w:p>
        </w:tc>
      </w:tr>
      <w:tr>
        <w:trPr>
          <w:trHeight w:val="264"/>
        </w:trPr>
        <w:tc>
          <w:tcPr>
            <w:tcW w:w="6180" w:type="dxa"/>
            <w:vAlign w:val="bottom"/>
          </w:tcPr>
          <w:p>
            <w:pPr>
              <w:ind w:left="280"/>
              <w:spacing w:after="0"/>
              <w:rPr>
                <w:sz w:val="20"/>
                <w:szCs w:val="20"/>
                <w:color w:val="auto"/>
              </w:rPr>
            </w:pPr>
            <w:r>
              <w:rPr>
                <w:rFonts w:ascii="Arial" w:cs="Arial" w:eastAsia="Arial" w:hAnsi="Arial"/>
                <w:sz w:val="14"/>
                <w:szCs w:val="14"/>
                <w:color w:val="auto"/>
              </w:rPr>
              <w:t>Acquisition related charges, net of income taxes (1)</w:t>
            </w:r>
          </w:p>
        </w:tc>
        <w:tc>
          <w:tcPr>
            <w:tcW w:w="36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8.3</w:t>
            </w:r>
          </w:p>
        </w:tc>
      </w:tr>
      <w:tr>
        <w:trPr>
          <w:trHeight w:val="276"/>
        </w:trPr>
        <w:tc>
          <w:tcPr>
            <w:tcW w:w="6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Severance and other restructuring-related costs, net of income taxes (2)</w:t>
            </w: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180" w:type="dxa"/>
            <w:vAlign w:val="bottom"/>
          </w:tcPr>
          <w:p>
            <w:pPr>
              <w:ind w:left="280"/>
              <w:spacing w:after="0"/>
              <w:rPr>
                <w:sz w:val="20"/>
                <w:szCs w:val="20"/>
                <w:color w:val="auto"/>
              </w:rPr>
            </w:pPr>
            <w:r>
              <w:rPr>
                <w:rFonts w:ascii="Arial" w:cs="Arial" w:eastAsia="Arial" w:hAnsi="Arial"/>
                <w:sz w:val="14"/>
                <w:szCs w:val="14"/>
                <w:color w:val="auto"/>
              </w:rPr>
              <w:t>Valuation allowance against the net U.S. deferred tax assets</w:t>
            </w:r>
          </w:p>
        </w:tc>
        <w:tc>
          <w:tcPr>
            <w:tcW w:w="36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76.9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6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net income attributable to World Fuel</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45.1</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132.6</w:t>
            </w:r>
          </w:p>
        </w:tc>
      </w:tr>
      <w:tr>
        <w:trPr>
          <w:trHeight w:val="264"/>
        </w:trPr>
        <w:tc>
          <w:tcPr>
            <w:tcW w:w="6180" w:type="dxa"/>
            <w:vAlign w:val="bottom"/>
          </w:tcPr>
          <w:p>
            <w:pPr>
              <w:ind w:left="280"/>
              <w:spacing w:after="0"/>
              <w:rPr>
                <w:sz w:val="20"/>
                <w:szCs w:val="20"/>
                <w:color w:val="auto"/>
              </w:rPr>
            </w:pPr>
            <w:r>
              <w:rPr>
                <w:rFonts w:ascii="Arial" w:cs="Arial" w:eastAsia="Arial" w:hAnsi="Arial"/>
                <w:sz w:val="14"/>
                <w:szCs w:val="14"/>
                <w:color w:val="auto"/>
              </w:rPr>
              <w:t>Share-based compensation expense, net of income taxes (3)</w:t>
            </w:r>
          </w:p>
        </w:tc>
        <w:tc>
          <w:tcPr>
            <w:tcW w:w="36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9.9</w:t>
            </w:r>
          </w:p>
        </w:tc>
      </w:tr>
      <w:tr>
        <w:trPr>
          <w:trHeight w:val="270"/>
        </w:trPr>
        <w:tc>
          <w:tcPr>
            <w:tcW w:w="6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 amortization expense, net of income taxes (4)</w:t>
            </w:r>
          </w:p>
        </w:tc>
        <w:tc>
          <w:tcPr>
            <w:tcW w:w="3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r>
      <w:tr>
        <w:trPr>
          <w:trHeight w:val="283"/>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Non-GAAP net income attributable to World Fuel</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57.2</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163.5</w:t>
            </w:r>
          </w:p>
        </w:tc>
      </w:tr>
      <w:tr>
        <w:trPr>
          <w:trHeight w:val="251"/>
        </w:trPr>
        <w:tc>
          <w:tcPr>
            <w:tcW w:w="6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64"/>
        </w:trPr>
        <w:tc>
          <w:tcPr>
            <w:tcW w:w="6180" w:type="dxa"/>
            <w:vAlign w:val="bottom"/>
          </w:tcPr>
          <w:p>
            <w:pPr>
              <w:ind w:left="40"/>
              <w:spacing w:after="0"/>
              <w:rPr>
                <w:sz w:val="20"/>
                <w:szCs w:val="20"/>
                <w:color w:val="auto"/>
              </w:rPr>
            </w:pPr>
            <w:r>
              <w:rPr>
                <w:rFonts w:ascii="Arial" w:cs="Arial" w:eastAsia="Arial" w:hAnsi="Arial"/>
                <w:sz w:val="14"/>
                <w:szCs w:val="14"/>
                <w:color w:val="auto"/>
              </w:rPr>
              <w:t>GAAP diluted earnings per common share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(0.57)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0.61</w:t>
            </w:r>
          </w:p>
        </w:tc>
        <w:tc>
          <w:tcPr>
            <w:tcW w:w="10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0.33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1.78</w:t>
            </w:r>
          </w:p>
        </w:tc>
      </w:tr>
      <w:tr>
        <w:trPr>
          <w:trHeight w:val="276"/>
        </w:trPr>
        <w:tc>
          <w:tcPr>
            <w:tcW w:w="6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 related charges, net of income taxes (1)</w:t>
            </w: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0.12</w:t>
            </w:r>
          </w:p>
        </w:tc>
      </w:tr>
      <w:tr>
        <w:trPr>
          <w:trHeight w:val="264"/>
        </w:trPr>
        <w:tc>
          <w:tcPr>
            <w:tcW w:w="6180" w:type="dxa"/>
            <w:vAlign w:val="bottom"/>
          </w:tcPr>
          <w:p>
            <w:pPr>
              <w:ind w:left="280"/>
              <w:spacing w:after="0"/>
              <w:rPr>
                <w:sz w:val="20"/>
                <w:szCs w:val="20"/>
                <w:color w:val="auto"/>
              </w:rPr>
            </w:pPr>
            <w:r>
              <w:rPr>
                <w:rFonts w:ascii="Arial" w:cs="Arial" w:eastAsia="Arial" w:hAnsi="Arial"/>
                <w:sz w:val="14"/>
                <w:szCs w:val="14"/>
                <w:color w:val="auto"/>
              </w:rPr>
              <w:t>Severance and other restructuring-related costs, net of income taxes (2)</w:t>
            </w:r>
          </w:p>
        </w:tc>
        <w:tc>
          <w:tcPr>
            <w:tcW w:w="36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Valuation allowance against the net U.S. deferred tax assets</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180" w:type="dxa"/>
            <w:vAlign w:val="bottom"/>
          </w:tcPr>
          <w:p>
            <w:pPr>
              <w:ind w:left="40"/>
              <w:spacing w:after="0"/>
              <w:rPr>
                <w:sz w:val="20"/>
                <w:szCs w:val="20"/>
                <w:color w:val="auto"/>
              </w:rPr>
            </w:pPr>
            <w:r>
              <w:rPr>
                <w:rFonts w:ascii="Arial" w:cs="Arial" w:eastAsia="Arial" w:hAnsi="Arial"/>
                <w:sz w:val="14"/>
                <w:szCs w:val="14"/>
                <w:color w:val="auto"/>
              </w:rPr>
              <w:t>Adjusted diluted earnings per common share</w:t>
            </w: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0.60</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0.65</w:t>
            </w:r>
          </w:p>
        </w:tc>
        <w:tc>
          <w:tcPr>
            <w:tcW w:w="100" w:type="dxa"/>
            <w:vAlign w:val="bottom"/>
          </w:tcPr>
          <w:p>
            <w:pPr>
              <w:spacing w:after="0"/>
              <w:rPr>
                <w:sz w:val="21"/>
                <w:szCs w:val="21"/>
                <w:color w:val="auto"/>
              </w:rPr>
            </w:pPr>
          </w:p>
        </w:tc>
        <w:tc>
          <w:tcPr>
            <w:tcW w:w="44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1.90</w:t>
            </w:r>
          </w:p>
        </w:tc>
      </w:tr>
      <w:tr>
        <w:trPr>
          <w:trHeight w:val="276"/>
        </w:trPr>
        <w:tc>
          <w:tcPr>
            <w:tcW w:w="6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Share-based compensation expense, net of income taxes (3)</w:t>
            </w: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0.14</w:t>
            </w:r>
          </w:p>
        </w:tc>
      </w:tr>
      <w:tr>
        <w:trPr>
          <w:trHeight w:val="264"/>
        </w:trPr>
        <w:tc>
          <w:tcPr>
            <w:tcW w:w="61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Intangible asset amortization expense, net of income taxes (4)</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0.12</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0.30</w:t>
            </w:r>
          </w:p>
        </w:tc>
      </w:tr>
      <w:tr>
        <w:trPr>
          <w:trHeight w:val="23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Non-GAAP diluted earnings per common share</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2.34</w:t>
            </w:r>
          </w:p>
        </w:tc>
      </w:tr>
      <w:tr>
        <w:trPr>
          <w:trHeight w:val="20"/>
        </w:trPr>
        <w:tc>
          <w:tcPr>
            <w:tcW w:w="6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660" w:right="100" w:hanging="328"/>
        <w:spacing w:after="0" w:line="273"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pre-tax amount of acquisition related charges was $1.3 million and $2.6 million for the three months ended September 30, 2017 and 2016, and $6.8 million and $10.0 million for the nine months ended September 30, 2017 and 2016, respectively.</w:t>
      </w:r>
    </w:p>
    <w:p>
      <w:pPr>
        <w:spacing w:after="0" w:line="133"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pre-tax amount of severance and other restructuring-related costs was $2.1 million and $7.1 million for the three and nine months ended September 30, 2017, respectively.</w:t>
      </w:r>
    </w:p>
    <w:p>
      <w:pPr>
        <w:spacing w:after="0" w:line="188" w:lineRule="exact"/>
        <w:rPr>
          <w:rFonts w:ascii="Arial" w:cs="Arial" w:eastAsia="Arial" w:hAnsi="Arial"/>
          <w:sz w:val="13"/>
          <w:szCs w:val="13"/>
          <w:color w:val="auto"/>
        </w:rPr>
      </w:pPr>
    </w:p>
    <w:p>
      <w:pPr>
        <w:ind w:left="660" w:right="400" w:hanging="328"/>
        <w:spacing w:after="0" w:line="273"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pre-tax amount of share-based compensation expense was $6.0 million and $5.8 million for the three months ended September 30, 2017 and 2016, and $15.2 million and $14.5 million for the nine months ended September 30, 2017 and 2016, respectively.</w:t>
      </w:r>
    </w:p>
    <w:p>
      <w:pPr>
        <w:spacing w:after="0" w:line="133" w:lineRule="exact"/>
        <w:rPr>
          <w:rFonts w:ascii="Arial" w:cs="Arial" w:eastAsia="Arial" w:hAnsi="Arial"/>
          <w:sz w:val="14"/>
          <w:szCs w:val="14"/>
          <w:color w:val="auto"/>
        </w:rPr>
      </w:pPr>
    </w:p>
    <w:p>
      <w:pPr>
        <w:ind w:left="660" w:right="160" w:hanging="328"/>
        <w:spacing w:after="0" w:line="273"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pre-tax amount of intangible asset amortization expense attributable to World Fuel Services was $9.9 million and $10.3 million for the three months ended September 30, 2017 and 2016, , and $30.1 million and $26.8 million for the nine months ended September 30, 2017 and 2016, respectively.</w:t>
      </w:r>
    </w:p>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SEGMENTS INFORMATION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6"/>
                <w:szCs w:val="16"/>
                <w:color w:val="auto"/>
              </w:rPr>
            </w:pPr>
          </w:p>
        </w:tc>
        <w:tc>
          <w:tcPr>
            <w:tcW w:w="216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276"/>
        </w:trPr>
        <w:tc>
          <w:tcPr>
            <w:tcW w:w="61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264"/>
        </w:trPr>
        <w:tc>
          <w:tcPr>
            <w:tcW w:w="6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300" w:type="dxa"/>
            <w:vAlign w:val="bottom"/>
            <w:gridSpan w:val="2"/>
          </w:tcPr>
          <w:p>
            <w:pPr>
              <w:ind w:left="180"/>
              <w:spacing w:after="0"/>
              <w:rPr>
                <w:sz w:val="20"/>
                <w:szCs w:val="20"/>
                <w:color w:val="auto"/>
              </w:rPr>
            </w:pPr>
            <w:r>
              <w:rPr>
                <w:rFonts w:ascii="Arial" w:cs="Arial" w:eastAsia="Arial" w:hAnsi="Arial"/>
                <w:sz w:val="14"/>
                <w:szCs w:val="14"/>
                <w:color w:val="auto"/>
              </w:rPr>
              <w:t>Aviation segment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3,705.8</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2,969.2</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10,531.6</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7,810.2</w:t>
            </w:r>
          </w:p>
        </w:tc>
        <w:tc>
          <w:tcPr>
            <w:tcW w:w="0" w:type="dxa"/>
            <w:vAlign w:val="bottom"/>
          </w:tcPr>
          <w:p>
            <w:pPr>
              <w:spacing w:after="0"/>
              <w:rPr>
                <w:sz w:val="1"/>
                <w:szCs w:val="1"/>
                <w:color w:val="auto"/>
              </w:rPr>
            </w:pPr>
          </w:p>
        </w:tc>
      </w:tr>
      <w:tr>
        <w:trPr>
          <w:trHeight w:val="276"/>
        </w:trPr>
        <w:tc>
          <w:tcPr>
            <w:tcW w:w="6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2,770.5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2,509.8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8,117.9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6,375.9</w:t>
            </w:r>
          </w:p>
        </w:tc>
        <w:tc>
          <w:tcPr>
            <w:tcW w:w="0" w:type="dxa"/>
            <w:vAlign w:val="bottom"/>
          </w:tcPr>
          <w:p>
            <w:pPr>
              <w:spacing w:after="0"/>
              <w:rPr>
                <w:sz w:val="1"/>
                <w:szCs w:val="1"/>
                <w:color w:val="auto"/>
              </w:rPr>
            </w:pPr>
          </w:p>
        </w:tc>
      </w:tr>
      <w:tr>
        <w:trPr>
          <w:trHeight w:val="264"/>
        </w:trPr>
        <w:tc>
          <w:tcPr>
            <w:tcW w:w="6300" w:type="dxa"/>
            <w:vAlign w:val="bottom"/>
            <w:gridSpan w:val="2"/>
          </w:tcPr>
          <w:p>
            <w:pPr>
              <w:ind w:left="180"/>
              <w:spacing w:after="0"/>
              <w:rPr>
                <w:sz w:val="20"/>
                <w:szCs w:val="20"/>
                <w:color w:val="auto"/>
              </w:rPr>
            </w:pPr>
            <w:r>
              <w:rPr>
                <w:rFonts w:ascii="Arial" w:cs="Arial" w:eastAsia="Arial" w:hAnsi="Arial"/>
                <w:sz w:val="14"/>
                <w:szCs w:val="14"/>
                <w:color w:val="auto"/>
              </w:rPr>
              <w:t>Marine segment</w:t>
            </w:r>
          </w:p>
        </w:tc>
        <w:tc>
          <w:tcPr>
            <w:tcW w:w="3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2,066.7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1,920.7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6,173.9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5,037.5</w:t>
            </w:r>
          </w:p>
        </w:tc>
        <w:tc>
          <w:tcPr>
            <w:tcW w:w="0" w:type="dxa"/>
            <w:vAlign w:val="bottom"/>
          </w:tcPr>
          <w:p>
            <w:pPr>
              <w:spacing w:after="0"/>
              <w:rPr>
                <w:sz w:val="1"/>
                <w:szCs w:val="1"/>
                <w:color w:val="auto"/>
              </w:rPr>
            </w:pPr>
          </w:p>
        </w:tc>
      </w:tr>
      <w:tr>
        <w:trPr>
          <w:trHeight w:val="237"/>
        </w:trPr>
        <w:tc>
          <w:tcPr>
            <w:tcW w:w="6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8,543.0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7,399.8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24,823.4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19,223.6</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ind w:left="40"/>
              <w:spacing w:after="0"/>
              <w:rPr>
                <w:sz w:val="20"/>
                <w:szCs w:val="20"/>
                <w:color w:val="auto"/>
              </w:rPr>
            </w:pPr>
            <w:r>
              <w:rPr>
                <w:rFonts w:ascii="Arial" w:cs="Arial" w:eastAsia="Arial" w:hAnsi="Arial"/>
                <w:sz w:val="14"/>
                <w:szCs w:val="14"/>
                <w:color w:val="auto"/>
              </w:rPr>
              <w:t>Gross profit:</w:t>
            </w: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300" w:type="dxa"/>
            <w:vAlign w:val="bottom"/>
            <w:gridSpan w:val="2"/>
            <w:vMerge w:val="continue"/>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298.9</w:t>
            </w:r>
          </w:p>
        </w:tc>
        <w:tc>
          <w:tcPr>
            <w:tcW w:w="0" w:type="dxa"/>
            <w:vAlign w:val="bottom"/>
          </w:tcPr>
          <w:p>
            <w:pPr>
              <w:spacing w:after="0"/>
              <w:rPr>
                <w:sz w:val="1"/>
                <w:szCs w:val="1"/>
                <w:color w:val="auto"/>
              </w:rPr>
            </w:pPr>
          </w:p>
        </w:tc>
      </w:tr>
      <w:tr>
        <w:trPr>
          <w:trHeight w:val="264"/>
        </w:trPr>
        <w:tc>
          <w:tcPr>
            <w:tcW w:w="6300" w:type="dxa"/>
            <w:vAlign w:val="bottom"/>
            <w:gridSpan w:val="2"/>
          </w:tcPr>
          <w:p>
            <w:pPr>
              <w:ind w:left="180"/>
              <w:spacing w:after="0"/>
              <w:rPr>
                <w:sz w:val="20"/>
                <w:szCs w:val="20"/>
                <w:color w:val="auto"/>
              </w:rPr>
            </w:pPr>
            <w:r>
              <w:rPr>
                <w:rFonts w:ascii="Arial" w:cs="Arial" w:eastAsia="Arial" w:hAnsi="Arial"/>
                <w:sz w:val="14"/>
                <w:szCs w:val="14"/>
                <w:color w:val="auto"/>
              </w:rPr>
              <w:t>Land segment</w:t>
            </w:r>
          </w:p>
        </w:tc>
        <w:tc>
          <w:tcPr>
            <w:tcW w:w="3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270.5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261.7</w:t>
            </w:r>
          </w:p>
        </w:tc>
        <w:tc>
          <w:tcPr>
            <w:tcW w:w="0" w:type="dxa"/>
            <w:vAlign w:val="bottom"/>
          </w:tcPr>
          <w:p>
            <w:pPr>
              <w:spacing w:after="0"/>
              <w:rPr>
                <w:sz w:val="1"/>
                <w:szCs w:val="1"/>
                <w:color w:val="auto"/>
              </w:rPr>
            </w:pPr>
          </w:p>
        </w:tc>
      </w:tr>
      <w:tr>
        <w:trPr>
          <w:trHeight w:val="270"/>
        </w:trPr>
        <w:tc>
          <w:tcPr>
            <w:tcW w:w="6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116.0</w:t>
            </w:r>
          </w:p>
        </w:tc>
        <w:tc>
          <w:tcPr>
            <w:tcW w:w="0" w:type="dxa"/>
            <w:vAlign w:val="bottom"/>
          </w:tcPr>
          <w:p>
            <w:pPr>
              <w:spacing w:after="0"/>
              <w:rPr>
                <w:sz w:val="1"/>
                <w:szCs w:val="1"/>
                <w:color w:val="auto"/>
              </w:rPr>
            </w:pPr>
          </w:p>
        </w:tc>
      </w:tr>
      <w:tr>
        <w:trPr>
          <w:trHeight w:val="277"/>
        </w:trPr>
        <w:tc>
          <w:tcPr>
            <w:tcW w:w="6180" w:type="dxa"/>
            <w:vAlign w:val="bottom"/>
            <w:tcBorders>
              <w:top w:val="single" w:sz="8" w:color="auto"/>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239.9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236.7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702.3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676.7</w:t>
            </w:r>
          </w:p>
        </w:tc>
        <w:tc>
          <w:tcPr>
            <w:tcW w:w="0" w:type="dxa"/>
            <w:vAlign w:val="bottom"/>
          </w:tcPr>
          <w:p>
            <w:pPr>
              <w:spacing w:after="0"/>
              <w:rPr>
                <w:sz w:val="1"/>
                <w:szCs w:val="1"/>
                <w:color w:val="auto"/>
              </w:rPr>
            </w:pPr>
          </w:p>
        </w:tc>
      </w:tr>
      <w:tr>
        <w:trPr>
          <w:trHeight w:val="270"/>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300" w:type="dxa"/>
            <w:vAlign w:val="bottom"/>
            <w:gridSpan w:val="2"/>
          </w:tcPr>
          <w:p>
            <w:pPr>
              <w:ind w:left="180"/>
              <w:spacing w:after="0"/>
              <w:rPr>
                <w:sz w:val="20"/>
                <w:szCs w:val="20"/>
                <w:color w:val="auto"/>
              </w:rPr>
            </w:pPr>
            <w:r>
              <w:rPr>
                <w:rFonts w:ascii="Arial" w:cs="Arial" w:eastAsia="Arial" w:hAnsi="Arial"/>
                <w:sz w:val="14"/>
                <w:szCs w:val="14"/>
                <w:color w:val="auto"/>
              </w:rPr>
              <w:t>Aviation segment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61.6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151.7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123.8</w:t>
            </w:r>
          </w:p>
        </w:tc>
        <w:tc>
          <w:tcPr>
            <w:tcW w:w="0" w:type="dxa"/>
            <w:vAlign w:val="bottom"/>
          </w:tcPr>
          <w:p>
            <w:pPr>
              <w:spacing w:after="0"/>
              <w:rPr>
                <w:sz w:val="1"/>
                <w:szCs w:val="1"/>
                <w:color w:val="auto"/>
              </w:rPr>
            </w:pPr>
          </w:p>
        </w:tc>
      </w:tr>
      <w:tr>
        <w:trPr>
          <w:trHeight w:val="276"/>
        </w:trPr>
        <w:tc>
          <w:tcPr>
            <w:tcW w:w="6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64"/>
        </w:trPr>
        <w:tc>
          <w:tcPr>
            <w:tcW w:w="6300" w:type="dxa"/>
            <w:vAlign w:val="bottom"/>
            <w:gridSpan w:val="2"/>
          </w:tcPr>
          <w:p>
            <w:pPr>
              <w:ind w:left="180"/>
              <w:spacing w:after="0"/>
              <w:rPr>
                <w:sz w:val="20"/>
                <w:szCs w:val="20"/>
                <w:color w:val="auto"/>
              </w:rPr>
            </w:pPr>
            <w:r>
              <w:rPr>
                <w:rFonts w:ascii="Arial" w:cs="Arial" w:eastAsia="Arial" w:hAnsi="Arial"/>
                <w:sz w:val="14"/>
                <w:szCs w:val="14"/>
                <w:color w:val="auto"/>
              </w:rPr>
              <w:t>Marine segment</w:t>
            </w:r>
          </w:p>
        </w:tc>
        <w:tc>
          <w:tcPr>
            <w:tcW w:w="3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56"/>
        </w:trPr>
        <w:tc>
          <w:tcPr>
            <w:tcW w:w="61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76.8</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218.4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220.5</w:t>
            </w:r>
          </w:p>
        </w:tc>
        <w:tc>
          <w:tcPr>
            <w:tcW w:w="0" w:type="dxa"/>
            <w:vAlign w:val="bottom"/>
          </w:tcPr>
          <w:p>
            <w:pPr>
              <w:spacing w:after="0"/>
              <w:rPr>
                <w:sz w:val="1"/>
                <w:szCs w:val="1"/>
                <w:color w:val="auto"/>
              </w:rPr>
            </w:pPr>
          </w:p>
        </w:tc>
      </w:tr>
      <w:tr>
        <w:trPr>
          <w:trHeight w:val="264"/>
        </w:trPr>
        <w:tc>
          <w:tcPr>
            <w:tcW w:w="6300" w:type="dxa"/>
            <w:vAlign w:val="bottom"/>
            <w:gridSpan w:val="2"/>
          </w:tcPr>
          <w:p>
            <w:pPr>
              <w:ind w:left="180"/>
              <w:spacing w:after="0"/>
              <w:rPr>
                <w:sz w:val="20"/>
                <w:szCs w:val="20"/>
                <w:color w:val="auto"/>
              </w:rPr>
            </w:pPr>
            <w:r>
              <w:rPr>
                <w:rFonts w:ascii="Arial" w:cs="Arial" w:eastAsia="Arial" w:hAnsi="Arial"/>
                <w:sz w:val="14"/>
                <w:szCs w:val="14"/>
                <w:color w:val="auto"/>
              </w:rPr>
              <w:t>Corporate overhead - unallocated</w:t>
            </w:r>
          </w:p>
        </w:tc>
        <w:tc>
          <w:tcPr>
            <w:tcW w:w="36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237"/>
        </w:trPr>
        <w:tc>
          <w:tcPr>
            <w:tcW w:w="618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VOLUME SUPPLEMENTAL INFORMATION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For the Three Months Ended</w:t>
            </w:r>
          </w:p>
        </w:tc>
        <w:tc>
          <w:tcPr>
            <w:tcW w:w="248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6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1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Volume (Gallons):</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56"/>
        </w:trPr>
        <w:tc>
          <w:tcPr>
            <w:tcW w:w="63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Aviation Segment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2,059.2</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1,892.8</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5,921.7</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5,242.4</w:t>
            </w:r>
          </w:p>
        </w:tc>
      </w:tr>
      <w:tr>
        <w:trPr>
          <w:trHeight w:val="264"/>
        </w:trPr>
        <w:tc>
          <w:tcPr>
            <w:tcW w:w="6300" w:type="dxa"/>
            <w:vAlign w:val="bottom"/>
            <w:gridSpan w:val="2"/>
          </w:tcPr>
          <w:p>
            <w:pPr>
              <w:ind w:left="280"/>
              <w:spacing w:after="0"/>
              <w:rPr>
                <w:sz w:val="20"/>
                <w:szCs w:val="20"/>
                <w:color w:val="auto"/>
              </w:rPr>
            </w:pPr>
            <w:r>
              <w:rPr>
                <w:rFonts w:ascii="Arial" w:cs="Arial" w:eastAsia="Arial" w:hAnsi="Arial"/>
                <w:sz w:val="14"/>
                <w:szCs w:val="14"/>
                <w:color w:val="auto"/>
              </w:rPr>
              <w:t>Land Segment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1,497.4</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1,421.7</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4,466.8</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3,878.6</w:t>
            </w:r>
          </w:p>
        </w:tc>
      </w:tr>
      <w:tr>
        <w:trPr>
          <w:trHeight w:val="270"/>
        </w:trPr>
        <w:tc>
          <w:tcPr>
            <w:tcW w:w="61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Marine Segment </w:t>
            </w:r>
            <w:r>
              <w:rPr>
                <w:rFonts w:ascii="Arial" w:cs="Arial" w:eastAsia="Arial" w:hAnsi="Arial"/>
                <w:sz w:val="8"/>
                <w:szCs w:val="8"/>
                <w:color w:val="auto"/>
              </w:rPr>
              <w:t>(1)</w:t>
            </w:r>
          </w:p>
        </w:tc>
        <w:tc>
          <w:tcPr>
            <w:tcW w:w="12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1,799.5</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2,071.3</w:t>
            </w: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5,388.6</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6,262.9</w:t>
            </w:r>
          </w:p>
        </w:tc>
      </w:tr>
      <w:tr>
        <w:trPr>
          <w:trHeight w:val="237"/>
        </w:trPr>
        <w:tc>
          <w:tcPr>
            <w:tcW w:w="6300" w:type="dxa"/>
            <w:vAlign w:val="bottom"/>
            <w:gridSpan w:val="2"/>
          </w:tcPr>
          <w:p>
            <w:pPr>
              <w:ind w:left="280"/>
              <w:spacing w:after="0"/>
              <w:rPr>
                <w:sz w:val="20"/>
                <w:szCs w:val="20"/>
                <w:color w:val="auto"/>
              </w:rPr>
            </w:pPr>
            <w:r>
              <w:rPr>
                <w:rFonts w:ascii="Arial" w:cs="Arial" w:eastAsia="Arial" w:hAnsi="Arial"/>
                <w:sz w:val="14"/>
                <w:szCs w:val="14"/>
                <w:color w:val="auto"/>
              </w:rPr>
              <w:t>Consolidated Total</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5,356.2</w:t>
            </w: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5,385.8</w:t>
            </w:r>
          </w:p>
        </w:tc>
        <w:tc>
          <w:tcPr>
            <w:tcW w:w="120" w:type="dxa"/>
            <w:vAlign w:val="bottom"/>
          </w:tcPr>
          <w:p>
            <w:pPr>
              <w:spacing w:after="0"/>
              <w:rPr>
                <w:sz w:val="20"/>
                <w:szCs w:val="20"/>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15,777.1</w:t>
            </w: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15,383.9</w:t>
            </w:r>
          </w:p>
        </w:tc>
      </w:tr>
      <w:tr>
        <w:trPr>
          <w:trHeight w:val="20"/>
        </w:trPr>
        <w:tc>
          <w:tcPr>
            <w:tcW w:w="6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Converted from metric tons to gallons at a rate of 264 gallons per metric ton. Marine segment metric tons were 6.8 and 20.4 for the three and nine months ended September 30, 2017.</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World Fuel Services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 M Birns, 305-428-8000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&amp;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Glenn Klevitz, 305-428-8000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Assistant Treasurer &amp; Investor Relations</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2019-12-29T03:47:21Z</dcterms:created>
  <dcterms:modified xsi:type="dcterms:W3CDTF">2019-12-29T03:47:21Z</dcterms:modified>
</cp:coreProperties>
</file>