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260" w:hanging="448"/>
        <w:spacing w:after="0" w:line="256" w:lineRule="auto"/>
        <w:tabs>
          <w:tab w:leader="none" w:pos="65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16" w:lineRule="exact"/>
        <w:rPr>
          <w:sz w:val="24"/>
          <w:szCs w:val="24"/>
          <w:color w:val="auto"/>
        </w:rPr>
      </w:pPr>
    </w:p>
    <w:p>
      <w:pPr>
        <w:ind w:left="780" w:right="220" w:hanging="448"/>
        <w:spacing w:after="0" w:line="256" w:lineRule="auto"/>
        <w:tabs>
          <w:tab w:leader="none" w:pos="69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12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154940</wp:posOffset>
            </wp:positionV>
            <wp:extent cx="1920875"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87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tbl>
      <w:tblPr>
        <w:tblLayout w:type="fixed"/>
        <w:tblInd w:w="1400" w:type="dxa"/>
        <w:tblCellMar>
          <w:top w:w="0" w:type="dxa"/>
          <w:left w:w="0" w:type="dxa"/>
          <w:bottom w:w="0" w:type="dxa"/>
          <w:right w:w="0" w:type="dxa"/>
        </w:tblCellMar>
      </w:tblPr>
      <w:tr>
        <w:trPr>
          <w:trHeight w:val="230"/>
        </w:trPr>
        <w:tc>
          <w:tcPr>
            <w:tcW w:w="6340" w:type="dxa"/>
            <w:vAlign w:val="bottom"/>
          </w:tcPr>
          <w:p>
            <w:pPr>
              <w:ind w:left="2460"/>
              <w:spacing w:after="0"/>
              <w:rPr>
                <w:sz w:val="20"/>
                <w:szCs w:val="20"/>
                <w:color w:val="auto"/>
              </w:rPr>
            </w:pPr>
            <w:r>
              <w:rPr>
                <w:rFonts w:ascii="Arial" w:cs="Arial" w:eastAsia="Arial" w:hAnsi="Arial"/>
                <w:sz w:val="18"/>
                <w:szCs w:val="18"/>
                <w:color w:val="auto"/>
                <w:w w:val="94"/>
              </w:rPr>
              <w:t>(Exact name of registrant as specified in its charter)</w:t>
            </w:r>
          </w:p>
        </w:tc>
        <w:tc>
          <w:tcPr>
            <w:tcW w:w="1500" w:type="dxa"/>
            <w:vAlign w:val="bottom"/>
          </w:tcPr>
          <w:p>
            <w:pPr>
              <w:spacing w:after="0"/>
              <w:rPr>
                <w:sz w:val="20"/>
                <w:szCs w:val="20"/>
                <w:color w:val="auto"/>
              </w:rPr>
            </w:pPr>
          </w:p>
        </w:tc>
      </w:tr>
      <w:tr>
        <w:trPr>
          <w:trHeight w:val="402"/>
        </w:trPr>
        <w:tc>
          <w:tcPr>
            <w:tcW w:w="6340" w:type="dxa"/>
            <w:vAlign w:val="bottom"/>
          </w:tcPr>
          <w:p>
            <w:pPr>
              <w:jc w:val="center"/>
              <w:ind w:right="3330"/>
              <w:spacing w:after="0"/>
              <w:rPr>
                <w:sz w:val="20"/>
                <w:szCs w:val="20"/>
                <w:color w:val="auto"/>
              </w:rPr>
            </w:pPr>
            <w:r>
              <w:rPr>
                <w:rFonts w:ascii="Arial" w:cs="Arial" w:eastAsia="Arial" w:hAnsi="Arial"/>
                <w:sz w:val="18"/>
                <w:szCs w:val="18"/>
                <w:b w:val="1"/>
                <w:bCs w:val="1"/>
                <w:color w:val="auto"/>
                <w:w w:val="93"/>
              </w:rPr>
              <w:t>Florida</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6340" w:type="dxa"/>
            <w:vAlign w:val="bottom"/>
          </w:tcPr>
          <w:p>
            <w:pPr>
              <w:jc w:val="center"/>
              <w:ind w:right="3330"/>
              <w:spacing w:after="0"/>
              <w:rPr>
                <w:sz w:val="20"/>
                <w:szCs w:val="20"/>
                <w:color w:val="auto"/>
              </w:rPr>
            </w:pPr>
            <w:r>
              <w:rPr>
                <w:rFonts w:ascii="Arial" w:cs="Arial" w:eastAsia="Arial" w:hAnsi="Arial"/>
                <w:sz w:val="18"/>
                <w:szCs w:val="18"/>
                <w:color w:val="auto"/>
                <w:w w:val="92"/>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30"/>
        </w:trPr>
        <w:tc>
          <w:tcPr>
            <w:tcW w:w="6340" w:type="dxa"/>
            <w:vAlign w:val="bottom"/>
          </w:tcPr>
          <w:p>
            <w:pPr>
              <w:jc w:val="center"/>
              <w:ind w:right="333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340" w:type="dxa"/>
            <w:vAlign w:val="bottom"/>
          </w:tcPr>
          <w:p>
            <w:pPr>
              <w:jc w:val="center"/>
              <w:ind w:right="3330"/>
              <w:spacing w:after="0"/>
              <w:rPr>
                <w:sz w:val="20"/>
                <w:szCs w:val="20"/>
                <w:color w:val="auto"/>
              </w:rPr>
            </w:pPr>
            <w:r>
              <w:rPr>
                <w:rFonts w:ascii="Arial" w:cs="Arial" w:eastAsia="Arial" w:hAnsi="Arial"/>
                <w:sz w:val="18"/>
                <w:szCs w:val="18"/>
                <w:b w:val="1"/>
                <w:bCs w:val="1"/>
                <w:color w:val="auto"/>
                <w:w w:val="89"/>
              </w:rPr>
              <w:t>9800 N.W. 41</w:t>
            </w:r>
            <w:r>
              <w:rPr>
                <w:rFonts w:ascii="Arial" w:cs="Arial" w:eastAsia="Arial" w:hAnsi="Arial"/>
                <w:sz w:val="23"/>
                <w:szCs w:val="23"/>
                <w:b w:val="1"/>
                <w:bCs w:val="1"/>
                <w:color w:val="auto"/>
                <w:w w:val="89"/>
                <w:vertAlign w:val="superscript"/>
              </w:rPr>
              <w:t>st</w:t>
            </w:r>
            <w:r>
              <w:rPr>
                <w:rFonts w:ascii="Arial" w:cs="Arial" w:eastAsia="Arial" w:hAnsi="Arial"/>
                <w:sz w:val="18"/>
                <w:szCs w:val="18"/>
                <w:b w:val="1"/>
                <w:bCs w:val="1"/>
                <w:color w:val="auto"/>
                <w:w w:val="89"/>
              </w:rPr>
              <w:t xml:space="preserve"> Street, Suite 400</w:t>
            </w:r>
          </w:p>
        </w:tc>
        <w:tc>
          <w:tcPr>
            <w:tcW w:w="1500" w:type="dxa"/>
            <w:vAlign w:val="bottom"/>
          </w:tcPr>
          <w:p>
            <w:pPr>
              <w:spacing w:after="0"/>
              <w:rPr>
                <w:sz w:val="24"/>
                <w:szCs w:val="24"/>
                <w:color w:val="auto"/>
              </w:rPr>
            </w:pPr>
          </w:p>
        </w:tc>
      </w:tr>
      <w:tr>
        <w:trPr>
          <w:trHeight w:val="220"/>
        </w:trPr>
        <w:tc>
          <w:tcPr>
            <w:tcW w:w="6340" w:type="dxa"/>
            <w:vAlign w:val="bottom"/>
          </w:tcPr>
          <w:p>
            <w:pPr>
              <w:jc w:val="center"/>
              <w:ind w:right="3330"/>
              <w:spacing w:after="0"/>
              <w:rPr>
                <w:sz w:val="20"/>
                <w:szCs w:val="20"/>
                <w:color w:val="auto"/>
              </w:rPr>
            </w:pPr>
            <w:r>
              <w:rPr>
                <w:rFonts w:ascii="Arial" w:cs="Arial" w:eastAsia="Arial" w:hAnsi="Arial"/>
                <w:sz w:val="18"/>
                <w:szCs w:val="18"/>
                <w:b w:val="1"/>
                <w:bCs w:val="1"/>
                <w:color w:val="auto"/>
                <w:w w:val="95"/>
              </w:rPr>
              <w:t>Miami, Florida</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6340" w:type="dxa"/>
            <w:vAlign w:val="bottom"/>
          </w:tcPr>
          <w:p>
            <w:pPr>
              <w:jc w:val="center"/>
              <w:ind w:right="331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43" w:orient="portrait"/>
          <w:cols w:equalWidth="0" w:num="1">
            <w:col w:w="11420"/>
          </w:cols>
          <w:pgMar w:left="240" w:top="233" w:right="239" w:bottom="0" w:gutter="0" w:footer="0" w:header="0"/>
        </w:sectPr>
      </w:pPr>
    </w:p>
    <w:p>
      <w:pPr>
        <w:spacing w:after="0" w:line="170"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43"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43" w:orient="portrait"/>
          <w:cols w:equalWidth="0" w:num="2">
            <w:col w:w="6860" w:space="720"/>
            <w:col w:w="3840"/>
          </w:cols>
          <w:pgMar w:left="240" w:top="233" w:right="239" w:bottom="0" w:gutter="0" w:footer="0" w:header="0"/>
          <w:type w:val="continuous"/>
        </w:sectPr>
      </w:pPr>
    </w:p>
    <w:p>
      <w:pPr>
        <w:spacing w:after="0" w:line="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registrant had a total of 72,087,000 shares of common stock, par value $0.01 per share, issued and outstanding as of October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720" w:type="dxa"/>
            <w:vAlign w:val="bottom"/>
          </w:tcPr>
          <w:p>
            <w:pPr>
              <w:spacing w:after="0"/>
              <w:rPr>
                <w:sz w:val="17"/>
                <w:szCs w:val="17"/>
                <w:color w:val="auto"/>
              </w:rPr>
            </w:pPr>
          </w:p>
        </w:tc>
      </w:tr>
      <w:tr>
        <w:trPr>
          <w:trHeight w:val="45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720" w:type="dxa"/>
            <w:vAlign w:val="bottom"/>
          </w:tcPr>
          <w:p>
            <w:pPr>
              <w:jc w:val="right"/>
              <w:ind w:right="4930"/>
              <w:spacing w:after="0"/>
              <w:rPr>
                <w:sz w:val="20"/>
                <w:szCs w:val="20"/>
                <w:color w:val="auto"/>
              </w:rPr>
            </w:pPr>
            <w:r>
              <w:rPr>
                <w:rFonts w:ascii="Arial" w:cs="Arial" w:eastAsia="Arial" w:hAnsi="Arial"/>
                <w:sz w:val="18"/>
                <w:szCs w:val="18"/>
                <w:b w:val="1"/>
                <w:bCs w:val="1"/>
                <w:color w:val="auto"/>
              </w:rPr>
              <w:t>Table of Contents</w:t>
            </w:r>
          </w:p>
        </w:tc>
      </w:tr>
      <w:tr>
        <w:trPr>
          <w:trHeight w:val="392"/>
        </w:trPr>
        <w:tc>
          <w:tcPr>
            <w:tcW w:w="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29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7720" w:type="dxa"/>
            <w:vAlign w:val="bottom"/>
          </w:tcPr>
          <w:p>
            <w:pPr>
              <w:spacing w:after="0"/>
              <w:rPr>
                <w:sz w:val="24"/>
                <w:szCs w:val="24"/>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General</w:t>
              </w:r>
            </w:hyperlink>
          </w:p>
        </w:tc>
        <w:tc>
          <w:tcPr>
            <w:tcW w:w="100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7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bl>
    <w:p>
      <w:pPr>
        <w:sectPr>
          <w:pgSz w:w="11900" w:h="16843"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320" w:type="dxa"/>
            <w:vAlign w:val="bottom"/>
          </w:tcPr>
          <w:p>
            <w:pPr>
              <w:spacing w:after="0"/>
              <w:rPr>
                <w:sz w:val="17"/>
                <w:szCs w:val="17"/>
                <w:color w:val="auto"/>
              </w:rPr>
            </w:pPr>
          </w:p>
        </w:tc>
        <w:tc>
          <w:tcPr>
            <w:tcW w:w="938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40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gridSpan w:val="12"/>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September 30, 2012 and December 31, 2011</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gridSpan w:val="12"/>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Statements of Income and Comprehensive Income for the Three and Nine Months ended September 30, 2012 and</w:t>
              </w:r>
            </w:hyperlink>
          </w:p>
        </w:tc>
        <w:tc>
          <w:tcPr>
            <w:tcW w:w="4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2011</w:t>
              </w:r>
            </w:hyperlink>
          </w:p>
        </w:tc>
        <w:tc>
          <w:tcPr>
            <w:tcW w:w="1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Shareholders’ Equity for the Nine Months ended September 30, 2012 and 2011</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20" w:type="dxa"/>
            <w:vAlign w:val="bottom"/>
            <w:tcBorders>
              <w:top w:val="single" w:sz="8" w:color="0000EE"/>
            </w:tcBorders>
            <w:gridSpan w:val="10"/>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Cash Flows for the Nine Months ended September 30, 2012 and 2011</w:t>
              </w:r>
            </w:hyperlink>
          </w:p>
        </w:tc>
        <w:tc>
          <w:tcPr>
            <w:tcW w:w="16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Consolidated Financial Statements</w:t>
              </w:r>
            </w:hyperlink>
          </w:p>
        </w:tc>
        <w:tc>
          <w:tcPr>
            <w:tcW w:w="3620" w:type="dxa"/>
            <w:vAlign w:val="bottom"/>
            <w:tcBorders>
              <w:top w:val="single" w:sz="8" w:color="0000EE"/>
            </w:tcBorders>
            <w:gridSpan w:val="4"/>
          </w:tcPr>
          <w:p>
            <w:pPr>
              <w:spacing w:after="0"/>
              <w:rPr>
                <w:sz w:val="17"/>
                <w:szCs w:val="17"/>
                <w:color w:val="auto"/>
              </w:rPr>
            </w:pPr>
          </w:p>
        </w:tc>
        <w:tc>
          <w:tcPr>
            <w:tcW w:w="23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840" w:type="dxa"/>
            <w:vAlign w:val="bottom"/>
            <w:gridSpan w:val="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9380" w:type="dxa"/>
            <w:vAlign w:val="bottom"/>
            <w:gridSpan w:val="1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320" w:type="dxa"/>
            <w:vAlign w:val="bottom"/>
            <w:tcBorders>
              <w:top w:val="single" w:sz="8" w:color="0000EE"/>
            </w:tcBorders>
          </w:tcPr>
          <w:p>
            <w:pPr>
              <w:spacing w:after="0"/>
              <w:rPr>
                <w:sz w:val="24"/>
                <w:szCs w:val="24"/>
                <w:color w:val="auto"/>
              </w:rPr>
            </w:pPr>
          </w:p>
        </w:tc>
        <w:tc>
          <w:tcPr>
            <w:tcW w:w="6460" w:type="dxa"/>
            <w:vAlign w:val="bottom"/>
            <w:tcBorders>
              <w:top w:val="single" w:sz="8" w:color="0000EE"/>
            </w:tcBorders>
            <w:gridSpan w:val="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292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3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502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2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Part II.</w:t>
        </w:r>
      </w:hyperlink>
      <w:r>
        <w:rPr>
          <w:rFonts w:ascii="Arial" w:cs="Arial" w:eastAsia="Arial" w:hAnsi="Arial"/>
          <w:sz w:val="18"/>
          <w:szCs w:val="18"/>
          <w:u w:val="single" w:color="auto"/>
          <w:color w:val="0000EE"/>
        </w:rPr>
        <w:tab/>
      </w:r>
      <w:hyperlink w:anchor="page23">
        <w:r>
          <w:rPr>
            <w:rFonts w:ascii="Arial" w:cs="Arial" w:eastAsia="Arial" w:hAnsi="Arial"/>
            <w:sz w:val="16"/>
            <w:szCs w:val="16"/>
            <w:u w:val="single" w:color="auto"/>
            <w:color w:val="0000EE"/>
          </w:rPr>
          <w:t>Other Information</w:t>
        </w:r>
      </w:hyperlink>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320" w:type="dxa"/>
            <w:vAlign w:val="bottom"/>
          </w:tcPr>
          <w:p>
            <w:pPr>
              <w:spacing w:after="0"/>
              <w:rPr>
                <w:sz w:val="17"/>
                <w:szCs w:val="17"/>
                <w:color w:val="auto"/>
              </w:rPr>
            </w:pPr>
          </w:p>
        </w:tc>
        <w:tc>
          <w:tcPr>
            <w:tcW w:w="43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5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320" w:type="dxa"/>
            <w:vAlign w:val="bottom"/>
          </w:tcPr>
          <w:p>
            <w:pPr>
              <w:spacing w:after="0"/>
              <w:rPr>
                <w:sz w:val="24"/>
                <w:szCs w:val="24"/>
                <w:color w:val="auto"/>
              </w:rPr>
            </w:pPr>
          </w:p>
        </w:tc>
        <w:tc>
          <w:tcPr>
            <w:tcW w:w="436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5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following unaudited consolidated financial statements and notes thereto of World Fuel Services Corporation and its subsidiaries have been prepared in accordance with the instructions to Quarterly Reports on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which are of a normal and recurring nature, have been made for the interim periods reported. Results of operations for the three and nine months ended September 30, 2012 are not necessarily indicative of the results for the entire fiscal year. The unaudited consolidated financial statements and notes thereto included in this Quarterly Report on Form 10-Q for the quarterly period ended September 30, 2012 (“10-Q Report”) should be read in conjunction with the audited consolidated financial statements and notes thereto included in our Annual Report on Form 10-K for the fiscal year ended December 31, 2011 (“2011 10-K Report”). World Fuel Services Corporation (“World Fuel” or the “Company”) and its subsidiaries are collectively referred to in this 10-Q Report as “we,” “our” and “us.”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40" w:type="dxa"/>
            <w:vAlign w:val="bottom"/>
            <w:gridSpan w:val="2"/>
          </w:tcPr>
          <w:p>
            <w:pPr>
              <w:jc w:val="center"/>
              <w:ind w:right="550"/>
              <w:spacing w:after="0"/>
              <w:rPr>
                <w:sz w:val="20"/>
                <w:szCs w:val="20"/>
                <w:color w:val="auto"/>
              </w:rPr>
            </w:pPr>
            <w:r>
              <w:rPr>
                <w:rFonts w:ascii="Arial" w:cs="Arial" w:eastAsia="Arial" w:hAnsi="Arial"/>
                <w:sz w:val="18"/>
                <w:szCs w:val="18"/>
                <w:b w:val="1"/>
                <w:bCs w:val="1"/>
                <w:color w:val="auto"/>
                <w:w w:val="90"/>
              </w:rPr>
              <w:t>World Fuel Services Corporation and Subsidiaries</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840" w:type="dxa"/>
            <w:vAlign w:val="bottom"/>
            <w:gridSpan w:val="2"/>
          </w:tcPr>
          <w:p>
            <w:pPr>
              <w:jc w:val="center"/>
              <w:ind w:right="550"/>
              <w:spacing w:after="0"/>
              <w:rPr>
                <w:sz w:val="20"/>
                <w:szCs w:val="20"/>
                <w:color w:val="auto"/>
              </w:rPr>
            </w:pPr>
            <w:r>
              <w:rPr>
                <w:rFonts w:ascii="Arial" w:cs="Arial" w:eastAsia="Arial" w:hAnsi="Arial"/>
                <w:sz w:val="18"/>
                <w:szCs w:val="18"/>
                <w:b w:val="1"/>
                <w:bCs w:val="1"/>
                <w:color w:val="auto"/>
                <w:w w:val="87"/>
              </w:rPr>
              <w:t>Consolidated Balance Sheets</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840" w:type="dxa"/>
            <w:vAlign w:val="bottom"/>
            <w:gridSpan w:val="2"/>
          </w:tcPr>
          <w:p>
            <w:pPr>
              <w:jc w:val="center"/>
              <w:ind w:right="570"/>
              <w:spacing w:after="0"/>
              <w:rPr>
                <w:sz w:val="20"/>
                <w:szCs w:val="20"/>
                <w:color w:val="auto"/>
              </w:rPr>
            </w:pPr>
            <w:r>
              <w:rPr>
                <w:rFonts w:ascii="Arial" w:cs="Arial" w:eastAsia="Arial" w:hAnsi="Arial"/>
                <w:sz w:val="18"/>
                <w:szCs w:val="18"/>
                <w:color w:val="auto"/>
                <w:w w:val="89"/>
              </w:rPr>
              <w:t>(Unaudited - In thousands, except per share data)</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1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2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139,401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2,380,451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2,160,561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591,870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Prepaid expenses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234,011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109,297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181,829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4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3,527,562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3,122,227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gridSpan w:val="2"/>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101,742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396,923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Identifiable intangible assets, net</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117,722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other assets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 assets</w:t>
            </w:r>
          </w:p>
        </w:tc>
        <w:tc>
          <w:tcPr>
            <w:tcW w:w="46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4,178,465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3,697,246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6"/>
              </w:rPr>
              <w:t>Liabilities:</w:t>
            </w:r>
          </w:p>
        </w:tc>
        <w:tc>
          <w:tcPr>
            <w:tcW w:w="28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Short-term debt</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26,516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2,037,836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Customer deposits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121,321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Accrued expenses and other current liabilities</w:t>
            </w:r>
          </w:p>
        </w:tc>
        <w:tc>
          <w:tcPr>
            <w:tcW w:w="4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178,103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2,363,776</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2,026,142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260,649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liabilities, net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48,544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11,206</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2,684,175</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2,350,528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World Fuel shareholders’ equity: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$1.00 par value; 100 shares authorized, none issued</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100,000 shares authorized, 72,087 and 71,154 issued and outstanding as of</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September 30, 2012 and December 31, 2011, respectively</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721</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511,860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974,712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(15,255)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World Fuel shareholders’ equity</w:t>
            </w: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1,472,038</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equity</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22,252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1,494,290</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1,346,718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4,178,465</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3,697,246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9,911,673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9,510,792</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29,009,525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25,298,907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9,730,921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9,339,945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28,499,415</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24,826,190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180,752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510,110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65,843</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176,553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Provision for bad debt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4,413</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40,230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126,482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109,704</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99,922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307,448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280,164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71,048</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202,662</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line="196" w:lineRule="exact"/>
              <w:rPr>
                <w:sz w:val="20"/>
                <w:szCs w:val="20"/>
                <w:color w:val="auto"/>
              </w:rPr>
            </w:pPr>
            <w:r>
              <w:rPr>
                <w:rFonts w:ascii="Arial" w:cs="Arial" w:eastAsia="Arial" w:hAnsi="Arial"/>
                <w:sz w:val="18"/>
                <w:szCs w:val="18"/>
                <w:color w:val="auto"/>
              </w:rPr>
              <w:t>Non-operating expenses, net: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and other financing costs, net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(4,305)</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(14,403)</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838</w:t>
            </w:r>
          </w:p>
        </w:tc>
        <w:tc>
          <w:tcPr>
            <w:tcW w:w="4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1,316</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67,581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189,575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178,285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14,683</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33,249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including noncontrolling interest</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52,898</w:t>
            </w: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156,326</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9,817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World Fuel</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51,494</w:t>
            </w:r>
          </w:p>
        </w:tc>
        <w:tc>
          <w:tcPr>
            <w:tcW w:w="3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52,655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146,509</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143,967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0.72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71,216</w:t>
            </w:r>
          </w:p>
        </w:tc>
        <w:tc>
          <w:tcPr>
            <w:tcW w:w="42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70,939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71,128</w:t>
            </w:r>
          </w:p>
        </w:tc>
        <w:tc>
          <w:tcPr>
            <w:tcW w:w="42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70,593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0.72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Diluted weighted average common shares</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71,816</w:t>
            </w:r>
          </w:p>
        </w:tc>
        <w:tc>
          <w:tcPr>
            <w:tcW w:w="42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71,587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71,791</w:t>
            </w:r>
          </w:p>
        </w:tc>
        <w:tc>
          <w:tcPr>
            <w:tcW w:w="42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71,415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including noncontrolling interest</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52,898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53,842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156,326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(8,818)</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60"/>
              <w:spacing w:after="0" w:line="201" w:lineRule="exact"/>
              <w:rPr>
                <w:sz w:val="20"/>
                <w:szCs w:val="20"/>
                <w:color w:val="auto"/>
              </w:rPr>
            </w:pPr>
            <w:r>
              <w:rPr>
                <w:rFonts w:ascii="Arial" w:cs="Arial" w:eastAsia="Arial" w:hAnsi="Arial"/>
                <w:sz w:val="18"/>
                <w:szCs w:val="18"/>
                <w:color w:val="auto"/>
              </w:rPr>
              <w:t>Change in effective portion of cash flow hedges, net of</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income tax expense of $27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Comprehensive income including noncontrolling interest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52,246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147,595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6"/>
              </w:rPr>
              <w:t>Comprehensive income attributable to noncontrolling interest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9,817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Comprehensive income attributable to World Fuel</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50,842</w:t>
            </w:r>
          </w:p>
        </w:tc>
        <w:tc>
          <w:tcPr>
            <w:tcW w:w="3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137,778</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Capital in</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38"/>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World Fuel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Excess of</w:t>
            </w:r>
          </w:p>
        </w:tc>
        <w:tc>
          <w:tcPr>
            <w:tcW w:w="18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Shareholders’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1"/>
              </w:rPr>
              <w:t>Par Value</w:t>
            </w:r>
          </w:p>
        </w:tc>
        <w:tc>
          <w:tcPr>
            <w:tcW w:w="180" w:type="dxa"/>
            <w:vAlign w:val="bottom"/>
          </w:tcPr>
          <w:p>
            <w:pPr>
              <w:spacing w:after="0"/>
              <w:rPr>
                <w:sz w:val="11"/>
                <w:szCs w:val="11"/>
                <w:color w:val="auto"/>
              </w:rPr>
            </w:pPr>
          </w:p>
        </w:tc>
        <w:tc>
          <w:tcPr>
            <w:tcW w:w="960" w:type="dxa"/>
            <w:vAlign w:val="bottom"/>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38"/>
              <w:spacing w:after="0" w:line="129" w:lineRule="exact"/>
              <w:rPr>
                <w:sz w:val="20"/>
                <w:szCs w:val="20"/>
                <w:color w:val="auto"/>
              </w:rPr>
            </w:pPr>
            <w:r>
              <w:rPr>
                <w:rFonts w:ascii="Arial" w:cs="Arial" w:eastAsia="Arial" w:hAnsi="Arial"/>
                <w:sz w:val="13"/>
                <w:szCs w:val="13"/>
                <w:b w:val="1"/>
                <w:bCs w:val="1"/>
                <w:color w:val="auto"/>
                <w:w w:val="78"/>
              </w:rPr>
              <w:t>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1"/>
                <w:szCs w:val="11"/>
                <w:color w:val="auto"/>
              </w:rPr>
            </w:pPr>
          </w:p>
        </w:tc>
        <w:tc>
          <w:tcPr>
            <w:tcW w:w="1100" w:type="dxa"/>
            <w:vAlign w:val="bottom"/>
            <w:gridSpan w:val="3"/>
          </w:tcPr>
          <w:p>
            <w:pPr>
              <w:jc w:val="right"/>
              <w:ind w:right="340"/>
              <w:spacing w:after="0" w:line="129" w:lineRule="exact"/>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as of December 31, 2011</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71,154</w:t>
            </w:r>
          </w:p>
        </w:tc>
        <w:tc>
          <w:tcPr>
            <w:tcW w:w="20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712</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502,551</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836,222</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(6,524)</w:t>
            </w:r>
          </w:p>
        </w:tc>
        <w:tc>
          <w:tcPr>
            <w:tcW w:w="1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1,332,961</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13,757</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1,346,718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160"/>
              <w:spacing w:after="0" w:line="135" w:lineRule="exact"/>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146,509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146,509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9,817</w:t>
            </w:r>
          </w:p>
        </w:tc>
        <w:tc>
          <w:tcPr>
            <w:tcW w:w="16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156,326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Distribution of noncontrolling</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interest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(1,322)</w:t>
            </w: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(1,322)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160"/>
              <w:spacing w:after="0" w:line="135" w:lineRule="exact"/>
              <w:rPr>
                <w:sz w:val="20"/>
                <w:szCs w:val="20"/>
                <w:color w:val="auto"/>
              </w:rPr>
            </w:pPr>
            <w:r>
              <w:rPr>
                <w:rFonts w:ascii="Arial" w:cs="Arial" w:eastAsia="Arial" w:hAnsi="Arial"/>
                <w:sz w:val="13"/>
                <w:szCs w:val="13"/>
                <w:color w:val="auto"/>
              </w:rPr>
              <w:t>Cash dividends declared</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(8,019)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(8,019)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1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(8,019)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Amortization of share-based</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payment awards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tcPr>
          <w:p>
            <w:pPr>
              <w:ind w:left="160"/>
              <w:spacing w:after="0" w:line="121" w:lineRule="exact"/>
              <w:rPr>
                <w:sz w:val="20"/>
                <w:szCs w:val="20"/>
                <w:color w:val="auto"/>
              </w:rPr>
            </w:pPr>
            <w:r>
              <w:rPr>
                <w:rFonts w:ascii="Arial" w:cs="Arial" w:eastAsia="Arial" w:hAnsi="Arial"/>
                <w:sz w:val="13"/>
                <w:szCs w:val="13"/>
                <w:color w:val="auto"/>
                <w:w w:val="98"/>
              </w:rPr>
              <w:t>Issuance of common stock related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340"/>
              <w:spacing w:after="0" w:line="135" w:lineRule="exact"/>
              <w:rPr>
                <w:sz w:val="20"/>
                <w:szCs w:val="20"/>
                <w:color w:val="auto"/>
              </w:rPr>
            </w:pPr>
            <w:r>
              <w:rPr>
                <w:rFonts w:ascii="Arial" w:cs="Arial" w:eastAsia="Arial" w:hAnsi="Arial"/>
                <w:sz w:val="13"/>
                <w:szCs w:val="13"/>
                <w:color w:val="auto"/>
                <w:w w:val="94"/>
              </w:rPr>
              <w:t>to share-based payment awards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340"/>
              <w:spacing w:after="0" w:line="135" w:lineRule="exact"/>
              <w:rPr>
                <w:sz w:val="20"/>
                <w:szCs w:val="20"/>
                <w:color w:val="auto"/>
              </w:rPr>
            </w:pPr>
            <w:r>
              <w:rPr>
                <w:rFonts w:ascii="Arial" w:cs="Arial" w:eastAsia="Arial" w:hAnsi="Arial"/>
                <w:sz w:val="13"/>
                <w:szCs w:val="13"/>
                <w:color w:val="auto"/>
              </w:rPr>
              <w:t>including income tax benefit of</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ind w:left="360"/>
              <w:spacing w:after="0"/>
              <w:rPr>
                <w:sz w:val="20"/>
                <w:szCs w:val="20"/>
                <w:color w:val="auto"/>
              </w:rPr>
            </w:pPr>
            <w:r>
              <w:rPr>
                <w:rFonts w:ascii="Arial" w:cs="Arial" w:eastAsia="Arial" w:hAnsi="Arial"/>
                <w:sz w:val="13"/>
                <w:szCs w:val="13"/>
                <w:color w:val="auto"/>
              </w:rPr>
              <w:t>$1,519</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4,239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4,248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4,248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Purchases of common stock</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tendered by employees to</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satisfy the required</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withholding taxes related to</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share-based payment awards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(4,730)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(4,730)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160"/>
              <w:spacing w:after="0" w:line="135" w:lineRule="exact"/>
              <w:rPr>
                <w:sz w:val="20"/>
                <w:szCs w:val="20"/>
                <w:color w:val="auto"/>
              </w:rPr>
            </w:pPr>
            <w:r>
              <w:rPr>
                <w:rFonts w:ascii="Arial" w:cs="Arial" w:eastAsia="Arial" w:hAnsi="Arial"/>
                <w:sz w:val="13"/>
                <w:szCs w:val="13"/>
                <w:color w:val="auto"/>
              </w:rPr>
              <w:t>Other comprehensive loss</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(8,731)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(8,731)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1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(8,731)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Balance as of September 30, 2012</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72,087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721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511,860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974,712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(15,255</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1,472,038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22,252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1,494,290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Capital in</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38"/>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World Fuel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2"/>
              </w:rPr>
              <w:t>Excess of</w:t>
            </w:r>
          </w:p>
        </w:tc>
        <w:tc>
          <w:tcPr>
            <w:tcW w:w="18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86"/>
              </w:rPr>
              <w:t>Comprehensive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Shareholders’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1"/>
              </w:rPr>
              <w:t>Par Value</w:t>
            </w:r>
          </w:p>
        </w:tc>
        <w:tc>
          <w:tcPr>
            <w:tcW w:w="180" w:type="dxa"/>
            <w:vAlign w:val="bottom"/>
          </w:tcPr>
          <w:p>
            <w:pPr>
              <w:spacing w:after="0"/>
              <w:rPr>
                <w:sz w:val="11"/>
                <w:szCs w:val="11"/>
                <w:color w:val="auto"/>
              </w:rPr>
            </w:pPr>
          </w:p>
        </w:tc>
        <w:tc>
          <w:tcPr>
            <w:tcW w:w="960" w:type="dxa"/>
            <w:vAlign w:val="bottom"/>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38"/>
              <w:spacing w:after="0" w:line="129" w:lineRule="exact"/>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1"/>
                <w:szCs w:val="11"/>
                <w:color w:val="auto"/>
              </w:rPr>
            </w:pPr>
          </w:p>
        </w:tc>
        <w:tc>
          <w:tcPr>
            <w:tcW w:w="1100" w:type="dxa"/>
            <w:vAlign w:val="bottom"/>
            <w:gridSpan w:val="3"/>
          </w:tcPr>
          <w:p>
            <w:pPr>
              <w:jc w:val="right"/>
              <w:ind w:right="340"/>
              <w:spacing w:after="0" w:line="129" w:lineRule="exact"/>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as of December 31, 2010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69,602</w:t>
            </w:r>
          </w:p>
        </w:tc>
        <w:tc>
          <w:tcPr>
            <w:tcW w:w="20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696</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468,963</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652,796</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4,753</w:t>
            </w:r>
          </w:p>
        </w:tc>
        <w:tc>
          <w:tcPr>
            <w:tcW w:w="1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1,127,208</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(644)</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1,126,564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160"/>
              <w:spacing w:after="0" w:line="135" w:lineRule="exact"/>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143,967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143,967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2,205</w:t>
            </w:r>
          </w:p>
        </w:tc>
        <w:tc>
          <w:tcPr>
            <w:tcW w:w="16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146,172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Distribution of noncontrolling</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interest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(679)</w:t>
            </w: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tcPr>
          <w:p>
            <w:pPr>
              <w:ind w:left="160"/>
              <w:spacing w:after="0" w:line="121" w:lineRule="exact"/>
              <w:rPr>
                <w:sz w:val="20"/>
                <w:szCs w:val="20"/>
                <w:color w:val="auto"/>
              </w:rPr>
            </w:pPr>
            <w:r>
              <w:rPr>
                <w:rFonts w:ascii="Arial" w:cs="Arial" w:eastAsia="Arial" w:hAnsi="Arial"/>
                <w:sz w:val="13"/>
                <w:szCs w:val="13"/>
                <w:color w:val="auto"/>
              </w:rPr>
              <w:t>Initial noncontrolling interest upon</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340"/>
              <w:spacing w:after="0"/>
              <w:rPr>
                <w:sz w:val="20"/>
                <w:szCs w:val="20"/>
                <w:color w:val="auto"/>
              </w:rPr>
            </w:pPr>
            <w:r>
              <w:rPr>
                <w:rFonts w:ascii="Arial" w:cs="Arial" w:eastAsia="Arial" w:hAnsi="Arial"/>
                <w:sz w:val="13"/>
                <w:szCs w:val="13"/>
                <w:color w:val="auto"/>
              </w:rPr>
              <w:t>consolidation of joint venture</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614</w:t>
            </w:r>
          </w:p>
        </w:tc>
        <w:tc>
          <w:tcPr>
            <w:tcW w:w="16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614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Capital contribution for joint</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ventures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10,371</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10,371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160"/>
              <w:spacing w:after="0" w:line="135" w:lineRule="exact"/>
              <w:rPr>
                <w:sz w:val="20"/>
                <w:szCs w:val="20"/>
                <w:color w:val="auto"/>
              </w:rPr>
            </w:pPr>
            <w:r>
              <w:rPr>
                <w:rFonts w:ascii="Arial" w:cs="Arial" w:eastAsia="Arial" w:hAnsi="Arial"/>
                <w:sz w:val="13"/>
                <w:szCs w:val="13"/>
                <w:color w:val="auto"/>
              </w:rPr>
              <w:t>Cash dividends declared</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(7,949)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(7,949)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1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(7,949)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Amortization of share-based</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payment awards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tcPr>
          <w:p>
            <w:pPr>
              <w:ind w:left="160"/>
              <w:spacing w:after="0" w:line="121" w:lineRule="exact"/>
              <w:rPr>
                <w:sz w:val="20"/>
                <w:szCs w:val="20"/>
                <w:color w:val="auto"/>
              </w:rPr>
            </w:pPr>
            <w:r>
              <w:rPr>
                <w:rFonts w:ascii="Arial" w:cs="Arial" w:eastAsia="Arial" w:hAnsi="Arial"/>
                <w:sz w:val="13"/>
                <w:szCs w:val="13"/>
                <w:color w:val="auto"/>
                <w:w w:val="98"/>
              </w:rPr>
              <w:t>Issuance of common stock related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340"/>
              <w:spacing w:after="0" w:line="135" w:lineRule="exact"/>
              <w:rPr>
                <w:sz w:val="20"/>
                <w:szCs w:val="20"/>
                <w:color w:val="auto"/>
              </w:rPr>
            </w:pPr>
            <w:r>
              <w:rPr>
                <w:rFonts w:ascii="Arial" w:cs="Arial" w:eastAsia="Arial" w:hAnsi="Arial"/>
                <w:sz w:val="13"/>
                <w:szCs w:val="13"/>
                <w:color w:val="auto"/>
                <w:w w:val="94"/>
              </w:rPr>
              <w:t>to share-based payment awards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340"/>
              <w:spacing w:after="0" w:line="135" w:lineRule="exact"/>
              <w:rPr>
                <w:sz w:val="20"/>
                <w:szCs w:val="20"/>
                <w:color w:val="auto"/>
              </w:rPr>
            </w:pPr>
            <w:r>
              <w:rPr>
                <w:rFonts w:ascii="Arial" w:cs="Arial" w:eastAsia="Arial" w:hAnsi="Arial"/>
                <w:sz w:val="13"/>
                <w:szCs w:val="13"/>
                <w:color w:val="auto"/>
              </w:rPr>
              <w:t>including income tax benefit of</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ind w:left="360"/>
              <w:spacing w:after="0"/>
              <w:rPr>
                <w:sz w:val="20"/>
                <w:szCs w:val="20"/>
                <w:color w:val="auto"/>
              </w:rPr>
            </w:pPr>
            <w:r>
              <w:rPr>
                <w:rFonts w:ascii="Arial" w:cs="Arial" w:eastAsia="Arial" w:hAnsi="Arial"/>
                <w:sz w:val="13"/>
                <w:szCs w:val="13"/>
                <w:color w:val="auto"/>
              </w:rPr>
              <w:t>$4,011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5,458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5,467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5,467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7"/>
              </w:rPr>
              <w:t>Issuance of common stock related</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 acquisition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27,484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27,491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20" w:type="dxa"/>
            <w:vAlign w:val="bottom"/>
          </w:tcPr>
          <w:p>
            <w:pPr>
              <w:ind w:left="180"/>
              <w:spacing w:after="0" w:line="121" w:lineRule="exact"/>
              <w:rPr>
                <w:sz w:val="20"/>
                <w:szCs w:val="20"/>
                <w:color w:val="auto"/>
              </w:rPr>
            </w:pPr>
            <w:r>
              <w:rPr>
                <w:rFonts w:ascii="Arial" w:cs="Arial" w:eastAsia="Arial" w:hAnsi="Arial"/>
                <w:sz w:val="13"/>
                <w:szCs w:val="13"/>
                <w:color w:val="auto"/>
              </w:rPr>
              <w:t>Purchases of common stock</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360"/>
              <w:spacing w:after="0" w:line="135" w:lineRule="exact"/>
              <w:rPr>
                <w:sz w:val="20"/>
                <w:szCs w:val="20"/>
                <w:color w:val="auto"/>
              </w:rPr>
            </w:pPr>
            <w:r>
              <w:rPr>
                <w:rFonts w:ascii="Arial" w:cs="Arial" w:eastAsia="Arial" w:hAnsi="Arial"/>
                <w:sz w:val="13"/>
                <w:szCs w:val="13"/>
                <w:color w:val="auto"/>
              </w:rPr>
              <w:t>tendered by employees to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360"/>
              <w:spacing w:after="0" w:line="135" w:lineRule="exact"/>
              <w:rPr>
                <w:sz w:val="20"/>
                <w:szCs w:val="20"/>
                <w:color w:val="auto"/>
              </w:rPr>
            </w:pPr>
            <w:r>
              <w:rPr>
                <w:rFonts w:ascii="Arial" w:cs="Arial" w:eastAsia="Arial" w:hAnsi="Arial"/>
                <w:sz w:val="13"/>
                <w:szCs w:val="13"/>
                <w:color w:val="auto"/>
              </w:rPr>
              <w:t>satisfy the required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tcPr>
          <w:p>
            <w:pPr>
              <w:ind w:left="360"/>
              <w:spacing w:after="0" w:line="135" w:lineRule="exact"/>
              <w:rPr>
                <w:sz w:val="20"/>
                <w:szCs w:val="20"/>
                <w:color w:val="auto"/>
              </w:rPr>
            </w:pPr>
            <w:r>
              <w:rPr>
                <w:rFonts w:ascii="Arial" w:cs="Arial" w:eastAsia="Arial" w:hAnsi="Arial"/>
                <w:sz w:val="13"/>
                <w:szCs w:val="13"/>
                <w:color w:val="auto"/>
              </w:rPr>
              <w:t>withholding taxes related to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360"/>
              <w:spacing w:after="0"/>
              <w:rPr>
                <w:sz w:val="20"/>
                <w:szCs w:val="20"/>
                <w:color w:val="auto"/>
              </w:rPr>
            </w:pPr>
            <w:r>
              <w:rPr>
                <w:rFonts w:ascii="Arial" w:cs="Arial" w:eastAsia="Arial" w:hAnsi="Arial"/>
                <w:sz w:val="13"/>
                <w:szCs w:val="13"/>
                <w:color w:val="auto"/>
              </w:rPr>
              <w:t>share-based payment awards</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(9,020)</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(9,021)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3"/>
                <w:szCs w:val="13"/>
                <w:color w:val="auto"/>
              </w:rPr>
              <w:t>(9,021)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Other comprehensive loss</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(9,680)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(9,680)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(9,680)</w:t>
            </w:r>
          </w:p>
        </w:tc>
        <w:tc>
          <w:tcPr>
            <w:tcW w:w="0" w:type="dxa"/>
            <w:vAlign w:val="bottom"/>
          </w:tcPr>
          <w:p>
            <w:pPr>
              <w:spacing w:after="0"/>
              <w:rPr>
                <w:sz w:val="1"/>
                <w:szCs w:val="1"/>
                <w:color w:val="auto"/>
              </w:rPr>
            </w:pPr>
          </w:p>
        </w:tc>
      </w:tr>
      <w:tr>
        <w:trPr>
          <w:trHeight w:val="142"/>
        </w:trPr>
        <w:tc>
          <w:tcPr>
            <w:tcW w:w="2140" w:type="dxa"/>
            <w:vAlign w:val="bottom"/>
            <w:gridSpan w:val="2"/>
          </w:tcPr>
          <w:p>
            <w:pPr>
              <w:spacing w:after="0" w:line="143" w:lineRule="exact"/>
              <w:rPr>
                <w:sz w:val="20"/>
                <w:szCs w:val="20"/>
                <w:color w:val="auto"/>
              </w:rPr>
            </w:pPr>
            <w:r>
              <w:rPr>
                <w:rFonts w:ascii="Arial" w:cs="Arial" w:eastAsia="Arial" w:hAnsi="Arial"/>
                <w:sz w:val="13"/>
                <w:szCs w:val="13"/>
                <w:color w:val="auto"/>
              </w:rPr>
              <w:t>Balance as of September 30, 2011</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71,126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711</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499,424</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788,814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(4,927</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1,284,022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11,867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1,295,889</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42"/>
        </w:trPr>
        <w:tc>
          <w:tcPr>
            <w:tcW w:w="78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Net income including noncontrolling interest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156,326</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146,172</w:t>
            </w:r>
          </w:p>
        </w:tc>
      </w:tr>
      <w:tr>
        <w:trPr>
          <w:trHeight w:val="182"/>
        </w:trPr>
        <w:tc>
          <w:tcPr>
            <w:tcW w:w="786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w w:val="94"/>
              </w:rPr>
              <w:t>Adjustments to reconcile net income including noncontrolling interest to net cash provided by (used in)</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86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26,800</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29,111</w:t>
            </w:r>
          </w:p>
        </w:tc>
      </w:tr>
      <w:tr>
        <w:trPr>
          <w:trHeight w:val="216"/>
        </w:trPr>
        <w:tc>
          <w:tcPr>
            <w:tcW w:w="7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Provision for bad debt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6,749</w:t>
            </w:r>
          </w:p>
        </w:tc>
      </w:tr>
      <w:tr>
        <w:trPr>
          <w:trHeight w:val="216"/>
        </w:trPr>
        <w:tc>
          <w:tcPr>
            <w:tcW w:w="7860" w:type="dxa"/>
            <w:vAlign w:val="bottom"/>
          </w:tcPr>
          <w:p>
            <w:pPr>
              <w:ind w:left="540"/>
              <w:spacing w:after="0"/>
              <w:rPr>
                <w:sz w:val="20"/>
                <w:szCs w:val="20"/>
                <w:color w:val="auto"/>
              </w:rPr>
            </w:pPr>
            <w:r>
              <w:rPr>
                <w:rFonts w:ascii="Arial" w:cs="Arial" w:eastAsia="Arial" w:hAnsi="Arial"/>
                <w:sz w:val="18"/>
                <w:szCs w:val="18"/>
                <w:color w:val="auto"/>
              </w:rPr>
              <w:t>Share-based payment award compensation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10,341</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8,199</w:t>
            </w:r>
          </w:p>
        </w:tc>
      </w:tr>
      <w:tr>
        <w:trPr>
          <w:trHeight w:val="216"/>
        </w:trPr>
        <w:tc>
          <w:tcPr>
            <w:tcW w:w="7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 provision (benefit)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4,724</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(2,069)</w:t>
            </w:r>
          </w:p>
        </w:tc>
      </w:tr>
      <w:tr>
        <w:trPr>
          <w:trHeight w:val="216"/>
        </w:trPr>
        <w:tc>
          <w:tcPr>
            <w:tcW w:w="7860" w:type="dxa"/>
            <w:vAlign w:val="bottom"/>
          </w:tcPr>
          <w:p>
            <w:pPr>
              <w:ind w:left="540"/>
              <w:spacing w:after="0"/>
              <w:rPr>
                <w:sz w:val="20"/>
                <w:szCs w:val="20"/>
                <w:color w:val="auto"/>
              </w:rPr>
            </w:pPr>
            <w:r>
              <w:rPr>
                <w:rFonts w:ascii="Arial" w:cs="Arial" w:eastAsia="Arial" w:hAnsi="Arial"/>
                <w:sz w:val="18"/>
                <w:szCs w:val="18"/>
                <w:color w:val="auto"/>
              </w:rPr>
              <w:t>Extinguishment of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(9,956)</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(5,827)</w:t>
            </w:r>
          </w:p>
        </w:tc>
      </w:tr>
      <w:tr>
        <w:trPr>
          <w:trHeight w:val="216"/>
        </w:trPr>
        <w:tc>
          <w:tcPr>
            <w:tcW w:w="7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Foreign currency (gains) losses,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(3,644)</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w:t>
            </w:r>
          </w:p>
        </w:tc>
      </w:tr>
      <w:tr>
        <w:trPr>
          <w:trHeight w:val="216"/>
        </w:trPr>
        <w:tc>
          <w:tcPr>
            <w:tcW w:w="7860" w:type="dxa"/>
            <w:vAlign w:val="bottom"/>
          </w:tcPr>
          <w:p>
            <w:pPr>
              <w:ind w:left="5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1,391</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1,277</w:t>
            </w:r>
          </w:p>
        </w:tc>
      </w:tr>
      <w:tr>
        <w:trPr>
          <w:trHeight w:val="216"/>
        </w:trPr>
        <w:tc>
          <w:tcPr>
            <w:tcW w:w="7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assets and liabilities, net of acquisitions: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9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(173,120)</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(730,993)</w:t>
            </w:r>
          </w:p>
        </w:tc>
      </w:tr>
      <w:tr>
        <w:trPr>
          <w:trHeight w:val="216"/>
        </w:trPr>
        <w:tc>
          <w:tcPr>
            <w:tcW w:w="78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(110,578)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(179,573)</w:t>
            </w:r>
          </w:p>
        </w:tc>
      </w:tr>
      <w:tr>
        <w:trPr>
          <w:trHeight w:val="216"/>
        </w:trPr>
        <w:tc>
          <w:tcPr>
            <w:tcW w:w="7860" w:type="dxa"/>
            <w:vAlign w:val="bottom"/>
          </w:tcPr>
          <w:p>
            <w:pPr>
              <w:ind w:left="90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(126,750)</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7,939</w:t>
            </w:r>
          </w:p>
        </w:tc>
      </w:tr>
      <w:tr>
        <w:trPr>
          <w:trHeight w:val="216"/>
        </w:trPr>
        <w:tc>
          <w:tcPr>
            <w:tcW w:w="78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(18,465)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(87,166)</w:t>
            </w:r>
          </w:p>
        </w:tc>
      </w:tr>
    </w:tbl>
    <w:p>
      <w:pPr>
        <w:sectPr>
          <w:pgSz w:w="11900" w:h="16857" w:orient="portrait"/>
          <w:cols w:equalWidth="0" w:num="1">
            <w:col w:w="11420"/>
          </w:cols>
          <w:pgMar w:left="240" w:top="34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ind w:left="900"/>
              <w:spacing w:after="0"/>
              <w:rPr>
                <w:sz w:val="20"/>
                <w:szCs w:val="20"/>
                <w:color w:val="auto"/>
              </w:rPr>
            </w:pPr>
            <w:r>
              <w:rPr>
                <w:rFonts w:ascii="Arial" w:cs="Arial" w:eastAsia="Arial" w:hAnsi="Arial"/>
                <w:sz w:val="18"/>
                <w:szCs w:val="18"/>
                <w:color w:val="auto"/>
              </w:rPr>
              <w:t>Cash collateral deposits held by financial counterparties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6,941</w:t>
            </w:r>
          </w:p>
        </w:tc>
        <w:tc>
          <w:tcPr>
            <w:tcW w:w="3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(295)</w:t>
            </w:r>
          </w:p>
        </w:tc>
      </w:tr>
      <w:tr>
        <w:trPr>
          <w:trHeight w:val="216"/>
        </w:trPr>
        <w:tc>
          <w:tcPr>
            <w:tcW w:w="78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Non-current other assets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2,360</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r>
      <w:tr>
        <w:trPr>
          <w:trHeight w:val="216"/>
        </w:trPr>
        <w:tc>
          <w:tcPr>
            <w:tcW w:w="782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247,514</w:t>
            </w: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548,062</w:t>
            </w:r>
          </w:p>
        </w:tc>
        <w:tc>
          <w:tcPr>
            <w:tcW w:w="80" w:type="dxa"/>
            <w:vAlign w:val="bottom"/>
          </w:tcPr>
          <w:p>
            <w:pPr>
              <w:spacing w:after="0"/>
              <w:rPr>
                <w:sz w:val="18"/>
                <w:szCs w:val="18"/>
                <w:color w:val="auto"/>
              </w:rPr>
            </w:pPr>
          </w:p>
        </w:tc>
      </w:tr>
      <w:tr>
        <w:trPr>
          <w:trHeight w:val="216"/>
        </w:trPr>
        <w:tc>
          <w:tcPr>
            <w:tcW w:w="78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Customer deposits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17,195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18,702</w:t>
            </w:r>
          </w:p>
        </w:tc>
        <w:tc>
          <w:tcPr>
            <w:tcW w:w="80" w:type="dxa"/>
            <w:vAlign w:val="bottom"/>
            <w:shd w:val="clear" w:color="auto" w:fill="CCEEFF"/>
          </w:tcPr>
          <w:p>
            <w:pPr>
              <w:spacing w:after="0"/>
              <w:rPr>
                <w:sz w:val="18"/>
                <w:szCs w:val="18"/>
                <w:color w:val="auto"/>
              </w:rPr>
            </w:pPr>
          </w:p>
        </w:tc>
      </w:tr>
      <w:tr>
        <w:trPr>
          <w:trHeight w:val="216"/>
        </w:trPr>
        <w:tc>
          <w:tcPr>
            <w:tcW w:w="7820" w:type="dxa"/>
            <w:vAlign w:val="bottom"/>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13,469</w:t>
            </w: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21,228</w:t>
            </w:r>
          </w:p>
        </w:tc>
        <w:tc>
          <w:tcPr>
            <w:tcW w:w="80" w:type="dxa"/>
            <w:vAlign w:val="bottom"/>
          </w:tcPr>
          <w:p>
            <w:pPr>
              <w:spacing w:after="0"/>
              <w:rPr>
                <w:sz w:val="18"/>
                <w:szCs w:val="18"/>
                <w:color w:val="auto"/>
              </w:rPr>
            </w:pPr>
          </w:p>
        </w:tc>
      </w:tr>
      <w:tr>
        <w:trPr>
          <w:trHeight w:val="216"/>
        </w:trPr>
        <w:tc>
          <w:tcPr>
            <w:tcW w:w="78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Non-current income tax, net and other long-term liabilities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(1,608)</w:t>
            </w:r>
          </w:p>
        </w:tc>
      </w:tr>
      <w:tr>
        <w:trPr>
          <w:trHeight w:val="210"/>
        </w:trPr>
        <w:tc>
          <w:tcPr>
            <w:tcW w:w="78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adjustments</w:t>
            </w:r>
          </w:p>
        </w:tc>
        <w:tc>
          <w:tcPr>
            <w:tcW w:w="2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(108,055)</w:t>
            </w:r>
          </w:p>
        </w:tc>
        <w:tc>
          <w:tcPr>
            <w:tcW w:w="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(363,035)</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48,271</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(216,863)</w:t>
            </w:r>
          </w:p>
        </w:tc>
        <w:tc>
          <w:tcPr>
            <w:tcW w:w="100" w:type="dxa"/>
            <w:vAlign w:val="bottom"/>
            <w:gridSpan w:val="2"/>
            <w:shd w:val="clear" w:color="auto" w:fill="CCEEFF"/>
          </w:tcPr>
          <w:p>
            <w:pPr>
              <w:spacing w:after="0"/>
              <w:rPr>
                <w:sz w:val="18"/>
                <w:szCs w:val="18"/>
                <w:color w:val="auto"/>
              </w:rPr>
            </w:pPr>
          </w:p>
        </w:tc>
      </w:tr>
      <w:tr>
        <w:trPr>
          <w:trHeight w:val="196"/>
        </w:trPr>
        <w:tc>
          <w:tcPr>
            <w:tcW w:w="782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and other investments, net of cash acquired</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(71,337)</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(112,315)</w:t>
            </w: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(18,737)</w:t>
            </w:r>
          </w:p>
        </w:tc>
        <w:tc>
          <w:tcPr>
            <w:tcW w:w="3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(15,807)</w:t>
            </w: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notes receivable</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(11,121)</w:t>
            </w: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Repayment of notes receivable</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401</w:t>
            </w: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8,415</w:t>
            </w:r>
          </w:p>
        </w:tc>
        <w:tc>
          <w:tcPr>
            <w:tcW w:w="80" w:type="dxa"/>
            <w:vAlign w:val="bottom"/>
          </w:tcPr>
          <w:p>
            <w:pPr>
              <w:spacing w:after="0"/>
              <w:rPr>
                <w:sz w:val="18"/>
                <w:szCs w:val="18"/>
                <w:color w:val="auto"/>
              </w:rPr>
            </w:pPr>
          </w:p>
        </w:tc>
      </w:tr>
      <w:tr>
        <w:trPr>
          <w:trHeight w:val="210"/>
        </w:trPr>
        <w:tc>
          <w:tcPr>
            <w:tcW w:w="78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(90,460)</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(130,828)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196"/>
        </w:trPr>
        <w:tc>
          <w:tcPr>
            <w:tcW w:w="7820" w:type="dxa"/>
            <w:vAlign w:val="bottom"/>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senior revolving credit facility and senior term loans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2,901,000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3,661,000</w:t>
            </w:r>
          </w:p>
        </w:tc>
        <w:tc>
          <w:tcPr>
            <w:tcW w:w="80" w:type="dxa"/>
            <w:vAlign w:val="bottom"/>
            <w:shd w:val="clear" w:color="auto" w:fill="CCEEFF"/>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Repayments under senior revolving credit facility and senior term loans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(2,901,250)</w:t>
            </w:r>
          </w:p>
        </w:tc>
        <w:tc>
          <w:tcPr>
            <w:tcW w:w="3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(3,411,000)</w:t>
            </w: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other debt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(8,306)</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(8,082)</w:t>
            </w: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Payments of senior revolving credit facility and senior term loan facility loan costs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(2,483)</w:t>
            </w: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on common stock</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(8,019)</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(7,949)</w:t>
            </w: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Payment of earn-out liability</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(4,304)</w:t>
            </w:r>
          </w:p>
        </w:tc>
        <w:tc>
          <w:tcPr>
            <w:tcW w:w="3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assumed employee benefits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(5,421)</w:t>
            </w: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Capital contribution for joint venture</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of noncontrolling interest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(1,401)</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r>
      <w:tr>
        <w:trPr>
          <w:trHeight w:val="202"/>
        </w:trPr>
        <w:tc>
          <w:tcPr>
            <w:tcW w:w="7820" w:type="dxa"/>
            <w:vAlign w:val="bottom"/>
          </w:tcPr>
          <w:p>
            <w:pPr>
              <w:ind w:left="180"/>
              <w:spacing w:after="0" w:line="201" w:lineRule="exact"/>
              <w:rPr>
                <w:sz w:val="20"/>
                <w:szCs w:val="20"/>
                <w:color w:val="auto"/>
              </w:rPr>
            </w:pPr>
            <w:r>
              <w:rPr>
                <w:rFonts w:ascii="Arial" w:cs="Arial" w:eastAsia="Arial" w:hAnsi="Arial"/>
                <w:sz w:val="18"/>
                <w:szCs w:val="18"/>
                <w:color w:val="auto"/>
              </w:rPr>
              <w:t>Federal and state tax benefits resulting from tax deductions in excess of the compensation cost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recognized for share-based payment awards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1,519</w:t>
            </w:r>
          </w:p>
        </w:tc>
        <w:tc>
          <w:tcPr>
            <w:tcW w:w="3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4,011</w:t>
            </w:r>
          </w:p>
        </w:tc>
        <w:tc>
          <w:tcPr>
            <w:tcW w:w="80" w:type="dxa"/>
            <w:vAlign w:val="bottom"/>
          </w:tcPr>
          <w:p>
            <w:pPr>
              <w:spacing w:after="0"/>
              <w:rPr>
                <w:sz w:val="20"/>
                <w:szCs w:val="20"/>
                <w:color w:val="auto"/>
              </w:rPr>
            </w:pPr>
          </w:p>
        </w:tc>
      </w:tr>
      <w:tr>
        <w:trPr>
          <w:trHeight w:val="202"/>
        </w:trPr>
        <w:tc>
          <w:tcPr>
            <w:tcW w:w="7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Purchases of common stock tendered by employees to satisfy the required withholding taxes related to</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 awards</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(4,730)</w:t>
            </w:r>
          </w:p>
        </w:tc>
        <w:tc>
          <w:tcPr>
            <w:tcW w:w="3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(9,021)</w:t>
            </w:r>
          </w:p>
        </w:tc>
      </w:tr>
      <w:tr>
        <w:trPr>
          <w:trHeight w:val="21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(25,491)</w:t>
            </w:r>
          </w:p>
        </w:tc>
        <w:tc>
          <w:tcPr>
            <w:tcW w:w="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gridSpan w:val="2"/>
            <w:shd w:val="clear" w:color="auto" w:fill="CCEEFF"/>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(66,014)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(121,039)</w:t>
            </w:r>
          </w:p>
        </w:tc>
        <w:tc>
          <w:tcPr>
            <w:tcW w:w="100" w:type="dxa"/>
            <w:vAlign w:val="bottom"/>
            <w:gridSpan w:val="2"/>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beginning of period</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205,415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272,893</w:t>
            </w:r>
          </w:p>
        </w:tc>
        <w:tc>
          <w:tcPr>
            <w:tcW w:w="80" w:type="dxa"/>
            <w:vAlign w:val="bottom"/>
            <w:shd w:val="clear" w:color="auto" w:fill="CCEEFF"/>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Cash and cash equivalents, as of end of period</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139,401</w:t>
            </w:r>
          </w:p>
        </w:tc>
        <w:tc>
          <w:tcPr>
            <w:tcW w:w="3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ind w:right="120" w:firstLine="252"/>
        <w:spacing w:after="0" w:line="277" w:lineRule="auto"/>
        <w:rPr>
          <w:sz w:val="20"/>
          <w:szCs w:val="20"/>
          <w:color w:val="auto"/>
        </w:rPr>
      </w:pPr>
      <w:r>
        <w:rPr>
          <w:rFonts w:ascii="Arial" w:cs="Arial" w:eastAsia="Arial" w:hAnsi="Arial"/>
          <w:sz w:val="18"/>
          <w:szCs w:val="18"/>
          <w:color w:val="auto"/>
        </w:rPr>
        <w:t>Cash dividends declared of $0.0375 per common share for the three months ended September 30, 2012 and 2011, but not yet paid, totaled $2.7 million as of September 30, 2012 and 2011, and were paid in October 2012 and 2011, respectively.</w:t>
      </w:r>
    </w:p>
    <w:p>
      <w:pPr>
        <w:spacing w:after="0" w:line="170" w:lineRule="exact"/>
        <w:rPr>
          <w:sz w:val="20"/>
          <w:szCs w:val="20"/>
          <w:color w:val="auto"/>
        </w:rPr>
      </w:pPr>
    </w:p>
    <w:p>
      <w:pPr>
        <w:ind w:right="260" w:firstLine="252"/>
        <w:spacing w:after="0" w:line="342" w:lineRule="auto"/>
        <w:rPr>
          <w:sz w:val="20"/>
          <w:szCs w:val="20"/>
          <w:color w:val="auto"/>
        </w:rPr>
      </w:pPr>
      <w:r>
        <w:rPr>
          <w:rFonts w:ascii="Arial" w:cs="Arial" w:eastAsia="Arial" w:hAnsi="Arial"/>
          <w:sz w:val="16"/>
          <w:szCs w:val="16"/>
          <w:color w:val="auto"/>
        </w:rPr>
        <w:t>In connection with our acquisitions during the nine months ended September 30, 2012, we issued $7.2 million of promissory notes. In connection with our acquisitions during the nine months ended September 30, 2011, we issued $27.5 million of common stock and $8.3 million of promissory notes.</w:t>
      </w:r>
    </w:p>
    <w:p>
      <w:pPr>
        <w:spacing w:after="0" w:line="124" w:lineRule="exact"/>
        <w:rPr>
          <w:sz w:val="20"/>
          <w:szCs w:val="20"/>
          <w:color w:val="auto"/>
        </w:rPr>
      </w:pPr>
    </w:p>
    <w:p>
      <w:pPr>
        <w:ind w:right="440" w:firstLine="252"/>
        <w:spacing w:after="0" w:line="277" w:lineRule="auto"/>
        <w:rPr>
          <w:sz w:val="20"/>
          <w:szCs w:val="20"/>
          <w:color w:val="auto"/>
        </w:rPr>
      </w:pPr>
      <w:r>
        <w:rPr>
          <w:rFonts w:ascii="Arial" w:cs="Arial" w:eastAsia="Arial" w:hAnsi="Arial"/>
          <w:sz w:val="18"/>
          <w:szCs w:val="18"/>
          <w:color w:val="auto"/>
        </w:rPr>
        <w:t>During the nine months ended September 30, 2012 and 2011, we granted equity awards to certain employees of which $2.7 million and $1.5 million, respectively, was previously recorded in accrued expenses and other current liabilities.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connection with our acquisitions for the periods presented, the following table presents the assets acquired, net of cash and liabilities assumed:</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3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42"/>
        </w:trPr>
        <w:tc>
          <w:tcPr>
            <w:tcW w:w="48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210"/>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acquired, net of cash</w:t>
            </w:r>
          </w:p>
        </w:tc>
        <w:tc>
          <w:tcPr>
            <w:tcW w:w="28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140,725</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203,979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8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3720" w:type="dxa"/>
            <w:vAlign w:val="bottom"/>
            <w:gridSpan w:val="2"/>
            <w:shd w:val="clear" w:color="auto" w:fill="CCEEFF"/>
          </w:tcPr>
          <w:p>
            <w:pPr>
              <w:jc w:val="right"/>
              <w:ind w:right="7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69,859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40" w:right="7380" w:hanging="332"/>
        <w:spacing w:after="0" w:line="532"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Significant Accounting Policies Acquisitions</w:t>
      </w:r>
    </w:p>
    <w:p>
      <w:pPr>
        <w:sectPr>
          <w:pgSz w:w="11900" w:h="16838" w:orient="portrait"/>
          <w:cols w:equalWidth="0" w:num="1">
            <w:col w:w="11420"/>
          </w:cols>
          <w:pgMar w:left="240" w:top="125" w:right="239" w:bottom="0" w:gutter="0" w:footer="0" w:header="0"/>
        </w:sectPr>
      </w:pPr>
    </w:p>
    <w:bookmarkStart w:id="5" w:name="page6"/>
    <w:bookmarkEnd w:id="5"/>
    <w:p>
      <w:pPr>
        <w:ind w:left="340"/>
        <w:spacing w:after="0"/>
        <w:rPr>
          <w:sz w:val="20"/>
          <w:szCs w:val="20"/>
          <w:color w:val="auto"/>
        </w:rPr>
      </w:pPr>
      <w:r>
        <w:rPr>
          <w:rFonts w:ascii="Arial" w:cs="Arial" w:eastAsia="Arial" w:hAnsi="Arial"/>
          <w:sz w:val="18"/>
          <w:szCs w:val="18"/>
          <w:i w:val="1"/>
          <w:iCs w:val="1"/>
          <w:color w:val="auto"/>
        </w:rPr>
        <w:t>2012 Acquisitions</w:t>
      </w:r>
    </w:p>
    <w:p>
      <w:pPr>
        <w:spacing w:after="0" w:line="225" w:lineRule="exact"/>
        <w:rPr>
          <w:sz w:val="20"/>
          <w:szCs w:val="20"/>
          <w:color w:val="auto"/>
        </w:rPr>
      </w:pPr>
    </w:p>
    <w:p>
      <w:pPr>
        <w:jc w:val="both"/>
        <w:ind w:right="140" w:firstLine="324"/>
        <w:spacing w:after="0" w:line="297" w:lineRule="auto"/>
        <w:rPr>
          <w:sz w:val="20"/>
          <w:szCs w:val="20"/>
          <w:color w:val="auto"/>
        </w:rPr>
      </w:pPr>
      <w:r>
        <w:rPr>
          <w:rFonts w:ascii="Arial" w:cs="Arial" w:eastAsia="Arial" w:hAnsi="Arial"/>
          <w:sz w:val="16"/>
          <w:szCs w:val="16"/>
          <w:color w:val="auto"/>
        </w:rPr>
        <w:t>During the three months ended September 30, 2012, we completed two acquisitions. We acquired certain assets of CarterEnergy Corporation, including the assets comprising its wholesale motor fuel distribution business (the “CarterEnergy business”) on September 1, 2012. The CarterEnergy business, based in Overland Park, Kansas, is a distributor of branded gasoline and diesel fuel to more than 700 retail operators and is a supplier to industrial, commercial and government customers. The other acquisition was in our aviation segment and was not material. The financial position, results of operations and cash flows of these acquisitions have been included in our consolidated financial statements since their respective acquisition dates.</w:t>
      </w:r>
    </w:p>
    <w:p>
      <w:pPr>
        <w:spacing w:after="0" w:line="158" w:lineRule="exact"/>
        <w:rPr>
          <w:sz w:val="20"/>
          <w:szCs w:val="20"/>
          <w:color w:val="auto"/>
        </w:rPr>
      </w:pPr>
    </w:p>
    <w:p>
      <w:pPr>
        <w:ind w:right="460" w:firstLine="324"/>
        <w:spacing w:after="0" w:line="312" w:lineRule="auto"/>
        <w:rPr>
          <w:sz w:val="20"/>
          <w:szCs w:val="20"/>
          <w:color w:val="auto"/>
        </w:rPr>
      </w:pPr>
      <w:r>
        <w:rPr>
          <w:rFonts w:ascii="Arial" w:cs="Arial" w:eastAsia="Arial" w:hAnsi="Arial"/>
          <w:sz w:val="16"/>
          <w:szCs w:val="16"/>
          <w:color w:val="auto"/>
        </w:rPr>
        <w:t>During the three months ended June 30, 2012, we completed two acquisitions, which were not material individually or in the aggregate. Of these acquisitions, one was in our aviation segment and the other was in our aviation and land segments. The financial position, results of operations and cash flows of these acquisitions have been included in our consolidated financial statements since their respective acquisition dates.</w:t>
      </w:r>
    </w:p>
    <w:p>
      <w:pPr>
        <w:spacing w:after="0" w:line="14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estimated aggregate purchase price for the 2012 acquisitions was $71.2 million, and is subject to change based on the final value of the net assets acquired. The following reconciles the estimated aggregate purchase price for the 2012 acquisitions to the cash paid for the acquisitions, net of cash acquired (in thousands):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71,151</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Less: Promissory notes issued</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7,214</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cash consideration</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Plus: Amounts due from sellers, net</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paid</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Less: Cash acquired</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0"/>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acquisition of businesses, net of cash acquired</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estimated purchase price for each of the 2012 acquisitions was allocated to the assets acquired and liabilities assumed based on their estimated fair value at the acquisition date. Since the valuations of the assets acquired and liabilities assumed in connection with the 2012 acquisitions have not been finalized, the allocation of the purchase price of these acquisitions may change. On an aggregate basis, the estimated purchase price allocation for the 2012 acquisitions is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4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4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4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7,311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4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5,174</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Identifiable intangible assets</w:t>
            </w:r>
          </w:p>
        </w:tc>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24,380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49,538</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Other current and long-term assets</w:t>
            </w:r>
          </w:p>
        </w:tc>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3,371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4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(57,994)</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4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(1,665)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40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0" w:type="dxa"/>
            <w:vAlign w:val="bottom"/>
            <w:vMerge w:val="restart"/>
          </w:tcPr>
          <w:p>
            <w:pPr>
              <w:jc w:val="right"/>
              <w:ind w:right="2890"/>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400" w:type="dxa"/>
            <w:vAlign w:val="bottom"/>
            <w:tcBorders>
              <w:bottom w:val="single" w:sz="8" w:color="010101"/>
            </w:tcBorders>
          </w:tcPr>
          <w:p>
            <w:pPr>
              <w:spacing w:after="0"/>
              <w:rPr>
                <w:sz w:val="11"/>
                <w:szCs w:val="11"/>
                <w:color w:val="auto"/>
              </w:rPr>
            </w:pPr>
          </w:p>
        </w:tc>
        <w:tc>
          <w:tcPr>
            <w:tcW w:w="40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 connection with the 2012 acquisitions, we recorded goodwill of $42.2 million and $7.3 million in our land and aviation segments, respectively, of which $40.8 million is anticipated to be deductible for tax purposes. The aggregate identifiable intangible assets consisted of $20.6 million of customer relationships and $2.0 million of other identifiable intangible assets with weighted average lives of 9.2 years and 6.3 years, respectively, as well as $1.8 million of indefinite-lived trademark/trade name rights.</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revenues and net income of the 2012 acquisitions did not have a significant impact on our results for the three and nine months ended September 30, 2012.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 forma information for the 2012 acquisitions has not been provided as the impact is not significant.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2011 Acquisitions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Based on our ongoing fair value assessment of certain of our 2011 acquisitions since December 31, 2011, we reclassified $2.9 million in goodwill from our aviation segment to our land segment and increased aviation segment goodwill by $1.8 million as a result of the reclassification of $1.1 million from identifiable intangible assets and a $0.7 million purchase price adjustment.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Except as updated below, the significant accounting policies we use for quarterly financial reporting are the same as those disclosed in Note 1 of the “Notes to the Consolidated Financial Statements” included in our 2011 10-K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accompanying consolidated financial statements and related notes to the consolidated financial statements include our accounts and those of our majority-owned or controlled subsidiaries, after elimination of all significant intercompany accounts, transactions, and profits.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in prior periods have been reclassified to conform to the current period’s presentation.</w:t>
      </w:r>
    </w:p>
    <w:p>
      <w:pPr>
        <w:sectPr>
          <w:pgSz w:w="11900" w:h="16838" w:orient="portrait"/>
          <w:cols w:equalWidth="0" w:num="1">
            <w:col w:w="11460"/>
          </w:cols>
          <w:pgMar w:left="240" w:top="125" w:right="199" w:bottom="0" w:gutter="0" w:footer="0" w:header="0"/>
        </w:sectPr>
      </w:pPr>
    </w:p>
    <w:bookmarkStart w:id="6" w:name="page7"/>
    <w:bookmarkEnd w:id="6"/>
    <w:p>
      <w:pPr>
        <w:ind w:left="340"/>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have a Receivables Purchase Agreement (“RPA”) to sell up to $125.0 million of certain of our accounts receivable. On our sold receivables, we are charged a discount margin equivalent to a floating market rate plus 2% and certain other fees, as applicable and we retain a beneficial interest in certain of the sold accounts receivable which is included in accounts receivable, net in the accompanying consolidated balance sheets.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2012, we had sold accounts receivable of $84.7 million and retained a beneficial interest of $19.3 million. During the three and nine months ended September 30, 2012, the fees and interest paid under the receivables purchase agreement were not significant.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Goodwill represents the future earnings and cash flow potential of acquired businesses in excess of the fair values that are assigned to all other identifiable assets and liabilities. Goodwill arises because the purchase price paid reflects numerous factors, including the strategic fit and expected synergies these acquisitions bring to existing operations and the prevailing market value for comparable companies. As of September 30, 2012, goodwill was $396.9 million as compared to $346.2 million as of December 31, 2011. Of the $50.7 million increase in goodwill, $51.3 million was related to acquisitions (see Acquisitions above), which was partially offset by reductions in goodwill of $0.5 million and $0.1 million as a result of foreign currency translation adjustments of our Brazilian subsidiary in our marine segment and our South African subsidiary in our aviation segment, respectively.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Testing Indefinite-Lived Intangible Assets for Impairment. </w:t>
      </w:r>
      <w:r>
        <w:rPr>
          <w:rFonts w:ascii="Arial" w:cs="Arial" w:eastAsia="Arial" w:hAnsi="Arial"/>
          <w:sz w:val="17"/>
          <w:szCs w:val="17"/>
          <w:color w:val="auto"/>
        </w:rPr>
        <w:t>In July 2012, the Financial Accounting Standards Board (“FASB”) issued an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(“ASU”) which permits an entity to first assess qualitative factors to determine whether it is more likely than not that an indefinite-lived intangible asset is impaired as a basis for determining whether it is necessary to perform a quantitative impairment test. This update is effective for annual and interim impairment tests performed in fiscal years beginning after September 15, 2012; however, early adoption is permitted. We do not believe adoption of this new guidance will have a significant impact on our consolidated financial statements and disclosures.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i w:val="1"/>
          <w:iCs w:val="1"/>
          <w:color w:val="auto"/>
        </w:rPr>
        <w:t xml:space="preserve">Disclosure About Offsetting Assets and Liabilities. </w:t>
      </w:r>
      <w:r>
        <w:rPr>
          <w:rFonts w:ascii="Arial" w:cs="Arial" w:eastAsia="Arial" w:hAnsi="Arial"/>
          <w:sz w:val="16"/>
          <w:szCs w:val="16"/>
          <w:color w:val="auto"/>
        </w:rPr>
        <w:t>In December 2011, the FASB issued an ASU which requires companies to disclose information about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that have been offset and related arrangements to enable users of its financial statements to understand the effect of those arrangements on its financial position. Companies will be required to provide both net (offset amounts) and gross information in the notes to the financial statements for relevant assets and liabilities that are offset. This update is effective at the beginning of our 2013 fiscal year and will be applied retrospectively. We do not believe adoption of this new guidance will have a significant impact on our consolidated financial statements and disclosures.</w:t>
      </w:r>
    </w:p>
    <w:p>
      <w:pPr>
        <w:spacing w:after="0" w:line="15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Disclosure Relating to Comprehensive Income. </w:t>
      </w:r>
      <w:r>
        <w:rPr>
          <w:rFonts w:ascii="Arial" w:cs="Arial" w:eastAsia="Arial" w:hAnsi="Arial"/>
          <w:sz w:val="17"/>
          <w:szCs w:val="17"/>
          <w:color w:val="auto"/>
        </w:rPr>
        <w:t>In June 2011, the FASB issued an ASU aimed at increasing the prominence of items reported in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income in the financial statements. This update requires companies to present comprehensive income in a single statement below net income or in a separate statement of comprehensive income immediately following the income statement. This ASU became effective on a prospective basis at the beginning of our 2012 fiscal year. In December 2011, the FASB issued an ASU to defer the effective date of the specific requirement to present items that are reclassified out of accumulated other comprehensive income to net income alongside their respective components of net income and other comprehensive income. All other provisions of this update are currently in effect. The adoption of this ASU resulted in the inclusion of consolidated statements of comprehensive income for the periods presented below the consolidated statements of income.</w:t>
      </w:r>
    </w:p>
    <w:p>
      <w:pPr>
        <w:spacing w:after="0" w:line="178"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In May 2011, the FASB issued an ASU to provide a consistent definition of fair value and common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 disclosure of fair value between International Financial Reporting Standards and U.S. Generally Accepted Accounting Principles. This ASU changes some fair value measurement principles and enhances disclosure requirements related to activities in Level 3 of the fair value hierarchy. The guidance became effective on a prospective basis at the beginning of our 2012 fiscal year. The adoption of this ASU did not have a material impact on our consolidated financial statements and disclosures.</w:t>
      </w:r>
    </w:p>
    <w:p>
      <w:pPr>
        <w:spacing w:after="0" w:line="18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also entered into to hedge the risk of currency rate fluctuations.</w:t>
      </w:r>
    </w:p>
    <w:p>
      <w:pPr>
        <w:sectPr>
          <w:pgSz w:w="11900" w:h="16838" w:orient="portrait"/>
          <w:cols w:equalWidth="0" w:num="1">
            <w:col w:w="11400"/>
          </w:cols>
          <w:pgMar w:left="240" w:top="341" w:right="25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September 30, 2012, our derivative instruments, at their respective fair value positions were as follows (in thousands, except mark-to-market prices):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w:t>
            </w:r>
          </w:p>
        </w:tc>
        <w:tc>
          <w:tcPr>
            <w:tcW w:w="2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Mark-to-</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Mark-to-</w:t>
            </w:r>
          </w:p>
        </w:tc>
        <w:tc>
          <w:tcPr>
            <w:tcW w:w="0" w:type="dxa"/>
            <w:vAlign w:val="bottom"/>
          </w:tcPr>
          <w:p>
            <w:pPr>
              <w:spacing w:after="0"/>
              <w:rPr>
                <w:sz w:val="1"/>
                <w:szCs w:val="1"/>
                <w:color w:val="auto"/>
              </w:rPr>
            </w:pPr>
          </w:p>
        </w:tc>
      </w:tr>
      <w:tr>
        <w:trPr>
          <w:trHeight w:val="149"/>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Hedge Strategy</w:t>
            </w: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22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Derivative Instrument</w:t>
            </w: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Notional</w:t>
            </w: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Unit</w:t>
            </w: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gridSpan w:val="3"/>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40" w:type="dxa"/>
            <w:vAlign w:val="bottom"/>
          </w:tcPr>
          <w:p>
            <w:pPr>
              <w:spacing w:after="0"/>
              <w:rPr>
                <w:sz w:val="14"/>
                <w:szCs w:val="14"/>
                <w:color w:val="auto"/>
              </w:rPr>
            </w:pPr>
          </w:p>
        </w:tc>
        <w:tc>
          <w:tcPr>
            <w:tcW w:w="42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Prices</w:t>
            </w:r>
          </w:p>
        </w:tc>
        <w:tc>
          <w:tcPr>
            <w:tcW w:w="12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 Hedge</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473</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EUR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1,758</w:t>
            </w:r>
          </w:p>
        </w:tc>
        <w:tc>
          <w:tcPr>
            <w:tcW w:w="960" w:type="dxa"/>
            <w:vAlign w:val="bottom"/>
            <w:gridSpan w:val="2"/>
          </w:tcPr>
          <w:p>
            <w:pPr>
              <w:spacing w:after="0"/>
              <w:rPr>
                <w:sz w:val="20"/>
                <w:szCs w:val="20"/>
                <w:color w:val="auto"/>
              </w:rPr>
            </w:pPr>
            <w:r>
              <w:rPr>
                <w:rFonts w:ascii="Arial" w:cs="Arial" w:eastAsia="Arial" w:hAnsi="Arial"/>
                <w:sz w:val="16"/>
                <w:szCs w:val="16"/>
                <w:color w:val="auto"/>
              </w:rPr>
              <w:t>EUR</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0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Hedge</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Commodity contracts for inventory hedging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16,999</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Commodity contracts for inventory hedging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71,083</w:t>
            </w:r>
          </w:p>
        </w:tc>
        <w:tc>
          <w:tcPr>
            <w:tcW w:w="960" w:type="dxa"/>
            <w:vAlign w:val="bottom"/>
            <w:gridSpan w:val="2"/>
          </w:tcPr>
          <w:p>
            <w:pPr>
              <w:spacing w:after="0"/>
              <w:rPr>
                <w:sz w:val="20"/>
                <w:szCs w:val="20"/>
                <w:color w:val="auto"/>
              </w:rPr>
            </w:pPr>
            <w:r>
              <w:rPr>
                <w:rFonts w:ascii="Arial" w:cs="Arial" w:eastAsia="Arial" w:hAnsi="Arial"/>
                <w:sz w:val="16"/>
                <w:szCs w:val="16"/>
                <w:color w:val="auto"/>
              </w:rPr>
              <w:t>GAL</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Commodity contracts for inventory hedging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Commodity contracts for inventory hedging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51</w:t>
            </w:r>
          </w:p>
        </w:tc>
        <w:tc>
          <w:tcPr>
            <w:tcW w:w="960" w:type="dxa"/>
            <w:vAlign w:val="bottom"/>
            <w:gridSpan w:val="2"/>
          </w:tcPr>
          <w:p>
            <w:pPr>
              <w:spacing w:after="0"/>
              <w:rPr>
                <w:sz w:val="20"/>
                <w:szCs w:val="20"/>
                <w:color w:val="auto"/>
              </w:rPr>
            </w:pPr>
            <w:r>
              <w:rPr>
                <w:rFonts w:ascii="Arial" w:cs="Arial" w:eastAsia="Arial" w:hAnsi="Arial"/>
                <w:sz w:val="16"/>
                <w:szCs w:val="16"/>
                <w:color w:val="auto"/>
              </w:rPr>
              <w:t>MT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0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Non-Designated</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Commodity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111,788</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Commodity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182,095</w:t>
            </w:r>
          </w:p>
        </w:tc>
        <w:tc>
          <w:tcPr>
            <w:tcW w:w="960" w:type="dxa"/>
            <w:vAlign w:val="bottom"/>
            <w:gridSpan w:val="2"/>
          </w:tcPr>
          <w:p>
            <w:pPr>
              <w:spacing w:after="0"/>
              <w:rPr>
                <w:sz w:val="20"/>
                <w:szCs w:val="20"/>
                <w:color w:val="auto"/>
              </w:rPr>
            </w:pPr>
            <w:r>
              <w:rPr>
                <w:rFonts w:ascii="Arial" w:cs="Arial" w:eastAsia="Arial" w:hAnsi="Arial"/>
                <w:sz w:val="16"/>
                <w:szCs w:val="16"/>
                <w:color w:val="auto"/>
              </w:rPr>
              <w:t>GAL</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(12,388)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Commodity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3,766</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44,487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Commodity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2,976</w:t>
            </w:r>
          </w:p>
        </w:tc>
        <w:tc>
          <w:tcPr>
            <w:tcW w:w="960" w:type="dxa"/>
            <w:vAlign w:val="bottom"/>
            <w:gridSpan w:val="2"/>
          </w:tcPr>
          <w:p>
            <w:pPr>
              <w:spacing w:after="0"/>
              <w:rPr>
                <w:sz w:val="20"/>
                <w:szCs w:val="20"/>
                <w:color w:val="auto"/>
              </w:rPr>
            </w:pPr>
            <w:r>
              <w:rPr>
                <w:rFonts w:ascii="Arial" w:cs="Arial" w:eastAsia="Arial" w:hAnsi="Arial"/>
                <w:sz w:val="16"/>
                <w:szCs w:val="16"/>
                <w:color w:val="auto"/>
              </w:rPr>
              <w:t>MT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(32,939)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2013</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Commodity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30,498</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GAL</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Commodity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86,249</w:t>
            </w:r>
          </w:p>
        </w:tc>
        <w:tc>
          <w:tcPr>
            <w:tcW w:w="960" w:type="dxa"/>
            <w:vAlign w:val="bottom"/>
            <w:gridSpan w:val="2"/>
          </w:tcPr>
          <w:p>
            <w:pPr>
              <w:spacing w:after="0"/>
              <w:rPr>
                <w:sz w:val="20"/>
                <w:szCs w:val="20"/>
                <w:color w:val="auto"/>
              </w:rPr>
            </w:pPr>
            <w:r>
              <w:rPr>
                <w:rFonts w:ascii="Arial" w:cs="Arial" w:eastAsia="Arial" w:hAnsi="Arial"/>
                <w:sz w:val="16"/>
                <w:szCs w:val="16"/>
                <w:color w:val="auto"/>
              </w:rPr>
              <w:t>GAL</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2013</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Commodity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2,248</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Commodity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1,087</w:t>
            </w:r>
          </w:p>
        </w:tc>
        <w:tc>
          <w:tcPr>
            <w:tcW w:w="960" w:type="dxa"/>
            <w:vAlign w:val="bottom"/>
            <w:gridSpan w:val="2"/>
          </w:tcPr>
          <w:p>
            <w:pPr>
              <w:spacing w:after="0"/>
              <w:rPr>
                <w:sz w:val="20"/>
                <w:szCs w:val="20"/>
                <w:color w:val="auto"/>
              </w:rPr>
            </w:pPr>
            <w:r>
              <w:rPr>
                <w:rFonts w:ascii="Arial" w:cs="Arial" w:eastAsia="Arial" w:hAnsi="Arial"/>
                <w:sz w:val="16"/>
                <w:szCs w:val="16"/>
                <w:color w:val="auto"/>
              </w:rPr>
              <w:t>MT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2014</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Commodity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263</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GAL</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Commodity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1,048</w:t>
            </w:r>
          </w:p>
        </w:tc>
        <w:tc>
          <w:tcPr>
            <w:tcW w:w="960" w:type="dxa"/>
            <w:vAlign w:val="bottom"/>
            <w:gridSpan w:val="2"/>
          </w:tcPr>
          <w:p>
            <w:pPr>
              <w:spacing w:after="0"/>
              <w:rPr>
                <w:sz w:val="20"/>
                <w:szCs w:val="20"/>
                <w:color w:val="auto"/>
              </w:rPr>
            </w:pPr>
            <w:r>
              <w:rPr>
                <w:rFonts w:ascii="Arial" w:cs="Arial" w:eastAsia="Arial" w:hAnsi="Arial"/>
                <w:sz w:val="16"/>
                <w:szCs w:val="16"/>
                <w:color w:val="auto"/>
              </w:rPr>
              <w:t>GAL</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2014</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Commodity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Commodity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960" w:type="dxa"/>
            <w:vAlign w:val="bottom"/>
            <w:gridSpan w:val="2"/>
          </w:tcPr>
          <w:p>
            <w:pPr>
              <w:spacing w:after="0"/>
              <w:rPr>
                <w:sz w:val="20"/>
                <w:szCs w:val="20"/>
                <w:color w:val="auto"/>
              </w:rPr>
            </w:pPr>
            <w:r>
              <w:rPr>
                <w:rFonts w:ascii="Arial" w:cs="Arial" w:eastAsia="Arial" w:hAnsi="Arial"/>
                <w:sz w:val="16"/>
                <w:szCs w:val="16"/>
                <w:color w:val="auto"/>
              </w:rPr>
              <w:t>MT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Commodity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Commodity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960" w:type="dxa"/>
            <w:vAlign w:val="bottom"/>
            <w:gridSpan w:val="2"/>
          </w:tcPr>
          <w:p>
            <w:pPr>
              <w:spacing w:after="0"/>
              <w:rPr>
                <w:sz w:val="20"/>
                <w:szCs w:val="20"/>
                <w:color w:val="auto"/>
              </w:rPr>
            </w:pPr>
            <w:r>
              <w:rPr>
                <w:rFonts w:ascii="Arial" w:cs="Arial" w:eastAsia="Arial" w:hAnsi="Arial"/>
                <w:sz w:val="16"/>
                <w:szCs w:val="16"/>
                <w:color w:val="auto"/>
              </w:rPr>
              <w:t>MT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1,448</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4,092</w:t>
            </w:r>
          </w:p>
        </w:tc>
        <w:tc>
          <w:tcPr>
            <w:tcW w:w="960" w:type="dxa"/>
            <w:vAlign w:val="bottom"/>
            <w:gridSpan w:val="2"/>
          </w:tcPr>
          <w:p>
            <w:pPr>
              <w:spacing w:after="0"/>
              <w:rPr>
                <w:sz w:val="20"/>
                <w:szCs w:val="20"/>
                <w:color w:val="auto"/>
              </w:rPr>
            </w:pPr>
            <w:r>
              <w:rPr>
                <w:rFonts w:ascii="Arial" w:cs="Arial" w:eastAsia="Arial" w:hAnsi="Arial"/>
                <w:sz w:val="16"/>
                <w:szCs w:val="16"/>
                <w:color w:val="auto"/>
              </w:rPr>
              <w:t>AUD</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1,451</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BRL</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17,978</w:t>
            </w:r>
          </w:p>
        </w:tc>
        <w:tc>
          <w:tcPr>
            <w:tcW w:w="960" w:type="dxa"/>
            <w:vAlign w:val="bottom"/>
            <w:gridSpan w:val="2"/>
          </w:tcPr>
          <w:p>
            <w:pPr>
              <w:spacing w:after="0"/>
              <w:rPr>
                <w:sz w:val="20"/>
                <w:szCs w:val="20"/>
                <w:color w:val="auto"/>
              </w:rPr>
            </w:pPr>
            <w:r>
              <w:rPr>
                <w:rFonts w:ascii="Arial" w:cs="Arial" w:eastAsia="Arial" w:hAnsi="Arial"/>
                <w:sz w:val="16"/>
                <w:szCs w:val="16"/>
                <w:color w:val="auto"/>
              </w:rPr>
              <w:t>CAD</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14,600</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CAD</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3,614,091</w:t>
            </w:r>
          </w:p>
        </w:tc>
        <w:tc>
          <w:tcPr>
            <w:tcW w:w="960" w:type="dxa"/>
            <w:vAlign w:val="bottom"/>
            <w:gridSpan w:val="2"/>
          </w:tcPr>
          <w:p>
            <w:pPr>
              <w:spacing w:after="0"/>
              <w:rPr>
                <w:sz w:val="20"/>
                <w:szCs w:val="20"/>
                <w:color w:val="auto"/>
              </w:rPr>
            </w:pPr>
            <w:r>
              <w:rPr>
                <w:rFonts w:ascii="Arial" w:cs="Arial" w:eastAsia="Arial" w:hAnsi="Arial"/>
                <w:sz w:val="16"/>
                <w:szCs w:val="16"/>
                <w:color w:val="auto"/>
              </w:rPr>
              <w:t>CLP</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75,536</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CLP</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8,455,751</w:t>
            </w:r>
          </w:p>
        </w:tc>
        <w:tc>
          <w:tcPr>
            <w:tcW w:w="960" w:type="dxa"/>
            <w:vAlign w:val="bottom"/>
            <w:gridSpan w:val="2"/>
          </w:tcPr>
          <w:p>
            <w:pPr>
              <w:spacing w:after="0"/>
              <w:rPr>
                <w:sz w:val="20"/>
                <w:szCs w:val="20"/>
                <w:color w:val="auto"/>
              </w:rPr>
            </w:pPr>
            <w:r>
              <w:rPr>
                <w:rFonts w:ascii="Arial" w:cs="Arial" w:eastAsia="Arial" w:hAnsi="Arial"/>
                <w:sz w:val="16"/>
                <w:szCs w:val="16"/>
                <w:color w:val="auto"/>
              </w:rPr>
              <w:t>COP</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16,400</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DKK</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17,000</w:t>
            </w:r>
          </w:p>
        </w:tc>
        <w:tc>
          <w:tcPr>
            <w:tcW w:w="960" w:type="dxa"/>
            <w:vAlign w:val="bottom"/>
            <w:gridSpan w:val="2"/>
          </w:tcPr>
          <w:p>
            <w:pPr>
              <w:spacing w:after="0"/>
              <w:rPr>
                <w:sz w:val="20"/>
                <w:szCs w:val="20"/>
                <w:color w:val="auto"/>
              </w:rPr>
            </w:pPr>
            <w:r>
              <w:rPr>
                <w:rFonts w:ascii="Arial" w:cs="Arial" w:eastAsia="Arial" w:hAnsi="Arial"/>
                <w:sz w:val="16"/>
                <w:szCs w:val="16"/>
                <w:color w:val="auto"/>
              </w:rPr>
              <w:t>DKK</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16,628</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EUR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34,834</w:t>
            </w:r>
          </w:p>
        </w:tc>
        <w:tc>
          <w:tcPr>
            <w:tcW w:w="960" w:type="dxa"/>
            <w:vAlign w:val="bottom"/>
            <w:gridSpan w:val="2"/>
          </w:tcPr>
          <w:p>
            <w:pPr>
              <w:spacing w:after="0"/>
              <w:rPr>
                <w:sz w:val="20"/>
                <w:szCs w:val="20"/>
                <w:color w:val="auto"/>
              </w:rPr>
            </w:pPr>
            <w:r>
              <w:rPr>
                <w:rFonts w:ascii="Arial" w:cs="Arial" w:eastAsia="Arial" w:hAnsi="Arial"/>
                <w:sz w:val="16"/>
                <w:szCs w:val="16"/>
                <w:color w:val="auto"/>
              </w:rPr>
              <w:t>EUR</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58,715</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GBP</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82,701</w:t>
            </w:r>
          </w:p>
        </w:tc>
        <w:tc>
          <w:tcPr>
            <w:tcW w:w="960" w:type="dxa"/>
            <w:vAlign w:val="bottom"/>
            <w:gridSpan w:val="2"/>
          </w:tcPr>
          <w:p>
            <w:pPr>
              <w:spacing w:after="0"/>
              <w:rPr>
                <w:sz w:val="20"/>
                <w:szCs w:val="20"/>
                <w:color w:val="auto"/>
              </w:rPr>
            </w:pPr>
            <w:r>
              <w:rPr>
                <w:rFonts w:ascii="Arial" w:cs="Arial" w:eastAsia="Arial" w:hAnsi="Arial"/>
                <w:sz w:val="16"/>
                <w:szCs w:val="16"/>
                <w:color w:val="auto"/>
              </w:rPr>
              <w:t>GBP</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22,502</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JPY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175,189</w:t>
            </w:r>
          </w:p>
        </w:tc>
        <w:tc>
          <w:tcPr>
            <w:tcW w:w="960" w:type="dxa"/>
            <w:vAlign w:val="bottom"/>
            <w:gridSpan w:val="2"/>
          </w:tcPr>
          <w:p>
            <w:pPr>
              <w:spacing w:after="0"/>
              <w:rPr>
                <w:sz w:val="20"/>
                <w:szCs w:val="20"/>
                <w:color w:val="auto"/>
              </w:rPr>
            </w:pPr>
            <w:r>
              <w:rPr>
                <w:rFonts w:ascii="Arial" w:cs="Arial" w:eastAsia="Arial" w:hAnsi="Arial"/>
                <w:sz w:val="16"/>
                <w:szCs w:val="16"/>
                <w:color w:val="auto"/>
              </w:rPr>
              <w:t>JPY</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352,026</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MXN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267,447</w:t>
            </w:r>
          </w:p>
        </w:tc>
        <w:tc>
          <w:tcPr>
            <w:tcW w:w="960" w:type="dxa"/>
            <w:vAlign w:val="bottom"/>
            <w:gridSpan w:val="2"/>
          </w:tcPr>
          <w:p>
            <w:pPr>
              <w:spacing w:after="0"/>
              <w:rPr>
                <w:sz w:val="20"/>
                <w:szCs w:val="20"/>
                <w:color w:val="auto"/>
              </w:rPr>
            </w:pPr>
            <w:r>
              <w:rPr>
                <w:rFonts w:ascii="Arial" w:cs="Arial" w:eastAsia="Arial" w:hAnsi="Arial"/>
                <w:sz w:val="16"/>
                <w:szCs w:val="16"/>
                <w:color w:val="auto"/>
              </w:rPr>
              <w:t>MXN</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14,000</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NOK</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33,288</w:t>
            </w:r>
          </w:p>
        </w:tc>
        <w:tc>
          <w:tcPr>
            <w:tcW w:w="960" w:type="dxa"/>
            <w:vAlign w:val="bottom"/>
            <w:gridSpan w:val="2"/>
          </w:tcPr>
          <w:p>
            <w:pPr>
              <w:spacing w:after="0"/>
              <w:rPr>
                <w:sz w:val="20"/>
                <w:szCs w:val="20"/>
                <w:color w:val="auto"/>
              </w:rPr>
            </w:pPr>
            <w:r>
              <w:rPr>
                <w:rFonts w:ascii="Arial" w:cs="Arial" w:eastAsia="Arial" w:hAnsi="Arial"/>
                <w:sz w:val="16"/>
                <w:szCs w:val="16"/>
                <w:color w:val="auto"/>
              </w:rPr>
              <w:t>NOK</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6,367</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RON</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18,902</w:t>
            </w:r>
          </w:p>
        </w:tc>
        <w:tc>
          <w:tcPr>
            <w:tcW w:w="960" w:type="dxa"/>
            <w:vAlign w:val="bottom"/>
            <w:gridSpan w:val="2"/>
          </w:tcPr>
          <w:p>
            <w:pPr>
              <w:spacing w:after="0"/>
              <w:rPr>
                <w:sz w:val="20"/>
                <w:szCs w:val="20"/>
                <w:color w:val="auto"/>
              </w:rPr>
            </w:pPr>
            <w:r>
              <w:rPr>
                <w:rFonts w:ascii="Arial" w:cs="Arial" w:eastAsia="Arial" w:hAnsi="Arial"/>
                <w:sz w:val="16"/>
                <w:szCs w:val="16"/>
                <w:color w:val="auto"/>
              </w:rPr>
              <w:t>SGD</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2012</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22,537</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SGD</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28,390</w:t>
            </w:r>
          </w:p>
        </w:tc>
        <w:tc>
          <w:tcPr>
            <w:tcW w:w="960" w:type="dxa"/>
            <w:vAlign w:val="bottom"/>
            <w:gridSpan w:val="2"/>
          </w:tcPr>
          <w:p>
            <w:pPr>
              <w:spacing w:after="0"/>
              <w:rPr>
                <w:sz w:val="20"/>
                <w:szCs w:val="20"/>
                <w:color w:val="auto"/>
              </w:rPr>
            </w:pPr>
            <w:r>
              <w:rPr>
                <w:rFonts w:ascii="Arial" w:cs="Arial" w:eastAsia="Arial" w:hAnsi="Arial"/>
                <w:sz w:val="16"/>
                <w:szCs w:val="16"/>
                <w:color w:val="auto"/>
              </w:rPr>
              <w:t>GBP</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2013</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49,180</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GBP</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15,768</w:t>
            </w:r>
          </w:p>
        </w:tc>
        <w:tc>
          <w:tcPr>
            <w:tcW w:w="960" w:type="dxa"/>
            <w:vAlign w:val="bottom"/>
            <w:gridSpan w:val="2"/>
          </w:tcPr>
          <w:p>
            <w:pPr>
              <w:spacing w:after="0"/>
              <w:rPr>
                <w:sz w:val="20"/>
                <w:szCs w:val="20"/>
                <w:color w:val="auto"/>
              </w:rPr>
            </w:pPr>
            <w:r>
              <w:rPr>
                <w:rFonts w:ascii="Arial" w:cs="Arial" w:eastAsia="Arial" w:hAnsi="Arial"/>
                <w:sz w:val="16"/>
                <w:szCs w:val="16"/>
                <w:color w:val="auto"/>
              </w:rPr>
              <w:t>JPY</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2014</w:t>
            </w:r>
          </w:p>
        </w:tc>
        <w:tc>
          <w:tcPr>
            <w:tcW w:w="4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Foreign currency contracts (long)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250</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GBP</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4460" w:type="dxa"/>
            <w:vAlign w:val="bottom"/>
            <w:gridSpan w:val="3"/>
          </w:tcPr>
          <w:p>
            <w:pPr>
              <w:ind w:left="240"/>
              <w:spacing w:after="0"/>
              <w:rPr>
                <w:sz w:val="20"/>
                <w:szCs w:val="20"/>
                <w:color w:val="auto"/>
              </w:rPr>
            </w:pPr>
            <w:r>
              <w:rPr>
                <w:rFonts w:ascii="Arial" w:cs="Arial" w:eastAsia="Arial" w:hAnsi="Arial"/>
                <w:sz w:val="16"/>
                <w:szCs w:val="16"/>
                <w:color w:val="auto"/>
              </w:rPr>
              <w:t>Foreign currency contracts (short)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1,430</w:t>
            </w:r>
          </w:p>
        </w:tc>
        <w:tc>
          <w:tcPr>
            <w:tcW w:w="960" w:type="dxa"/>
            <w:vAlign w:val="bottom"/>
            <w:gridSpan w:val="2"/>
          </w:tcPr>
          <w:p>
            <w:pPr>
              <w:spacing w:after="0"/>
              <w:rPr>
                <w:sz w:val="20"/>
                <w:szCs w:val="20"/>
                <w:color w:val="auto"/>
              </w:rPr>
            </w:pPr>
            <w:r>
              <w:rPr>
                <w:rFonts w:ascii="Arial" w:cs="Arial" w:eastAsia="Arial" w:hAnsi="Arial"/>
                <w:sz w:val="16"/>
                <w:szCs w:val="16"/>
                <w:color w:val="auto"/>
              </w:rPr>
              <w:t>GBP</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0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12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80" w:type="dxa"/>
            <w:vAlign w:val="bottom"/>
          </w:tcPr>
          <w:p>
            <w:pPr>
              <w:spacing w:after="0"/>
              <w:rPr>
                <w:sz w:val="10"/>
                <w:szCs w:val="10"/>
                <w:color w:val="auto"/>
              </w:rPr>
            </w:pPr>
          </w:p>
        </w:tc>
        <w:tc>
          <w:tcPr>
            <w:tcW w:w="960" w:type="dxa"/>
            <w:vAlign w:val="bottom"/>
          </w:tcPr>
          <w:p>
            <w:pPr>
              <w:jc w:val="center"/>
              <w:ind w:right="5"/>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2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05"/>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Derivative assets:</w:t>
            </w:r>
          </w:p>
        </w:tc>
        <w:tc>
          <w:tcPr>
            <w:tcW w:w="3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Derivatives designated as hedging instruments</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40" w:type="dxa"/>
            <w:vAlign w:val="bottom"/>
            <w:gridSpan w:val="2"/>
          </w:tcPr>
          <w:p>
            <w:pPr>
              <w:spacing w:after="0" w:line="196" w:lineRule="exact"/>
              <w:rPr>
                <w:sz w:val="20"/>
                <w:szCs w:val="20"/>
                <w:color w:val="auto"/>
              </w:rPr>
            </w:pPr>
            <w:r>
              <w:rPr>
                <w:rFonts w:ascii="Arial" w:cs="Arial" w:eastAsia="Arial" w:hAnsi="Arial"/>
                <w:sz w:val="18"/>
                <w:szCs w:val="18"/>
                <w:color w:val="auto"/>
                <w:w w:val="99"/>
              </w:rPr>
              <w:t>Derivatives not designated as hedging instruments</w:t>
            </w:r>
          </w:p>
        </w:tc>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Non-current other assets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Non-current other assets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144,871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68,065</w:t>
            </w:r>
          </w:p>
        </w:tc>
        <w:tc>
          <w:tcPr>
            <w:tcW w:w="120" w:type="dxa"/>
            <w:vAlign w:val="bottom"/>
            <w:tcBorders>
              <w:bottom w:val="single" w:sz="8" w:color="CCEEFF"/>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040" w:type="dxa"/>
            <w:vAlign w:val="bottom"/>
            <w:gridSpan w:val="2"/>
          </w:tcPr>
          <w:p>
            <w:pPr>
              <w:spacing w:after="0" w:line="176" w:lineRule="exact"/>
              <w:rPr>
                <w:sz w:val="20"/>
                <w:szCs w:val="20"/>
                <w:color w:val="auto"/>
              </w:rPr>
            </w:pPr>
            <w:r>
              <w:rPr>
                <w:rFonts w:ascii="Arial" w:cs="Arial" w:eastAsia="Arial" w:hAnsi="Arial"/>
                <w:sz w:val="18"/>
                <w:szCs w:val="18"/>
                <w:color w:val="auto"/>
              </w:rPr>
              <w:t>Derivative liabilities:</w:t>
            </w:r>
          </w:p>
        </w:tc>
        <w:tc>
          <w:tcPr>
            <w:tcW w:w="4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Derivatives not designated as hedging instruments</w:t>
            </w:r>
          </w:p>
        </w:tc>
        <w:tc>
          <w:tcPr>
            <w:tcW w:w="4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90,522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 other assets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29,402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 other assets</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56,380</w:t>
            </w:r>
          </w:p>
        </w:tc>
        <w:tc>
          <w:tcPr>
            <w:tcW w:w="1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CCEEFF"/>
            </w:tcBorders>
            <w:shd w:val="clear" w:color="auto" w:fill="CCEEFF"/>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137,099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560" w:type="dxa"/>
            <w:vAlign w:val="bottom"/>
            <w:vMerge w:val="restart"/>
          </w:tcPr>
          <w:p>
            <w:pPr>
              <w:ind w:left="124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right"/>
              <w:ind w:right="339"/>
              <w:spacing w:after="0"/>
              <w:rPr>
                <w:sz w:val="20"/>
                <w:szCs w:val="20"/>
                <w:color w:val="auto"/>
              </w:rPr>
            </w:pPr>
            <w:r>
              <w:rPr>
                <w:rFonts w:ascii="Arial" w:cs="Arial" w:eastAsia="Arial" w:hAnsi="Arial"/>
                <w:sz w:val="14"/>
                <w:szCs w:val="14"/>
                <w:b w:val="1"/>
                <w:bCs w:val="1"/>
                <w:color w:val="auto"/>
                <w:w w:val="98"/>
              </w:rPr>
              <w:t>Realized and Unrealized</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Realized and Unrealized</w:t>
            </w:r>
          </w:p>
        </w:tc>
        <w:tc>
          <w:tcPr>
            <w:tcW w:w="0" w:type="dxa"/>
            <w:vAlign w:val="bottom"/>
          </w:tcPr>
          <w:p>
            <w:pPr>
              <w:spacing w:after="0"/>
              <w:rPr>
                <w:sz w:val="1"/>
                <w:szCs w:val="1"/>
                <w:color w:val="auto"/>
              </w:rPr>
            </w:pPr>
          </w:p>
        </w:tc>
      </w:tr>
      <w:tr>
        <w:trPr>
          <w:trHeight w:val="171"/>
        </w:trPr>
        <w:tc>
          <w:tcPr>
            <w:tcW w:w="2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w:t>
            </w:r>
          </w:p>
        </w:tc>
        <w:tc>
          <w:tcPr>
            <w:tcW w:w="1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Location</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Gain (Loss)</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Hedged Items</w:t>
            </w: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Gain (Loss)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gridSpan w:val="4"/>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8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color w:val="auto"/>
              </w:rPr>
              <w:t>Three months ended September 30,</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Commodity contracts</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(7,081)</w:t>
            </w:r>
          </w:p>
        </w:tc>
        <w:tc>
          <w:tcPr>
            <w:tcW w:w="14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Firm commitments</w:t>
            </w: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7,284</w:t>
            </w:r>
          </w:p>
        </w:tc>
        <w:tc>
          <w:tcPr>
            <w:tcW w:w="0" w:type="dxa"/>
            <w:vAlign w:val="bottom"/>
          </w:tcPr>
          <w:p>
            <w:pPr>
              <w:spacing w:after="0"/>
              <w:rPr>
                <w:sz w:val="1"/>
                <w:szCs w:val="1"/>
                <w:color w:val="auto"/>
              </w:rPr>
            </w:pPr>
          </w:p>
        </w:tc>
      </w:tr>
      <w:tr>
        <w:trPr>
          <w:trHeight w:val="149"/>
        </w:trPr>
        <w:tc>
          <w:tcPr>
            <w:tcW w:w="2680" w:type="dxa"/>
            <w:vAlign w:val="bottom"/>
            <w:gridSpan w:val="4"/>
          </w:tcPr>
          <w:p>
            <w:pPr>
              <w:spacing w:after="0" w:line="149" w:lineRule="exact"/>
              <w:rPr>
                <w:sz w:val="20"/>
                <w:szCs w:val="20"/>
                <w:color w:val="auto"/>
              </w:rPr>
            </w:pPr>
            <w:r>
              <w:rPr>
                <w:rFonts w:ascii="Arial" w:cs="Arial" w:eastAsia="Arial" w:hAnsi="Arial"/>
                <w:sz w:val="14"/>
                <w:szCs w:val="14"/>
                <w:color w:val="auto"/>
              </w:rPr>
              <w:t>Commodity contracts</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Cost of revenue</w:t>
            </w:r>
          </w:p>
        </w:tc>
        <w:tc>
          <w:tcPr>
            <w:tcW w:w="160" w:type="dxa"/>
            <w:vAlign w:val="bottom"/>
          </w:tcPr>
          <w:p>
            <w:pPr>
              <w:spacing w:after="0"/>
              <w:rPr>
                <w:sz w:val="12"/>
                <w:szCs w:val="12"/>
                <w:color w:val="auto"/>
              </w:rPr>
            </w:pPr>
          </w:p>
        </w:tc>
        <w:tc>
          <w:tcPr>
            <w:tcW w:w="10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1,112</w:t>
            </w:r>
          </w:p>
        </w:tc>
        <w:tc>
          <w:tcPr>
            <w:tcW w:w="140" w:type="dxa"/>
            <w:vAlign w:val="bottom"/>
          </w:tcPr>
          <w:p>
            <w:pPr>
              <w:spacing w:after="0"/>
              <w:rPr>
                <w:sz w:val="12"/>
                <w:szCs w:val="12"/>
                <w:color w:val="auto"/>
              </w:rPr>
            </w:pPr>
          </w:p>
        </w:tc>
        <w:tc>
          <w:tcPr>
            <w:tcW w:w="1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Firm commitments</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Cost of 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49"/>
        </w:trPr>
        <w:tc>
          <w:tcPr>
            <w:tcW w:w="26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Commodity contracts</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(38,337)</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14,375</w:t>
            </w:r>
          </w:p>
        </w:tc>
        <w:tc>
          <w:tcPr>
            <w:tcW w:w="14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Inventories</w:t>
            </w: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44,615</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(9,136)</w:t>
            </w:r>
          </w:p>
        </w:tc>
        <w:tc>
          <w:tcPr>
            <w:tcW w:w="0" w:type="dxa"/>
            <w:vAlign w:val="bottom"/>
          </w:tcPr>
          <w:p>
            <w:pPr>
              <w:spacing w:after="0"/>
              <w:rPr>
                <w:sz w:val="1"/>
                <w:szCs w:val="1"/>
                <w:color w:val="auto"/>
              </w:rPr>
            </w:pPr>
          </w:p>
        </w:tc>
      </w:tr>
      <w:tr>
        <w:trPr>
          <w:trHeight w:val="182"/>
        </w:trPr>
        <w:tc>
          <w:tcPr>
            <w:tcW w:w="19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(38,337)</w:t>
            </w:r>
          </w:p>
        </w:tc>
        <w:tc>
          <w:tcPr>
            <w:tcW w:w="2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8,406</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44,615</w:t>
            </w:r>
          </w:p>
        </w:tc>
        <w:tc>
          <w:tcPr>
            <w:tcW w:w="2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gridSpan w:val="4"/>
          </w:tcPr>
          <w:p>
            <w:pPr>
              <w:spacing w:after="0" w:line="135" w:lineRule="exact"/>
              <w:rPr>
                <w:sz w:val="20"/>
                <w:szCs w:val="20"/>
                <w:color w:val="auto"/>
              </w:rPr>
            </w:pPr>
            <w:r>
              <w:rPr>
                <w:rFonts w:ascii="Arial" w:cs="Arial" w:eastAsia="Arial" w:hAnsi="Arial"/>
                <w:sz w:val="14"/>
                <w:szCs w:val="14"/>
                <w:color w:val="auto"/>
              </w:rPr>
              <w:t>Nine months ended September 30,</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4"/>
          </w:tcPr>
          <w:p>
            <w:pPr>
              <w:spacing w:after="0" w:line="149" w:lineRule="exact"/>
              <w:rPr>
                <w:sz w:val="20"/>
                <w:szCs w:val="20"/>
                <w:color w:val="auto"/>
              </w:rPr>
            </w:pPr>
            <w:r>
              <w:rPr>
                <w:rFonts w:ascii="Arial" w:cs="Arial" w:eastAsia="Arial" w:hAnsi="Arial"/>
                <w:sz w:val="14"/>
                <w:szCs w:val="14"/>
                <w:color w:val="auto"/>
              </w:rPr>
              <w:t>Commodity contracts</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Revenue</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265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9,124</w:t>
            </w:r>
          </w:p>
        </w:tc>
        <w:tc>
          <w:tcPr>
            <w:tcW w:w="1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Firm commitments</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(9,505)</w:t>
            </w:r>
          </w:p>
        </w:tc>
        <w:tc>
          <w:tcPr>
            <w:tcW w:w="0" w:type="dxa"/>
            <w:vAlign w:val="bottom"/>
          </w:tcPr>
          <w:p>
            <w:pPr>
              <w:spacing w:after="0"/>
              <w:rPr>
                <w:sz w:val="1"/>
                <w:szCs w:val="1"/>
                <w:color w:val="auto"/>
              </w:rPr>
            </w:pPr>
          </w:p>
        </w:tc>
      </w:tr>
      <w:tr>
        <w:trPr>
          <w:trHeight w:val="149"/>
        </w:trPr>
        <w:tc>
          <w:tcPr>
            <w:tcW w:w="26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Commodity contracts</w:t>
            </w: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(1,417)</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(6,718)</w:t>
            </w:r>
          </w:p>
        </w:tc>
        <w:tc>
          <w:tcPr>
            <w:tcW w:w="14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Firm commitments</w:t>
            </w: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7,456</w:t>
            </w:r>
          </w:p>
        </w:tc>
        <w:tc>
          <w:tcPr>
            <w:tcW w:w="0" w:type="dxa"/>
            <w:vAlign w:val="bottom"/>
          </w:tcPr>
          <w:p>
            <w:pPr>
              <w:spacing w:after="0"/>
              <w:rPr>
                <w:sz w:val="1"/>
                <w:szCs w:val="1"/>
                <w:color w:val="auto"/>
              </w:rPr>
            </w:pPr>
          </w:p>
        </w:tc>
      </w:tr>
      <w:tr>
        <w:trPr>
          <w:trHeight w:val="149"/>
        </w:trPr>
        <w:tc>
          <w:tcPr>
            <w:tcW w:w="2680" w:type="dxa"/>
            <w:vAlign w:val="bottom"/>
            <w:gridSpan w:val="4"/>
          </w:tcPr>
          <w:p>
            <w:pPr>
              <w:spacing w:after="0" w:line="149" w:lineRule="exact"/>
              <w:rPr>
                <w:sz w:val="20"/>
                <w:szCs w:val="20"/>
                <w:color w:val="auto"/>
              </w:rPr>
            </w:pPr>
            <w:r>
              <w:rPr>
                <w:rFonts w:ascii="Arial" w:cs="Arial" w:eastAsia="Arial" w:hAnsi="Arial"/>
                <w:sz w:val="14"/>
                <w:szCs w:val="14"/>
                <w:color w:val="auto"/>
              </w:rPr>
              <w:t>Commodity contracts</w:t>
            </w: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Cost of revenue</w:t>
            </w:r>
          </w:p>
        </w:tc>
        <w:tc>
          <w:tcPr>
            <w:tcW w:w="160" w:type="dxa"/>
            <w:vAlign w:val="bottom"/>
          </w:tcPr>
          <w:p>
            <w:pPr>
              <w:spacing w:after="0"/>
              <w:rPr>
                <w:sz w:val="12"/>
                <w:szCs w:val="12"/>
                <w:color w:val="auto"/>
              </w:rPr>
            </w:pPr>
          </w:p>
        </w:tc>
        <w:tc>
          <w:tcPr>
            <w:tcW w:w="10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(28,144)</w:t>
            </w:r>
          </w:p>
        </w:tc>
        <w:tc>
          <w:tcPr>
            <w:tcW w:w="24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(19,219)</w:t>
            </w:r>
          </w:p>
        </w:tc>
        <w:tc>
          <w:tcPr>
            <w:tcW w:w="1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Inventories</w:t>
            </w: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Cost of 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41,196</w:t>
            </w:r>
          </w:p>
        </w:tc>
        <w:tc>
          <w:tcPr>
            <w:tcW w:w="2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35,160</w:t>
            </w:r>
          </w:p>
        </w:tc>
        <w:tc>
          <w:tcPr>
            <w:tcW w:w="0" w:type="dxa"/>
            <w:vAlign w:val="bottom"/>
          </w:tcPr>
          <w:p>
            <w:pPr>
              <w:spacing w:after="0"/>
              <w:rPr>
                <w:sz w:val="1"/>
                <w:szCs w:val="1"/>
                <w:color w:val="auto"/>
              </w:rPr>
            </w:pPr>
          </w:p>
        </w:tc>
      </w:tr>
      <w:tr>
        <w:trPr>
          <w:trHeight w:val="156"/>
        </w:trPr>
        <w:tc>
          <w:tcPr>
            <w:tcW w:w="19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(29,296</w:t>
            </w:r>
          </w:p>
        </w:tc>
        <w:tc>
          <w:tcPr>
            <w:tcW w:w="240" w:type="dxa"/>
            <w:vAlign w:val="bottom"/>
            <w:tcBorders>
              <w:top w:val="single" w:sz="8" w:color="CCEEFF"/>
              <w:bottom w:val="single" w:sz="8" w:color="CCEEFF"/>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(16,813</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41,734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33,111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There were no gains or losses for the three and nine months ended September 30, 2012 and 2011 that were excluded from the assessment of the effectiveness of our fair value hedges.</w:t>
      </w:r>
    </w:p>
    <w:p>
      <w:pPr>
        <w:spacing w:after="0" w:line="170" w:lineRule="exact"/>
        <w:rPr>
          <w:sz w:val="20"/>
          <w:szCs w:val="20"/>
          <w:color w:val="auto"/>
        </w:rPr>
      </w:pPr>
    </w:p>
    <w:p>
      <w:pPr>
        <w:ind w:right="860" w:firstLine="324"/>
        <w:spacing w:after="0" w:line="308" w:lineRule="auto"/>
        <w:rPr>
          <w:sz w:val="20"/>
          <w:szCs w:val="20"/>
          <w:color w:val="auto"/>
        </w:rPr>
      </w:pPr>
      <w:r>
        <w:rPr>
          <w:rFonts w:ascii="Arial" w:cs="Arial" w:eastAsia="Arial" w:hAnsi="Arial"/>
          <w:sz w:val="17"/>
          <w:szCs w:val="17"/>
          <w:color w:val="auto"/>
        </w:rPr>
        <w:t>The following table presents the effect and financial statement location of our derivative instruments in cash flow hedging relationships on our accumulated other comprehensive income and consolidated statements of income and comprehensive income (in thousands):</w:t>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726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34" w:lineRule="exact"/>
        <w:rPr>
          <w:sz w:val="20"/>
          <w:szCs w:val="20"/>
          <w:color w:val="auto"/>
        </w:rPr>
      </w:pPr>
    </w:p>
    <w:p>
      <w:pPr>
        <w:ind w:right="580"/>
        <w:spacing w:after="0" w:line="312" w:lineRule="auto"/>
        <w:rPr>
          <w:sz w:val="20"/>
          <w:szCs w:val="20"/>
          <w:color w:val="auto"/>
        </w:rPr>
      </w:pPr>
      <w:r>
        <w:rPr>
          <w:rFonts w:ascii="Arial" w:cs="Arial" w:eastAsia="Arial" w:hAnsi="Arial"/>
          <w:sz w:val="13"/>
          <w:szCs w:val="13"/>
          <w:u w:val="single" w:color="auto"/>
          <w:color w:val="auto"/>
        </w:rPr>
        <w:t xml:space="preserve">Three and nine months ended September 30, </w:t>
      </w:r>
      <w:r>
        <w:rPr>
          <w:rFonts w:ascii="Arial" w:cs="Arial" w:eastAsia="Arial" w:hAnsi="Arial"/>
          <w:sz w:val="13"/>
          <w:szCs w:val="13"/>
          <w:color w:val="auto"/>
        </w:rPr>
        <w:t>Foreign currency contracts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4"/>
          </w:tcPr>
          <w:p>
            <w:pPr>
              <w:jc w:val="center"/>
              <w:ind w:right="408"/>
              <w:spacing w:after="0"/>
              <w:rPr>
                <w:sz w:val="20"/>
                <w:szCs w:val="20"/>
                <w:color w:val="auto"/>
              </w:rPr>
            </w:pPr>
            <w:r>
              <w:rPr>
                <w:rFonts w:ascii="Arial" w:cs="Arial" w:eastAsia="Arial" w:hAnsi="Arial"/>
                <w:sz w:val="14"/>
                <w:szCs w:val="14"/>
                <w:b w:val="1"/>
                <w:bCs w:val="1"/>
                <w:color w:val="auto"/>
                <w:w w:val="95"/>
              </w:rPr>
              <w:t>Amount of Gain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5"/>
              </w:rPr>
              <w:t>Amount of Gain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5"/>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Recognized in Accumulated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4"/>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5"/>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Other Comprehensive Income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4"/>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Other Comprehensive Income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Borders>
              <w:bottom w:val="single" w:sz="8" w:color="auto"/>
            </w:tcBorders>
            <w:gridSpan w:val="5"/>
          </w:tcPr>
          <w:p>
            <w:pPr>
              <w:jc w:val="center"/>
              <w:ind w:left="128"/>
              <w:spacing w:after="0"/>
              <w:rPr>
                <w:sz w:val="20"/>
                <w:szCs w:val="20"/>
                <w:color w:val="auto"/>
              </w:rPr>
            </w:pPr>
            <w:r>
              <w:rPr>
                <w:rFonts w:ascii="Arial" w:cs="Arial" w:eastAsia="Arial" w:hAnsi="Arial"/>
                <w:sz w:val="14"/>
                <w:szCs w:val="14"/>
                <w:b w:val="1"/>
                <w:bCs w:val="1"/>
                <w:color w:val="auto"/>
                <w:w w:val="94"/>
              </w:rPr>
              <w:t>(Effective Portion)</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Realized Gain</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w w:val="94"/>
              </w:rPr>
              <w:t>(Effective Portion)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439"/>
        </w:trPr>
        <w:tc>
          <w:tcPr>
            <w:tcW w:w="680" w:type="dxa"/>
            <w:vAlign w:val="bottom"/>
            <w:gridSpan w:val="2"/>
          </w:tcPr>
          <w:p>
            <w:pPr>
              <w:jc w:val="right"/>
              <w:ind w:right="528"/>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127</w:t>
            </w:r>
          </w:p>
        </w:tc>
        <w:tc>
          <w:tcPr>
            <w:tcW w:w="96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940" w:type="dxa"/>
            <w:vAlign w:val="bottom"/>
            <w:gridSpan w:val="2"/>
          </w:tcPr>
          <w:p>
            <w:pPr>
              <w:ind w:left="160"/>
              <w:spacing w:after="0"/>
              <w:rPr>
                <w:sz w:val="20"/>
                <w:szCs w:val="20"/>
                <w:color w:val="auto"/>
              </w:rPr>
            </w:pPr>
            <w:r>
              <w:rPr>
                <w:rFonts w:ascii="Arial" w:cs="Arial" w:eastAsia="Arial" w:hAnsi="Arial"/>
                <w:sz w:val="14"/>
                <w:szCs w:val="14"/>
                <w:color w:val="auto"/>
                <w:w w:val="99"/>
              </w:rPr>
              <w:t>Other income (expense), net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13</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-213995</wp:posOffset>
            </wp:positionV>
            <wp:extent cx="699770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160" w:space="720"/>
            <w:col w:w="7580"/>
          </w:cols>
          <w:pgMar w:left="240" w:top="125" w:right="199" w:bottom="0" w:gutter="0" w:footer="0" w:header="0"/>
          <w:type w:val="continuous"/>
        </w:sectPr>
      </w:pPr>
    </w:p>
    <w:p>
      <w:pPr>
        <w:ind w:right="1100" w:firstLine="324"/>
        <w:spacing w:after="0" w:line="277" w:lineRule="auto"/>
        <w:rPr>
          <w:sz w:val="20"/>
          <w:szCs w:val="20"/>
          <w:color w:val="auto"/>
        </w:rPr>
      </w:pPr>
      <w:r>
        <w:rPr>
          <w:rFonts w:ascii="Arial" w:cs="Arial" w:eastAsia="Arial" w:hAnsi="Arial"/>
          <w:sz w:val="18"/>
          <w:szCs w:val="18"/>
          <w:color w:val="auto"/>
        </w:rPr>
        <w:t>In the event forecasted cash outflows are less than the hedged amounts, a portion or all of the gains or losses recorded in accumulated other comprehensive income are reclassified to the consolidated statements of income and comprehensive income.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type w:val="continuous"/>
        </w:sectPr>
      </w:pPr>
    </w:p>
    <w:bookmarkStart w:id="9" w:name="page10"/>
    <w:bookmarkEnd w:id="9"/>
    <w:p>
      <w:pPr>
        <w:ind w:right="540"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Realized and Unrealized</w:t>
            </w:r>
          </w:p>
        </w:tc>
        <w:tc>
          <w:tcPr>
            <w:tcW w:w="0" w:type="dxa"/>
            <w:vAlign w:val="bottom"/>
          </w:tcPr>
          <w:p>
            <w:pPr>
              <w:spacing w:after="0"/>
              <w:rPr>
                <w:sz w:val="1"/>
                <w:szCs w:val="1"/>
                <w:color w:val="auto"/>
              </w:rPr>
            </w:pPr>
          </w:p>
        </w:tc>
      </w:tr>
      <w:tr>
        <w:trPr>
          <w:trHeight w:val="17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w:t>
            </w:r>
          </w:p>
        </w:tc>
        <w:tc>
          <w:tcPr>
            <w:tcW w:w="300" w:type="dxa"/>
            <w:vAlign w:val="bottom"/>
          </w:tcPr>
          <w:p>
            <w:pPr>
              <w:spacing w:after="0"/>
              <w:rPr>
                <w:sz w:val="14"/>
                <w:szCs w:val="14"/>
                <w:color w:val="auto"/>
              </w:rPr>
            </w:pPr>
          </w:p>
        </w:tc>
        <w:tc>
          <w:tcPr>
            <w:tcW w:w="294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Location</w:t>
            </w: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Gain (Loss)</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Three months ended September 30,</w:t>
            </w:r>
          </w:p>
        </w:tc>
        <w:tc>
          <w:tcPr>
            <w:tcW w:w="3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30,928</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Commodity contracts</w:t>
            </w: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(29,272)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Nine months ended September 30,</w:t>
            </w:r>
          </w:p>
        </w:tc>
        <w:tc>
          <w:tcPr>
            <w:tcW w:w="3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14,156</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Commodity contracts</w:t>
            </w: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The net liability position for such contracts, the collateral posted and the amount of assets required to be posted and/or to settle the positions should a contingent feature be triggered were not significant as of September 30, 2012.</w:t>
      </w:r>
    </w:p>
    <w:p>
      <w:pPr>
        <w:spacing w:after="0" w:line="17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Income, Expense and Other Financing Costs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provides additional information about our interest expense and other financing costs, net, for the periods presented (in thousands):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540" w:type="dxa"/>
            <w:vAlign w:val="bottom"/>
            <w:gridSpan w:val="4"/>
          </w:tcPr>
          <w:p>
            <w:pPr>
              <w:jc w:val="right"/>
              <w:ind w:right="66"/>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4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expense and other financing costs</w:t>
            </w:r>
          </w:p>
        </w:tc>
        <w:tc>
          <w:tcPr>
            <w:tcW w:w="8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(4,561)</w:t>
            </w:r>
          </w:p>
        </w:tc>
        <w:tc>
          <w:tcPr>
            <w:tcW w:w="8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(4,956)</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(15,184)</w:t>
            </w: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(12,005)</w:t>
            </w:r>
          </w:p>
        </w:tc>
      </w:tr>
      <w:tr>
        <w:trPr>
          <w:trHeight w:val="223"/>
        </w:trPr>
        <w:tc>
          <w:tcPr>
            <w:tcW w:w="42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(4,305</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(4,791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and Accumulated Other Comprehensive Loss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other comprehensive loss consists of foreign currency translation adjustment losses or gains related to our subsidiaries that have a functional currency other than the U.S. dollar and gains or losses relating to cash flow hedges. Our foreign currency translation adjustments amounted to losses of $0.7 million and $8.8 million for the three and nine months ended September 30, 2012, respectively, and losses of $10.8 million and $9.7 million for the three and nine months ended September 30, 2011, respectively. The foreign currency translation adjustment losses for the three and nine months ended September 30, 2012 were primarily due to the strengthening of the U.S. dollar as compared to the Brazilian Real. We recorded gains of $0.1 million on our cash flow hedges for the three and nine months ended September 30, 2012. As of September 30, 2012 and December 31, 2011, our accumulated other comprehensive loss amounted to $15.3 million and $6.5 million,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tax rates for such periods are as follows (in thousands, except for tax rates):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80" w:type="dxa"/>
            <w:vAlign w:val="bottom"/>
            <w:gridSpan w:val="4"/>
          </w:tcPr>
          <w:p>
            <w:pPr>
              <w:jc w:val="center"/>
              <w:ind w:left="442"/>
              <w:spacing w:after="0"/>
              <w:rPr>
                <w:sz w:val="20"/>
                <w:szCs w:val="20"/>
                <w:color w:val="auto"/>
              </w:rPr>
            </w:pPr>
            <w:r>
              <w:rPr>
                <w:rFonts w:ascii="Arial" w:cs="Arial" w:eastAsia="Arial" w:hAnsi="Arial"/>
                <w:sz w:val="14"/>
                <w:szCs w:val="14"/>
                <w:b w:val="1"/>
                <w:bCs w:val="1"/>
                <w:color w:val="auto"/>
                <w:w w:val="93"/>
              </w:rPr>
              <w:t>For the Three Months ended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14,683</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10,649</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33,249</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32,113</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324"/>
        <w:spacing w:after="0" w:line="297" w:lineRule="auto"/>
        <w:rPr>
          <w:sz w:val="20"/>
          <w:szCs w:val="20"/>
          <w:color w:val="auto"/>
        </w:rPr>
      </w:pPr>
      <w:r>
        <w:rPr>
          <w:rFonts w:ascii="Arial" w:cs="Arial" w:eastAsia="Arial" w:hAnsi="Arial"/>
          <w:sz w:val="16"/>
          <w:szCs w:val="16"/>
          <w:color w:val="auto"/>
        </w:rPr>
        <w:t>Our provision for income taxes for each of the three-month and nine-month periods ended September 30, 2012 and 2011 were calculated based on the estimated annual effective tax rate for the full 2012 and 2011 fiscal years. The provision for income taxes for the nine-month period ended September 30, 2012 includes an adjustment for an income tax benefit of $3.3 million for a discrete item related to a change in estimate in an uncertain tax position which was recognized in the three-month period ended March 31, 2012. The actual effective tax rate for the full 2012 fiscal year may be materially different as a result of differences between estimated versus actual results and the geographic tax jurisdictions in which the results are earned.</w:t>
      </w:r>
    </w:p>
    <w:p>
      <w:pPr>
        <w:spacing w:after="0" w:line="15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ectPr>
          <w:pgSz w:w="11900" w:h="16838" w:orient="portrait"/>
          <w:cols w:equalWidth="0" w:num="1">
            <w:col w:w="11420"/>
          </w:cols>
          <w:pgMar w:left="240" w:top="125" w:right="239" w:bottom="158" w:gutter="0" w:footer="0" w:header="0"/>
        </w:sectPr>
      </w:pPr>
    </w:p>
    <w:bookmarkStart w:id="10" w:name="page11"/>
    <w:bookmarkEnd w:id="10"/>
    <w:p>
      <w:pPr>
        <w:spacing w:after="0" w:line="6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Net income attributable to World Fuel</w:t>
            </w:r>
          </w:p>
        </w:tc>
        <w:tc>
          <w:tcPr>
            <w:tcW w:w="11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51,494</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52,655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146,509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Weighted average common shares for basic earnings per</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71,216</w:t>
            </w:r>
          </w:p>
        </w:tc>
        <w:tc>
          <w:tcPr>
            <w:tcW w:w="8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70,939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71,128</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600</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Weighted average common shares for diluted earnings per</w:t>
            </w: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90"/>
              </w:rPr>
              <w:t>71,816</w:t>
            </w:r>
          </w:p>
        </w:tc>
        <w:tc>
          <w:tcPr>
            <w:tcW w:w="8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0"/>
              </w:rPr>
              <w:t>71,587</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71,791</w:t>
            </w:r>
          </w:p>
        </w:tc>
        <w:tc>
          <w:tcPr>
            <w:tcW w:w="4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71,415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securities which are not included in the</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calculation of diluted earnings per common share because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their impact is anti-dilutive or their performance conditions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452</w:t>
            </w:r>
          </w:p>
        </w:tc>
        <w:tc>
          <w:tcPr>
            <w:tcW w:w="86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4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have not been met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1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0.72</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1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0.72</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right="8580" w:hanging="332"/>
        <w:spacing w:after="0" w:line="503"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Cathay Pacific Litigation</w:t>
      </w:r>
    </w:p>
    <w:p>
      <w:pPr>
        <w:spacing w:after="0" w:line="22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On April 11, 2012, Cathay Pacific Airways Limited (“Cathay”) filed a writ in the High Court of the Republic of Singapore against one of our subsidiaries, World Fuel Services (Singapore) Pte Ltd. (“WFSS”) alleging property damage and bodily injuries arising out of the emergency landing of a Cathay aircraft in Hong Kong, which Cathay alleges was caused by contaminated fuel supplied by WFSS. Although not specified in the writ, Cathay claims damages relating to the incident of approximately $34.0 million. Because the outcome of litigation is inherently uncertain, we cannot estimate the possible loss or range of loss for this matter. We intend to vigorously defend this claim, and we believe our liability in this matter (if any) should be adequately covered by insurance. As of September 30, 2012, we have not recorded any accruals associated with this claim.</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are involved in litigation and administrative proceedings primarily arising in the normal course of our business. We are not currently a party to any other pending litigation or administrative proceeding that is expected to have a material adverse effect on our business, financial condition, results of operations or cash flows. As of September 30, 2012, we had recorded certain accruals which were not significant.</w:t>
      </w:r>
    </w:p>
    <w:p>
      <w:pPr>
        <w:spacing w:after="0" w:line="17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short-term maturities of these instruments. We believe the carrying values of our debt and notes receivable approximate fair value since these instruments bear interest either at variable rates or fixed rates which are not significantly different than market rates. Based on the fair value hierarchy, our debt of $287.2 million as of September 30, 2012 and $287.1 million as of December 31, 2011 and our notes receivable of $7.0 million as of September 30, 2012 and $6.8 million as of December 31, 2011 are categorized in Level 3.</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our assets and liabilities that are measured at estimated fair value on a recurring basis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Netting</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Sub-Total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Collateral</w:t>
            </w: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500" w:type="dxa"/>
            <w:vAlign w:val="bottom"/>
            <w:tcBorders>
              <w:top w:val="single" w:sz="8" w:color="CCEEFF"/>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w w:val="97"/>
              </w:rPr>
              <w:t>As of September 30, 2012</w:t>
            </w: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3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94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94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gridSpan w:val="2"/>
          </w:tcPr>
          <w:p>
            <w:pPr>
              <w:spacing w:after="0" w:line="142" w:lineRule="exact"/>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Commodity contracts</w:t>
            </w:r>
          </w:p>
        </w:tc>
        <w:tc>
          <w:tcPr>
            <w:tcW w:w="56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31,312</w:t>
            </w:r>
          </w:p>
        </w:tc>
        <w:tc>
          <w:tcPr>
            <w:tcW w:w="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106,622</w:t>
            </w:r>
          </w:p>
        </w:tc>
        <w:tc>
          <w:tcPr>
            <w:tcW w:w="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1,747</w:t>
            </w:r>
          </w:p>
        </w:tc>
        <w:tc>
          <w:tcPr>
            <w:tcW w:w="2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139,681</w:t>
            </w:r>
          </w:p>
        </w:tc>
        <w:tc>
          <w:tcPr>
            <w:tcW w:w="2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(101,945)</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Foreign currency contracts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5,190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(5,020)</w:t>
            </w:r>
          </w:p>
        </w:tc>
        <w:tc>
          <w:tcPr>
            <w:tcW w:w="26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Hedged item inventories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Total</w:t>
            </w:r>
          </w:p>
        </w:tc>
        <w:tc>
          <w:tcPr>
            <w:tcW w:w="3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31,312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112,387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145,446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(106,965)</w:t>
            </w:r>
          </w:p>
        </w:tc>
        <w:tc>
          <w:tcPr>
            <w:tcW w:w="2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38,481</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8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Liabilities:</w:t>
            </w: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Commodity contracts</w:t>
            </w:r>
          </w:p>
        </w:tc>
        <w:tc>
          <w:tcPr>
            <w:tcW w:w="56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32,699</w:t>
            </w: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96,007</w:t>
            </w: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128,706</w:t>
            </w:r>
          </w:p>
        </w:tc>
        <w:tc>
          <w:tcPr>
            <w:tcW w:w="2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(101,695)</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Foreign currency contracts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8,393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8,393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(5,020)</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Hedged item inventories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CCEEFF"/>
              <w:bottom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Total</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32,699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105,845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138,544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(106,715)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31,829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 of December 31, 2011</w:t>
            </w: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Assets:</w:t>
            </w:r>
          </w:p>
        </w:tc>
        <w:tc>
          <w:tcPr>
            <w:tcW w:w="6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Commodity contracts</w:t>
            </w:r>
          </w:p>
        </w:tc>
        <w:tc>
          <w:tcPr>
            <w:tcW w:w="760" w:type="dxa"/>
            <w:vAlign w:val="bottom"/>
            <w:gridSpan w:val="2"/>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14,038</w:t>
            </w:r>
          </w:p>
        </w:tc>
        <w:tc>
          <w:tcPr>
            <w:tcW w:w="5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51,033</w:t>
            </w:r>
          </w:p>
        </w:tc>
        <w:tc>
          <w:tcPr>
            <w:tcW w:w="56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65,071</w:t>
            </w:r>
          </w:p>
        </w:tc>
        <w:tc>
          <w:tcPr>
            <w:tcW w:w="500" w:type="dxa"/>
            <w:vAlign w:val="bottom"/>
            <w:gridSpan w:val="2"/>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(43,275)</w:t>
            </w:r>
          </w:p>
        </w:tc>
        <w:tc>
          <w:tcPr>
            <w:tcW w:w="4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Foreign currency contracts</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2,994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2,994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(893)</w:t>
            </w:r>
          </w:p>
        </w:tc>
        <w:tc>
          <w:tcPr>
            <w:tcW w:w="4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Hedged item inventories</w:t>
            </w: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3,216</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3,216</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Hedged item commitments</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CCEEFF"/>
              <w:bottom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Total</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14,038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57,449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0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71,487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(44,168)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27,319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2"/>
            <w:vMerge w:val="restart"/>
          </w:tcPr>
          <w:p>
            <w:pPr>
              <w:spacing w:after="0" w:line="142" w:lineRule="exact"/>
              <w:rPr>
                <w:sz w:val="20"/>
                <w:szCs w:val="20"/>
                <w:color w:val="auto"/>
              </w:rPr>
            </w:pPr>
            <w:r>
              <w:rPr>
                <w:rFonts w:ascii="Arial" w:cs="Arial" w:eastAsia="Arial" w:hAnsi="Arial"/>
                <w:sz w:val="14"/>
                <w:szCs w:val="14"/>
                <w:color w:val="auto"/>
              </w:rPr>
              <w:t>Liabilities:</w:t>
            </w: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Commodity contracts</w:t>
            </w:r>
          </w:p>
        </w:tc>
        <w:tc>
          <w:tcPr>
            <w:tcW w:w="760" w:type="dxa"/>
            <w:vAlign w:val="bottom"/>
            <w:gridSpan w:val="2"/>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10,148</w:t>
            </w:r>
          </w:p>
        </w:tc>
        <w:tc>
          <w:tcPr>
            <w:tcW w:w="5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46,754</w:t>
            </w:r>
          </w:p>
        </w:tc>
        <w:tc>
          <w:tcPr>
            <w:tcW w:w="56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8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56,902</w:t>
            </w:r>
          </w:p>
        </w:tc>
        <w:tc>
          <w:tcPr>
            <w:tcW w:w="500" w:type="dxa"/>
            <w:vAlign w:val="bottom"/>
            <w:gridSpan w:val="2"/>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(43,291)</w:t>
            </w:r>
          </w:p>
        </w:tc>
        <w:tc>
          <w:tcPr>
            <w:tcW w:w="4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Foreign currency contracts</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1,018</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(893)</w:t>
            </w:r>
          </w:p>
        </w:tc>
        <w:tc>
          <w:tcPr>
            <w:tcW w:w="4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Hedged item inventories</w:t>
            </w: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Earn-out</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Borders>
              <w:top w:val="single" w:sz="8" w:color="CCEEFF"/>
              <w:bottom w:val="single" w:sz="8" w:color="CCEEFF"/>
            </w:tcBorders>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Total</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10,148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47,796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62,138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(44,184</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420" w:type="dxa"/>
            <w:vAlign w:val="bottom"/>
            <w:tcBorders>
              <w:top w:val="single" w:sz="8" w:color="auto"/>
              <w:bottom w:val="single" w:sz="8" w:color="auto"/>
            </w:tcBorders>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17,954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Fair value of commodity contracts and hedged item commitments is derived using forward prices that take into account commodity prices, basis differentials, interest rates, credit risk ratings, option volatility and currency rates. Commodity contracts categorized in Level 3 are due to the significance of the unobservable model inputs to their respective fair values. The unobservable model inputs, such as basis differentials, are based on the difference between the historical prices of our prior transactions and the underlying observable data. Fair value of hedged item inventories is derived using spot commodity prices and basis differentials. Fair value of foreign currency contracts is derived using forward prices that take into account interest rates, credit risk ratings and currency rates.</w:t>
      </w:r>
    </w:p>
    <w:p>
      <w:pPr>
        <w:spacing w:after="0" w:line="193"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September 30, 2012, we had $4.9 million of cash collateral deposits held by financial counterparties included in other current assets in the accompanying consolidated balance sheets. In addition, as of September 30, 2012, we have offset $0.2 million of cash collateral received from customers against the total amount of commodity fair value assets in the above table. As of December 31, 2011, we had $11.8 million of cash collateral deposits held by financial counterparties and there were no significant amounts of cash collateral that were offset against the total commodity fair value assets and liabilities in the above table.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that utilized Level 3 inputs for the periods presented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Change in</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7"/>
              </w:rPr>
              <w:t>Gains Relating</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Total Gains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2"/>
              </w:rPr>
              <w:t>to Assets and</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78"/>
              </w:rPr>
              <w:t>(Losses)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1"/>
              </w:rPr>
              <w:t>Liabilities that</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Location of Total Gains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w w:val="91"/>
              </w:rPr>
              <w:t>Beginning</w:t>
            </w:r>
          </w:p>
        </w:tc>
        <w:tc>
          <w:tcPr>
            <w:tcW w:w="16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Included in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9"/>
              </w:rPr>
              <w:t>End</w:t>
            </w:r>
          </w:p>
        </w:tc>
        <w:tc>
          <w:tcPr>
            <w:tcW w:w="200" w:type="dxa"/>
            <w:vAlign w:val="bottom"/>
          </w:tcPr>
          <w:p>
            <w:pPr>
              <w:spacing w:after="0"/>
              <w:rPr>
                <w:sz w:val="11"/>
                <w:szCs w:val="11"/>
                <w:color w:val="auto"/>
              </w:rPr>
            </w:pPr>
          </w:p>
        </w:tc>
        <w:tc>
          <w:tcPr>
            <w:tcW w:w="14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0"/>
              </w:rPr>
              <w:t>are Held at end</w:t>
            </w: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(Losses) Included in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9"/>
              </w:rPr>
              <w:t>of Period</w:t>
            </w:r>
          </w:p>
        </w:tc>
        <w:tc>
          <w:tcPr>
            <w:tcW w:w="16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Earnings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4"/>
              </w:rPr>
              <w:t>Settlements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of Period</w:t>
            </w:r>
          </w:p>
        </w:tc>
        <w:tc>
          <w:tcPr>
            <w:tcW w:w="200" w:type="dxa"/>
            <w:vAlign w:val="bottom"/>
          </w:tcPr>
          <w:p>
            <w:pPr>
              <w:spacing w:after="0"/>
              <w:rPr>
                <w:sz w:val="13"/>
                <w:szCs w:val="13"/>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5"/>
              </w:rPr>
              <w:t>of Period</w:t>
            </w: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Earnings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80" w:type="dxa"/>
            <w:vAlign w:val="bottom"/>
            <w:tcBorders>
              <w:top w:val="single" w:sz="8" w:color="CCEEFF"/>
              <w:bottom w:val="single" w:sz="8" w:color="auto"/>
            </w:tcBorders>
            <w:gridSpan w:val="4"/>
            <w:shd w:val="clear" w:color="auto" w:fill="CCEEFF"/>
          </w:tcPr>
          <w:p>
            <w:pPr>
              <w:spacing w:after="0" w:line="102" w:lineRule="exact"/>
              <w:rPr>
                <w:sz w:val="20"/>
                <w:szCs w:val="20"/>
                <w:color w:val="auto"/>
              </w:rPr>
            </w:pPr>
            <w:r>
              <w:rPr>
                <w:rFonts w:ascii="Arial" w:cs="Arial" w:eastAsia="Arial" w:hAnsi="Arial"/>
                <w:sz w:val="11"/>
                <w:szCs w:val="11"/>
                <w:color w:val="auto"/>
              </w:rPr>
              <w:t>Three months ended September 30, 2012</w:t>
            </w:r>
          </w:p>
        </w:tc>
        <w:tc>
          <w:tcPr>
            <w:tcW w:w="320" w:type="dxa"/>
            <w:vAlign w:val="bottom"/>
            <w:tcBorders>
              <w:top w:val="single" w:sz="8" w:color="CCEEFF"/>
              <w:bottom w:val="single" w:sz="8" w:color="CCEEFF"/>
            </w:tcBorders>
            <w:shd w:val="clear" w:color="auto" w:fill="CCEEFF"/>
          </w:tcPr>
          <w:p>
            <w:pPr>
              <w:spacing w:after="0"/>
              <w:rPr>
                <w:sz w:val="8"/>
                <w:szCs w:val="8"/>
                <w:color w:val="auto"/>
              </w:rPr>
            </w:pPr>
          </w:p>
        </w:tc>
        <w:tc>
          <w:tcPr>
            <w:tcW w:w="32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CCEEFF"/>
            </w:tcBorders>
            <w:shd w:val="clear" w:color="auto" w:fill="CCEEFF"/>
          </w:tcPr>
          <w:p>
            <w:pPr>
              <w:spacing w:after="0"/>
              <w:rPr>
                <w:sz w:val="8"/>
                <w:szCs w:val="8"/>
                <w:color w:val="auto"/>
              </w:rPr>
            </w:pPr>
          </w:p>
        </w:tc>
        <w:tc>
          <w:tcPr>
            <w:tcW w:w="24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CCEEFF"/>
            </w:tcBorders>
            <w:shd w:val="clear" w:color="auto" w:fill="CCEEFF"/>
          </w:tcPr>
          <w:p>
            <w:pPr>
              <w:spacing w:after="0"/>
              <w:rPr>
                <w:sz w:val="8"/>
                <w:szCs w:val="8"/>
                <w:color w:val="auto"/>
              </w:rPr>
            </w:pPr>
          </w:p>
        </w:tc>
        <w:tc>
          <w:tcPr>
            <w:tcW w:w="980" w:type="dxa"/>
            <w:vAlign w:val="bottom"/>
            <w:tcBorders>
              <w:top w:val="single" w:sz="8" w:color="auto"/>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CCEEFF"/>
            </w:tcBorders>
            <w:shd w:val="clear" w:color="auto" w:fill="CCEEFF"/>
          </w:tcPr>
          <w:p>
            <w:pPr>
              <w:spacing w:after="0"/>
              <w:rPr>
                <w:sz w:val="8"/>
                <w:szCs w:val="8"/>
                <w:color w:val="auto"/>
              </w:rPr>
            </w:pPr>
          </w:p>
        </w:tc>
        <w:tc>
          <w:tcPr>
            <w:tcW w:w="98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CCEEFF"/>
            </w:tcBorders>
            <w:shd w:val="clear" w:color="auto" w:fill="CCEEFF"/>
          </w:tcPr>
          <w:p>
            <w:pPr>
              <w:spacing w:after="0"/>
              <w:rPr>
                <w:sz w:val="8"/>
                <w:szCs w:val="8"/>
                <w:color w:val="auto"/>
              </w:rPr>
            </w:pPr>
          </w:p>
        </w:tc>
        <w:tc>
          <w:tcPr>
            <w:tcW w:w="22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CCEEFF"/>
            </w:tcBorders>
            <w:shd w:val="clear" w:color="auto" w:fill="CCEEFF"/>
          </w:tcPr>
          <w:p>
            <w:pPr>
              <w:spacing w:after="0"/>
              <w:rPr>
                <w:sz w:val="8"/>
                <w:szCs w:val="8"/>
                <w:color w:val="auto"/>
              </w:rPr>
            </w:pPr>
          </w:p>
        </w:tc>
        <w:tc>
          <w:tcPr>
            <w:tcW w:w="1280" w:type="dxa"/>
            <w:vAlign w:val="bottom"/>
            <w:tcBorders>
              <w:top w:val="single" w:sz="8" w:color="auto"/>
              <w:bottom w:val="single" w:sz="8" w:color="CCEEFF"/>
            </w:tcBorders>
            <w:shd w:val="clear" w:color="auto" w:fill="CCEEFF"/>
          </w:tcPr>
          <w:p>
            <w:pPr>
              <w:spacing w:after="0"/>
              <w:rPr>
                <w:sz w:val="8"/>
                <w:szCs w:val="8"/>
                <w:color w:val="auto"/>
              </w:rPr>
            </w:pP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184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gridSpan w:val="5"/>
          </w:tcPr>
          <w:p>
            <w:pPr>
              <w:spacing w:after="0" w:line="129" w:lineRule="exact"/>
              <w:rPr>
                <w:sz w:val="20"/>
                <w:szCs w:val="20"/>
                <w:color w:val="auto"/>
              </w:rPr>
            </w:pPr>
            <w:r>
              <w:rPr>
                <w:rFonts w:ascii="Arial" w:cs="Arial" w:eastAsia="Arial" w:hAnsi="Arial"/>
                <w:sz w:val="13"/>
                <w:szCs w:val="13"/>
                <w:color w:val="auto"/>
              </w:rPr>
              <w:t>Assets: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Commodity contracts</w:t>
            </w: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2,060</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313</w:t>
            </w:r>
          </w:p>
        </w:tc>
        <w:tc>
          <w:tcPr>
            <w:tcW w:w="2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1,747</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1,747</w:t>
            </w:r>
          </w:p>
        </w:tc>
        <w:tc>
          <w:tcPr>
            <w:tcW w:w="200" w:type="dxa"/>
            <w:vAlign w:val="bottom"/>
            <w:shd w:val="clear" w:color="auto" w:fill="CCEEFF"/>
          </w:tcPr>
          <w:p>
            <w:pPr>
              <w:spacing w:after="0"/>
              <w:rPr>
                <w:sz w:val="11"/>
                <w:szCs w:val="11"/>
                <w:color w:val="auto"/>
              </w:rPr>
            </w:pP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gridSpan w:val="5"/>
            <w:shd w:val="clear" w:color="auto" w:fill="CCEEFF"/>
          </w:tcPr>
          <w:p>
            <w:pPr>
              <w:spacing w:after="0" w:line="122" w:lineRule="exact"/>
              <w:rPr>
                <w:sz w:val="20"/>
                <w:szCs w:val="20"/>
                <w:color w:val="auto"/>
              </w:rPr>
            </w:pPr>
            <w:r>
              <w:rPr>
                <w:rFonts w:ascii="Arial" w:cs="Arial" w:eastAsia="Arial" w:hAnsi="Arial"/>
                <w:sz w:val="13"/>
                <w:szCs w:val="13"/>
                <w:color w:val="auto"/>
                <w:w w:val="98"/>
              </w:rPr>
              <w:t>Three months ended September 30, 2011</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60" w:type="dxa"/>
            <w:vAlign w:val="bottom"/>
            <w:tcBorders>
              <w:top w:val="single" w:sz="8" w:color="auto"/>
            </w:tcBorders>
            <w:gridSpan w:val="3"/>
          </w:tcPr>
          <w:p>
            <w:pPr>
              <w:spacing w:after="0" w:line="109" w:lineRule="exact"/>
              <w:rPr>
                <w:sz w:val="20"/>
                <w:szCs w:val="20"/>
                <w:color w:val="auto"/>
              </w:rPr>
            </w:pPr>
            <w:r>
              <w:rPr>
                <w:rFonts w:ascii="Arial" w:cs="Arial" w:eastAsia="Arial" w:hAnsi="Arial"/>
                <w:sz w:val="12"/>
                <w:szCs w:val="12"/>
                <w:color w:val="auto"/>
              </w:rPr>
              <w:t>Liabilities:</w:t>
            </w:r>
          </w:p>
        </w:tc>
        <w:tc>
          <w:tcPr>
            <w:tcW w:w="340" w:type="dxa"/>
            <w:vAlign w:val="bottom"/>
            <w:tcBorders>
              <w:top w:val="single" w:sz="8" w:color="CCEEFF"/>
            </w:tcBorders>
            <w:gridSpan w:val="2"/>
          </w:tcPr>
          <w:p>
            <w:pPr>
              <w:spacing w:after="0"/>
              <w:rPr>
                <w:sz w:val="9"/>
                <w:szCs w:val="9"/>
                <w:color w:val="auto"/>
              </w:rPr>
            </w:pPr>
          </w:p>
        </w:tc>
        <w:tc>
          <w:tcPr>
            <w:tcW w:w="3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98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28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8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Earn-out</w:t>
            </w: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5,156</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5,007</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149</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gridSpan w:val="5"/>
            <w:shd w:val="clear" w:color="auto" w:fill="CCEEFF"/>
          </w:tcPr>
          <w:p>
            <w:pPr>
              <w:spacing w:after="0" w:line="122" w:lineRule="exact"/>
              <w:rPr>
                <w:sz w:val="20"/>
                <w:szCs w:val="20"/>
                <w:color w:val="auto"/>
              </w:rPr>
            </w:pPr>
            <w:r>
              <w:rPr>
                <w:rFonts w:ascii="Arial" w:cs="Arial" w:eastAsia="Arial" w:hAnsi="Arial"/>
                <w:sz w:val="13"/>
                <w:szCs w:val="13"/>
                <w:color w:val="auto"/>
              </w:rPr>
              <w:t>Nine months ended September 30, 2012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20" w:type="dxa"/>
            <w:vAlign w:val="bottom"/>
            <w:tcBorders>
              <w:top w:val="single" w:sz="8" w:color="auto"/>
            </w:tcBorders>
            <w:gridSpan w:val="2"/>
          </w:tcPr>
          <w:p>
            <w:pPr>
              <w:spacing w:after="0" w:line="109" w:lineRule="exact"/>
              <w:rPr>
                <w:sz w:val="20"/>
                <w:szCs w:val="20"/>
                <w:color w:val="auto"/>
              </w:rPr>
            </w:pPr>
            <w:r>
              <w:rPr>
                <w:rFonts w:ascii="Arial" w:cs="Arial" w:eastAsia="Arial" w:hAnsi="Arial"/>
                <w:sz w:val="12"/>
                <w:szCs w:val="12"/>
                <w:color w:val="auto"/>
              </w:rPr>
              <w:t>Assets:</w:t>
            </w:r>
          </w:p>
        </w:tc>
        <w:tc>
          <w:tcPr>
            <w:tcW w:w="380" w:type="dxa"/>
            <w:vAlign w:val="bottom"/>
            <w:tcBorders>
              <w:top w:val="single" w:sz="8" w:color="CCEEFF"/>
            </w:tcBorders>
            <w:gridSpan w:val="3"/>
          </w:tcPr>
          <w:p>
            <w:pPr>
              <w:spacing w:after="0"/>
              <w:rPr>
                <w:sz w:val="9"/>
                <w:szCs w:val="9"/>
                <w:color w:val="auto"/>
              </w:rPr>
            </w:pPr>
          </w:p>
        </w:tc>
        <w:tc>
          <w:tcPr>
            <w:tcW w:w="3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98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28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8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Commodity contracts</w:t>
            </w: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2,060</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313</w:t>
            </w:r>
          </w:p>
        </w:tc>
        <w:tc>
          <w:tcPr>
            <w:tcW w:w="2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1,747</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1,747</w:t>
            </w:r>
          </w:p>
        </w:tc>
        <w:tc>
          <w:tcPr>
            <w:tcW w:w="200" w:type="dxa"/>
            <w:vAlign w:val="bottom"/>
            <w:shd w:val="clear" w:color="auto" w:fill="CCEEFF"/>
          </w:tcPr>
          <w:p>
            <w:pPr>
              <w:spacing w:after="0"/>
              <w:rPr>
                <w:sz w:val="11"/>
                <w:szCs w:val="11"/>
                <w:color w:val="auto"/>
              </w:rPr>
            </w:pP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bottom w:val="single" w:sz="8" w:color="CCEEFF"/>
            </w:tcBorders>
            <w:gridSpan w:val="5"/>
            <w:vMerge w:val="restart"/>
          </w:tcPr>
          <w:p>
            <w:pPr>
              <w:spacing w:after="0" w:line="129" w:lineRule="exact"/>
              <w:rPr>
                <w:sz w:val="20"/>
                <w:szCs w:val="20"/>
                <w:color w:val="auto"/>
              </w:rPr>
            </w:pPr>
            <w:r>
              <w:rPr>
                <w:rFonts w:ascii="Arial" w:cs="Arial" w:eastAsia="Arial" w:hAnsi="Arial"/>
                <w:sz w:val="13"/>
                <w:szCs w:val="13"/>
                <w:color w:val="auto"/>
              </w:rPr>
              <w:t>Liabilities:</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Earn-out</w:t>
            </w: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4,194</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(110)</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4,304</w:t>
            </w: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gridSpan w:val="5"/>
            <w:shd w:val="clear" w:color="auto" w:fill="CCEEFF"/>
          </w:tcPr>
          <w:p>
            <w:pPr>
              <w:spacing w:after="0" w:line="122" w:lineRule="exact"/>
              <w:rPr>
                <w:sz w:val="20"/>
                <w:szCs w:val="20"/>
                <w:color w:val="auto"/>
              </w:rPr>
            </w:pPr>
            <w:r>
              <w:rPr>
                <w:rFonts w:ascii="Arial" w:cs="Arial" w:eastAsia="Arial" w:hAnsi="Arial"/>
                <w:sz w:val="13"/>
                <w:szCs w:val="13"/>
                <w:color w:val="auto"/>
              </w:rPr>
              <w:t>Nine months ended September 30, 2011</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Assets:</w:t>
            </w:r>
          </w:p>
        </w:tc>
        <w:tc>
          <w:tcPr>
            <w:tcW w:w="400" w:type="dxa"/>
            <w:vAlign w:val="bottom"/>
            <w:tcBorders>
              <w:top w:val="single" w:sz="8" w:color="CCEEFF"/>
            </w:tcBorders>
            <w:gridSpan w:val="4"/>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2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Commodity contracts</w:t>
            </w: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bottom w:val="single" w:sz="8" w:color="CCEEFF"/>
            </w:tcBorders>
            <w:gridSpan w:val="5"/>
            <w:vMerge w:val="restart"/>
          </w:tcPr>
          <w:p>
            <w:pPr>
              <w:spacing w:after="0" w:line="129" w:lineRule="exact"/>
              <w:rPr>
                <w:sz w:val="20"/>
                <w:szCs w:val="20"/>
                <w:color w:val="auto"/>
              </w:rPr>
            </w:pPr>
            <w:r>
              <w:rPr>
                <w:rFonts w:ascii="Arial" w:cs="Arial" w:eastAsia="Arial" w:hAnsi="Arial"/>
                <w:sz w:val="13"/>
                <w:szCs w:val="13"/>
                <w:color w:val="auto"/>
              </w:rPr>
              <w:t>Liabilities:</w:t>
            </w: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rPr>
              <w:t>Earn-out</w:t>
            </w: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5,012</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5,007</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Our policy is to recognize transfers between Level 1, 2 or 3 as of the beginning of the reporting period in which the event or change in circumstances caused the transfer to occur. There were no transfers between Level 1, 2 or 3 during the periods presented. In addition, there were no significant Level 3 purchases, sales or issuances for the periods presented.</w:t>
      </w:r>
    </w:p>
    <w:p>
      <w:pPr>
        <w:spacing w:after="0" w:line="17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Based on the nature of operations and quantitative thresholds pursuant to accounting guidance for segment reporting, we have three reportable operating business segments: aviation, marine and land. Corporate expenses are allocated to the segments based on usage, where possible, or on other factors according to the nature of the activity. Our results of operations include (i) the results of Nordic Camp Supply ApS and certain affiliates (“NCS”) in our aviation segment commencing on March 1, 2011, its acquisition date, and since January 1, 2012, a portion of NCS results is now included in our land segment, (ii) the results of Ascent Aviation Group, Inc. (“Ascent”) in our aviation segment commencing on April 1, 2011, its acquisition date and (iii) the results of the CarterEnergy business in our land segment commencing on September 1, 2012, its acquisition date. The accounting policies of the reportable operating segments are the same as those described in the Summary of Significant Accounting Policies (see Note 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thousands):</w:t>
      </w:r>
    </w:p>
    <w:p>
      <w:pPr>
        <w:sectPr>
          <w:pgSz w:w="11900" w:h="16838" w:orient="portrait"/>
          <w:cols w:equalWidth="0" w:num="1">
            <w:col w:w="11420"/>
          </w:cols>
          <w:pgMar w:left="240" w:top="114"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93"/>
              </w:rPr>
              <w:t>For the 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ind w:left="78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9"/>
          </w:tcPr>
          <w:p>
            <w:pPr>
              <w:jc w:val="center"/>
              <w:ind w:right="96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Aviation segment</w:t>
            </w:r>
          </w:p>
        </w:tc>
        <w:tc>
          <w:tcPr>
            <w:tcW w:w="1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3,823,338</w:t>
            </w:r>
          </w:p>
        </w:tc>
        <w:tc>
          <w:tcPr>
            <w:tcW w:w="3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3,540,503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10,782,756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9,551,924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segment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3,630,094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4,045,176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11,301,429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10,577,578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Land segment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2,458,241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1,925,113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6,925,340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5,169,405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9,911,673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9,510,792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29,009,525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25,298,907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Aviation segment</w:t>
            </w:r>
          </w:p>
        </w:tc>
        <w:tc>
          <w:tcPr>
            <w:tcW w:w="1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84,197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83,966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218,282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236,121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segment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53,960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160,785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140,958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Land segment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42,595</w:t>
            </w:r>
          </w:p>
        </w:tc>
        <w:tc>
          <w:tcPr>
            <w:tcW w:w="5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36,812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131,043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95,638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170,847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510,110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472,717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Aviation segment</w:t>
            </w:r>
          </w:p>
        </w:tc>
        <w:tc>
          <w:tcPr>
            <w:tcW w:w="1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39,808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41,228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92,601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117,022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segment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27,296</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82,672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Land segment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18,185</w:t>
            </w:r>
          </w:p>
        </w:tc>
        <w:tc>
          <w:tcPr>
            <w:tcW w:w="5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18,653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62,737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43,342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85,289</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84,780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238,010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228,381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Corporate overhead - unallocated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14,241</w:t>
            </w:r>
          </w:p>
        </w:tc>
        <w:tc>
          <w:tcPr>
            <w:tcW w:w="5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35,348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35,828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71,048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202,662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192,553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40" w:type="dxa"/>
            <w:vAlign w:val="bottom"/>
            <w:gridSpan w:val="9"/>
          </w:tcPr>
          <w:p>
            <w:pPr>
              <w:spacing w:after="0"/>
              <w:rPr>
                <w:sz w:val="20"/>
                <w:szCs w:val="20"/>
                <w:color w:val="auto"/>
              </w:rPr>
            </w:pPr>
            <w:r>
              <w:rPr>
                <w:rFonts w:ascii="Arial" w:cs="Arial" w:eastAsia="Arial" w:hAnsi="Arial"/>
                <w:sz w:val="18"/>
                <w:szCs w:val="18"/>
                <w:color w:val="auto"/>
                <w:w w:val="92"/>
              </w:rPr>
              <w:t>Information concerning our accounts receivable, net and total assets by segment is as follows (in thousands):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3"/>
          </w:tcPr>
          <w:p>
            <w:pPr>
              <w:jc w:val="right"/>
              <w:ind w:right="172"/>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jc w:val="right"/>
              <w:ind w:right="17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8"/>
          </w:tcPr>
          <w:p>
            <w:pPr>
              <w:ind w:left="160"/>
              <w:spacing w:after="0" w:line="201" w:lineRule="exact"/>
              <w:rPr>
                <w:sz w:val="20"/>
                <w:szCs w:val="20"/>
                <w:color w:val="auto"/>
              </w:rPr>
            </w:pPr>
            <w:r>
              <w:rPr>
                <w:rFonts w:ascii="Arial" w:cs="Arial" w:eastAsia="Arial" w:hAnsi="Arial"/>
                <w:sz w:val="18"/>
                <w:szCs w:val="18"/>
                <w:color w:val="auto"/>
                <w:w w:val="97"/>
              </w:rPr>
              <w:t>Aviation segment, net of allowance for bad debt of $9,333 and $8,441 as of September 30, 2012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December 31, 2011, respectively</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692,554</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569,086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8"/>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Marine segment, net of allowance for bad debt of $8,734 and $9,495 as of September 30, 2012 and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2011, respectively</w:t>
            </w: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1,222,379</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1,261,340</w:t>
            </w:r>
          </w:p>
        </w:tc>
        <w:tc>
          <w:tcPr>
            <w:tcW w:w="200" w:type="dxa"/>
            <w:vAlign w:val="bottom"/>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6"/>
          </w:tcPr>
          <w:p>
            <w:pPr>
              <w:ind w:left="160"/>
              <w:spacing w:after="0" w:line="201" w:lineRule="exact"/>
              <w:rPr>
                <w:sz w:val="20"/>
                <w:szCs w:val="20"/>
                <w:color w:val="auto"/>
              </w:rPr>
            </w:pPr>
            <w:r>
              <w:rPr>
                <w:rFonts w:ascii="Arial" w:cs="Arial" w:eastAsia="Arial" w:hAnsi="Arial"/>
                <w:sz w:val="18"/>
                <w:szCs w:val="18"/>
                <w:color w:val="auto"/>
                <w:w w:val="89"/>
              </w:rPr>
              <w:t>Land segment, net of allowance for bad debt of $7,121 and $6,365 as of September 30, 2012 and</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December 31, 2011, respectively</w:t>
            </w:r>
          </w:p>
        </w:tc>
        <w:tc>
          <w:tcPr>
            <w:tcW w:w="11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465,518</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330,135</w:t>
            </w:r>
          </w:p>
        </w:tc>
        <w:tc>
          <w:tcPr>
            <w:tcW w:w="200" w:type="dxa"/>
            <w:vAlign w:val="bottom"/>
            <w:tcBorders>
              <w:bottom w:val="single" w:sz="8" w:color="CCEEFF"/>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2,380,451</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2,160,561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Aviation segment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1,561,799</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1,149,031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segment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1,521,167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1,568,378</w:t>
            </w:r>
          </w:p>
        </w:tc>
        <w:tc>
          <w:tcPr>
            <w:tcW w:w="2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Land segment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992,690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816,595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102,809</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163,242</w:t>
            </w:r>
          </w:p>
        </w:tc>
        <w:tc>
          <w:tcPr>
            <w:tcW w:w="2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4,178,465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3,697,246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ind w:left="32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2011 10-K Report and the consolidated financial statements and related notes in “Item 1</w:t>
      </w:r>
    </w:p>
    <w:p>
      <w:pPr>
        <w:spacing w:after="0" w:line="46" w:lineRule="exact"/>
        <w:rPr>
          <w:sz w:val="20"/>
          <w:szCs w:val="20"/>
          <w:color w:val="auto"/>
        </w:rPr>
      </w:pPr>
    </w:p>
    <w:p>
      <w:pPr>
        <w:ind w:right="140" w:firstLine="8"/>
        <w:spacing w:after="0" w:line="302" w:lineRule="auto"/>
        <w:tabs>
          <w:tab w:leader="none" w:pos="1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 — Risk Factors” of our 2011 10-K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5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Examples of forward-looking statements in this 10-Q Report include, but are not limited to, our expectations regarding our business strategy, business prospects, operating results,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ectPr>
          <w:pgSz w:w="11900" w:h="16838" w:orient="portrait"/>
          <w:cols w:equalWidth="0" w:num="1">
            <w:col w:w="11460"/>
          </w:cols>
          <w:pgMar w:left="240" w:top="104" w:right="199" w:bottom="0" w:gutter="0" w:footer="0" w:header="0"/>
        </w:sectPr>
      </w:pPr>
    </w:p>
    <w:bookmarkStart w:id="13" w:name="page14"/>
    <w:bookmarkEnd w:id="13"/>
    <w:p>
      <w:pPr>
        <w:spacing w:after="0" w:line="1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recession and its impact on the airline and shipping industries;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the fuel we sell to meet specifications;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the storage, transportation and delivery of petroleum products;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 such as Iraq and Afghanistan;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litigation; and</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2011 10-K Report and those described from time to time in our other filings with the SEC.</w:t>
      </w:r>
    </w:p>
    <w:p>
      <w:pPr>
        <w:spacing w:after="0" w:line="170"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ectPr>
          <w:pgSz w:w="11900" w:h="16853" w:orient="portrait"/>
          <w:cols w:equalWidth="0" w:num="1">
            <w:col w:w="11420"/>
          </w:cols>
          <w:pgMar w:left="240" w:top="125" w:right="239" w:bottom="0" w:gutter="0" w:footer="0" w:header="0"/>
        </w:sectPr>
      </w:pPr>
    </w:p>
    <w:bookmarkStart w:id="14" w:name="page15"/>
    <w:bookmarkEnd w:id="14"/>
    <w:p>
      <w:pPr>
        <w:ind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of 1934, as amended (the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a leading global fuel logistics company, principally engaged in the marketing, sale and distribution of aviation, marine, and land fuel products and related services on a worldwide basis. We compete by providing our customers value-added benefits, including single-supplier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and in some cases own storage and transportation assets for strategic purposes. In our aviation segment, we offer fuel and related services to major commercial airlines, second and third-tier airlines, cargo carriers, regional and low cost carriers, airports, fixed based operators, corporate fleets, fractional operators, private aircraft, military fleets and the U.S. and foreign governments, and we also offer a private label charge card to customers in the general aviation industry and charge card processing services in connection with the purchase of aviation fuel and related services. In our marine segment, we offer fuel and related services to a broad base of marine customers, including international container and tanker fleets, commercial cruise lines, yachts and time-charter operators, as well as to the U.S. and foreign governments. In our land segment, we offer fuel and related services to petroleum distributors operating in the land transportation market, retail petroleum operators, and industrial, commercial and government customers. Additionally, we engage in crude oil marketing activities.</w:t>
      </w:r>
    </w:p>
    <w:p>
      <w:pPr>
        <w:spacing w:after="0" w:line="180"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In our aviation and land segments, we primarily purchase and resell fuel, and we do not act as brokers. Profit from our aviation and land segments is primarily determined by the volume and the gross profit achieved on fuel resales, and in the case of the aviation segment, a percentage of processed charge card revenue. In our marine segment, we primarily purchase and resell fuel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revenue and cost of revenue are significantly impacted by world oil prices, as evidenced in part by our revenue and cost of revenue fluctuations in recent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187"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We may experience decreases in future sales volumes and margins as a result of the ongoing deterioration in the world economy and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our 2011 10-K Report.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 Financial information with respect to our business segments is provided in Note 9 to the accompanying consolidated financial statements included in this 10-Q Report.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results of operations include (i) the results of Nordic Camp Supply ApS and certain affiliates (“NCS”) in our aviation segment commencing on March 1, 2011, its acquisition date, and since January 1, 2012, a portion of NCS results is now included in our land segment, (ii) the results of Ascent Aviation Group, Inc. (“Ascent”) in our aviation segment commencing on April 1, 2011, its acquisition date and (iii) the results of the acquisition of certain assets of CarterEnergy Corporation, including the assets comprising its wholesale motor fuel distribution business (the “CarterEnergy business”) in our land segment commencing on September 1, 2012, its acquisition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Three Months Ended September 30, 2012 Compared to Three Months Ended September 30, 2011</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third quarter of 2012 was $9.9 billion, an increase of $0.4 billion, or 4.2%, as compared to the third quarter of 2011.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during these periods was attributable to the following segments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3,823,338</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3,540,503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Marine segment</w:t>
            </w: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3,630,094</w:t>
            </w:r>
          </w:p>
        </w:tc>
        <w:tc>
          <w:tcPr>
            <w:tcW w:w="3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4,045,176</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(415,082)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2,458,241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1,925,113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9,911,673</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9,510,792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341" w:right="259" w:bottom="130" w:gutter="0" w:footer="0" w:header="0"/>
        </w:sectPr>
      </w:pPr>
    </w:p>
    <w:bookmarkStart w:id="15" w:name="page16"/>
    <w:bookmarkEnd w:id="15"/>
    <w:p>
      <w:pPr>
        <w:spacing w:after="0" w:line="1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aviation segment contributed $3.8 billion in revenue for the third quarter of 2012, an increase of $0.3 billion, or 8.0% as compared to the third quarter of 2011. The increase in aviation segment revenue was due to $0.4 billion in increased volume attributable to new and existing customers, which was partially offset by decreased revenue of $0.1 billion due to a decrease in the average price per gallon sold as a result of lower world oil prices in the third quarter of 2012 as compared to the third quarter of 2011.</w:t>
      </w:r>
    </w:p>
    <w:p>
      <w:pPr>
        <w:spacing w:after="0" w:line="18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Our marine segment contributed $3.6 billion in revenue for the third quarter of 2012, a decrease of $0.4 billion, or 10.3%, as compared to the third quarter of 2011. Of the decrease in marine segment revenue, $0.2 billion was due to decreased sales volume and $0.2 billion was due to a decrease in the average price per metric ton sold in the third quarter of 2012 as compared to the third quarter of 2011.</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Our land segment contributed $2.5 billion in revenue for the third quarter of 2012, an increase of $0.5 billion, or 27.7%, as compared to the third quarter of 2011. Of the increase in land segment revenue, $0.3 billion was due to increased volume attributable to new and existing customers and $0.2 billion was due to increased volume attributable to acquired businesses.</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third quarter of 2012 was $180.8 million, an increase of $9.9 million, or 5.8%, as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2011. Our gross profit during these periods was attributable to the following segments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8"/>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84,197</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Marine segment</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53,960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50,069</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42,595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36,812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170,847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aviation segment gross profit for the third quarter of 2012 was $84.2 million, an increase of $0.2 million, or 0.3%, as compared to the third quarter of 2011. The increase in aviation segment gross profit was due to $8.6 million in increased volume principally attributable to new and existing customers, which was partially offset by $8.4 million in lower gross profit per gallon sold due to fluctuations in customer mix.</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marine segment gross profit for the third quarter of 2012 was $54.0 million, an increase of $3.9 million, or 7.8%, as compared to the third quarter of 2011. Of the increase in marine segment gross profit, $6.9 million was due to increased gross profit per metric ton sold principally due to certain higher margin activity, which was partially offset by $3.0 million due to decreased sales volume.</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land segment gross profit for the third quarter of 2012 was $42.6 million, an increase of $5.8 million, or 15.7%, as compared to the third quarter of 2011. Of the increase in land segment gross profit, $8.9 million was due to increased volume principally attributable to acquired businesses, which was partially offset by $3.1 million in lower gross profit per gallon sold due to fluctuations in customer mix.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third quarter of 2012 were $109.7 million, an increase of $9.8 million, or 9.8%,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2011. The following table sets forth our expense categories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8"/>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65,843</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57,215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Provision for bad debt</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3,631</w:t>
            </w: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2,422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40,230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40,285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109,704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99,922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$8.6 million increase in compensation and employee benefits was principally due to $6.9 million in increased expenses to support our growing global business and $1.7 million related to the inclusion of acquired businesses. The $1.2 million increase in provision for bad debt was principally due to an overall increase in the accounts receivable balance.</w:t>
      </w:r>
    </w:p>
    <w:p>
      <w:pPr>
        <w:spacing w:after="0" w:line="18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i w:val="1"/>
          <w:iCs w:val="1"/>
          <w:color w:val="auto"/>
        </w:rPr>
        <w:t>Income from Operations</w:t>
      </w:r>
      <w:r>
        <w:rPr>
          <w:rFonts w:ascii="Arial" w:cs="Arial" w:eastAsia="Arial" w:hAnsi="Arial"/>
          <w:sz w:val="17"/>
          <w:szCs w:val="17"/>
          <w:color w:val="auto"/>
        </w:rPr>
        <w:t>. Our income from operations for the third quarter of 2012 was $71.0 million, an increase of $0.1 million, or 0.2%,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third quarter of 2011. Income from operations during these periods was attributable to the following segments (in thousands):</w:t>
      </w:r>
    </w:p>
    <w:p>
      <w:pPr>
        <w:spacing w:after="0" w:line="1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39,808</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Marine segment</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27,296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24,899</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18,653</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84,780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 - unallocated</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13,855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Our aviation segment income from operations was $39.8 million for the third quarter of 2012, a decrease of $1.4 million, or 3.4%, as compared to the third quarter of 2011. This decrease resulted from a $1.6 million increase in operating expenses, which was partially offset by $0.2 million in higher gross profit.</w:t>
      </w:r>
    </w:p>
    <w:p>
      <w:pPr>
        <w:spacing w:after="0" w:line="18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Our marine segment earned $27.3 million in income from operations for the third quarter of 2012, an increase of $2.4 million, or 9.6%, as compared to the third quarter of 2011. This increase resulted from $3.9 million in higher gross profit, which was partially offset by increased operating expenses of $1.5</w:t>
      </w:r>
    </w:p>
    <w:p>
      <w:pPr>
        <w:sectPr>
          <w:pgSz w:w="11900" w:h="16989" w:orient="portrait"/>
          <w:cols w:equalWidth="0" w:num="1">
            <w:col w:w="11400"/>
          </w:cols>
          <w:pgMar w:left="240" w:top="125" w:right="25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million.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land segment income from operations was $18.2 million for the third quarter of 2012, a decrease of $0.5 million, or 2.5%, as compared to the third quarter of 2011. This decrease resulted from increased operating expenses of $6.3 million, which was partially offset by $5.8 million in higher gross profit. Of the increase in land segment operating expenses, $3.4 million was related to the inclusion of acquired businesses and $2.9 million was due to increased expenses to support our growing global business.</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were $14.2 million for the third quarter of 2012, an increase of $0.4 million, or 2.8%, as compared to the third quarter of 2011.</w:t>
      </w:r>
    </w:p>
    <w:p>
      <w:pPr>
        <w:spacing w:after="0" w:line="170" w:lineRule="exact"/>
        <w:rPr>
          <w:sz w:val="20"/>
          <w:szCs w:val="20"/>
          <w:color w:val="auto"/>
        </w:rPr>
      </w:pPr>
    </w:p>
    <w:p>
      <w:pPr>
        <w:jc w:val="both"/>
        <w:ind w:right="40" w:firstLine="324"/>
        <w:spacing w:after="0" w:line="302" w:lineRule="auto"/>
        <w:rPr>
          <w:sz w:val="20"/>
          <w:szCs w:val="20"/>
          <w:color w:val="auto"/>
        </w:rPr>
      </w:pPr>
      <w:r>
        <w:rPr>
          <w:rFonts w:ascii="Arial" w:cs="Arial" w:eastAsia="Arial" w:hAnsi="Arial"/>
          <w:sz w:val="16"/>
          <w:szCs w:val="16"/>
          <w:i w:val="1"/>
          <w:iCs w:val="1"/>
          <w:color w:val="auto"/>
        </w:rPr>
        <w:t xml:space="preserve">Non-Operating Expenses, net. </w:t>
      </w:r>
      <w:r>
        <w:rPr>
          <w:rFonts w:ascii="Arial" w:cs="Arial" w:eastAsia="Arial" w:hAnsi="Arial"/>
          <w:sz w:val="16"/>
          <w:szCs w:val="16"/>
          <w:color w:val="auto"/>
        </w:rPr>
        <w:t>For the third quarter of 2012, we had non-operating expenses, net of $3.5 million, a decrease of $3.0 million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third quarter of 2011. This decrease was principally due to a $1.9 million positive change related to foreign currency exchange gains of $0.2 million for the third quarter of 2012 as compared to foreign currency exchange losses of $1.7 million for the third quarter of 2011 and a $0.5 million decrease in interest expense and other financing costs, net as a result of lower average borrowings under the Credit Facility as compared to the third quarter of 2011.</w:t>
      </w:r>
    </w:p>
    <w:p>
      <w:pPr>
        <w:spacing w:after="0" w:line="154"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For the third quarter of 2012, our effective tax rate was 21.7% and our income tax provision was $14.7 million, as compared to an effective tax</w:t>
      </w:r>
      <w:r>
        <w:rPr>
          <w:rFonts w:ascii="Arial" w:cs="Arial" w:eastAsia="Arial" w:hAnsi="Arial"/>
          <w:sz w:val="16"/>
          <w:szCs w:val="16"/>
          <w:i w:val="1"/>
          <w:iCs w:val="1"/>
          <w:color w:val="auto"/>
        </w:rPr>
        <w:t xml:space="preserve"> </w:t>
      </w:r>
      <w:r>
        <w:rPr>
          <w:rFonts w:ascii="Arial" w:cs="Arial" w:eastAsia="Arial" w:hAnsi="Arial"/>
          <w:sz w:val="16"/>
          <w:szCs w:val="16"/>
          <w:color w:val="auto"/>
        </w:rPr>
        <w:t>rate of 16.5% and an income tax provision of $10.6 million for the third quarter of 2011. The higher effective tax rate for the third quarter of 2012 resulted principally from differences in the results of our subsidiaries in tax jurisdictions with different tax rates as compared to the third quarter of 2011.</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Net Income and Diluted Earnings per Common Share. </w:t>
      </w:r>
      <w:r>
        <w:rPr>
          <w:rFonts w:ascii="Arial" w:cs="Arial" w:eastAsia="Arial" w:hAnsi="Arial"/>
          <w:sz w:val="17"/>
          <w:szCs w:val="17"/>
          <w:color w:val="auto"/>
        </w:rPr>
        <w:t>Our net income for the third quarter of 2012 was $51.5 million, a decrease of $1.2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2.2%, as compared to the third quarter of 2011. Diluted earnings per common share for the third quarter of 2012 was $0.72 per common share,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$0.02 per common share, or 2.7%, as compared to the third quarter of 2011.</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Non-GAAP Net Income and Non-GAAP Diluted Earnings per Common Share</w:t>
      </w:r>
      <w:r>
        <w:rPr>
          <w:rFonts w:ascii="Arial" w:cs="Arial" w:eastAsia="Arial" w:hAnsi="Arial"/>
          <w:sz w:val="18"/>
          <w:szCs w:val="18"/>
          <w:color w:val="auto"/>
        </w:rPr>
        <w:t>. The following table sets forth the reconciliation between our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and non-GAAP net income for the third quarter of 2012 and 2011 (in thousands):</w:t>
      </w:r>
    </w:p>
    <w:p>
      <w:pPr>
        <w:spacing w:after="0" w:line="162"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For the Three Months ended</w:t>
      </w:r>
    </w:p>
    <w:p>
      <w:pPr>
        <w:jc w:val="center"/>
        <w:ind w:left="54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World Fuel</w:t>
            </w:r>
          </w:p>
        </w:tc>
        <w:tc>
          <w:tcPr>
            <w:tcW w:w="17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Share-based compensation expense, net of taxes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2,475</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net of taxes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rPr>
              <w:t>Non-GAAP net income attributable to World Fuel</w:t>
            </w:r>
          </w:p>
        </w:tc>
        <w:tc>
          <w:tcPr>
            <w:tcW w:w="14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57,922</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non-GAAP diluted earnings per common share for the third quarter of 2012 and 2011:</w:t>
      </w:r>
    </w:p>
    <w:p>
      <w:pPr>
        <w:spacing w:after="0" w:line="162"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For the Three Months ended</w:t>
      </w:r>
    </w:p>
    <w:p>
      <w:pPr>
        <w:jc w:val="center"/>
        <w:ind w:left="54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0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0.72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Share-based compensation expense, net of taxes</w:t>
            </w: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0.03</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net of taxes</w:t>
            </w: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0.06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rPr>
              <w:t>Non-GAAP diluted earnings per common share</w:t>
            </w:r>
          </w:p>
        </w:tc>
        <w:tc>
          <w:tcPr>
            <w:tcW w:w="14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0.81</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non-GAAP financial measures exclude costs associated with share-based compensation and amortization of acquired intangible assets,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is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earnings per common share may not be comparable to the presentation of such metrics by other companies. Investors are encouraged to review the reconciliation of these non-GAAP measures to their most directly comparable GAAP financial measures.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Nine Months Ended September 30, 2012 Compared to Nine Months Ended September 30, 2011</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nine months of 2012 was $29.0 billion, an increase of $3.7 billion, or 14.7%, as compared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2011. Our revenue during these periods was attributable to the following segments (in thousands):</w:t>
      </w:r>
    </w:p>
    <w:p>
      <w:pPr>
        <w:spacing w:after="0" w:line="162" w:lineRule="exact"/>
        <w:rPr>
          <w:sz w:val="20"/>
          <w:szCs w:val="20"/>
          <w:color w:val="auto"/>
        </w:rPr>
      </w:pPr>
    </w:p>
    <w:p>
      <w:pPr>
        <w:jc w:val="center"/>
        <w:ind w:left="3600"/>
        <w:spacing w:after="0"/>
        <w:rPr>
          <w:sz w:val="20"/>
          <w:szCs w:val="20"/>
          <w:color w:val="auto"/>
        </w:rPr>
      </w:pPr>
      <w:r>
        <w:rPr>
          <w:rFonts w:ascii="Arial" w:cs="Arial" w:eastAsia="Arial" w:hAnsi="Arial"/>
          <w:sz w:val="14"/>
          <w:szCs w:val="14"/>
          <w:b w:val="1"/>
          <w:bCs w:val="1"/>
          <w:color w:val="auto"/>
        </w:rPr>
        <w:t>For the Nine Months ended</w:t>
      </w:r>
    </w:p>
    <w:p>
      <w:pPr>
        <w:spacing w:after="0" w:line="4" w:lineRule="exact"/>
        <w:rPr>
          <w:sz w:val="20"/>
          <w:szCs w:val="20"/>
          <w:color w:val="auto"/>
        </w:rPr>
      </w:pPr>
    </w:p>
    <w:p>
      <w:pPr>
        <w:jc w:val="center"/>
        <w:ind w:left="3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wp:posOffset>
            </wp:positionV>
            <wp:extent cx="17754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ind w:left="6600"/>
        <w:spacing w:after="0"/>
        <w:tabs>
          <w:tab w:leader="none" w:pos="8120" w:val="left"/>
          <w:tab w:leader="none" w:pos="95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wp:posOffset>
            </wp:positionV>
            <wp:extent cx="2744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7" w:name="page18"/>
    <w:bookmarkEnd w:id="17"/>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10,782,756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9,551,924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1,230,832</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Marine segment</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11,301,429</w:t>
            </w: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10,577,578</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723,851</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6,925,340</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5,169,405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1,755,935</w:t>
            </w:r>
          </w:p>
        </w:tc>
        <w:tc>
          <w:tcPr>
            <w:tcW w:w="100" w:type="dxa"/>
            <w:vAlign w:val="bottom"/>
            <w:shd w:val="clear" w:color="auto" w:fill="CCEEFF"/>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29,009,525</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25,298,907</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3,710,618</w:t>
            </w:r>
          </w:p>
        </w:tc>
        <w:tc>
          <w:tcPr>
            <w:tcW w:w="10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Our aviation segment contributed $10.8 billion in revenue for the first nine months of 2012, an increase of $1.2 billion, or 12.9% as compared to the first nine months of 2011. The increase in aviation segment revenue was principally due to increased volume attributable to new and existing customers.</w:t>
      </w:r>
    </w:p>
    <w:p>
      <w:pPr>
        <w:spacing w:after="0" w:line="12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marine segment contributed $11.3 billion in revenue for the first nine months of 2012, an increase of $0.7 billion, or 6.8%, as compared to the first nine months of 2011. The increase in marine segment revenue was principally due to an increase in the average price per metric ton sold as a result of higher world oil prices in the first nine months of 2012 as compared to the first nine months of 2011.</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land segment contributed $6.9 billion in revenue for the first nine months of 2012, an increase of $1.8 billion, or 34.0%, as compared to the first nine months of 2011. The increase in land segment revenue was due to $0.7 billion in increased volume attributable to new and existing customers and $0.6 billion in increased volume attributable to crude oil marketing activities. Of the remaining increase in land segment revenue, $0.3 billion was due to revenue from acquired businesses and $0.2 billion was due to an increase in the average price per gallon sold as a result of higher world oil prices in the first nine months of 2012 as compared to the first nine months of 2011.</w:t>
      </w:r>
    </w:p>
    <w:p>
      <w:pPr>
        <w:spacing w:after="0" w:line="18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nine months of 2012 was $510.1 million, an increase of $37.4 million, or 7.9%, as compared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2011. Our gross profit during these periods was attributable to the following segments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Nine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8"/>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218,282</w:t>
            </w:r>
          </w:p>
        </w:tc>
        <w:tc>
          <w:tcPr>
            <w:tcW w:w="5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236,121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Marine segment</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160,785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140,958</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131,043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95,638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510,110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472,717</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aviation segment gross profit for the first nine months of 2012 was $218.3 million, a decrease of $17.8 million, or 7.6%, as compared to the first nine months of 2011. The decrease in aviation segment gross profit was due to $10.3 million in lower gross profit per gallon sold in our physical inventory business as a result of volatility, timing and direction of jet fuel price movements in the first nine months of 2012 as compared to the first nine months of 2011. The remaining decrease in aviation gross profit of $7.5 million was principally due to fluctuations in customer mix.</w:t>
      </w:r>
    </w:p>
    <w:p>
      <w:pPr>
        <w:spacing w:after="0" w:line="17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marine segment gross profit for the first nine months of 2012 was $160.8 million, an increase of $19.8 million, or 14.1%, as compared to the first nine months of 2011. The increase in marine segment gross profit was principally due to higher gross profit per metric ton sold due to certain higher margin business.</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land segment gross profit for the first nine months of 2012 was $131.0 million, an increase of $35.4 million, or 37.0%, as compared to the first nine months of 2011. Of the increase in land segment gross profit, $21.6 million was due to increased volume attributable to crude oil marketing activities and $18.0 million was principally due to gross profit from acquired businesses, which were partially offset by a decrease in land segment gross profit of $4.2 million principally due to fluctuations in customer mix.</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nine months of 2012 were $307.4 million, an increase of $27.3 million, or 9.7%,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2011. The following table sets forth our expense categories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Nine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8"/>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18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176,553</w:t>
            </w:r>
          </w:p>
        </w:tc>
        <w:tc>
          <w:tcPr>
            <w:tcW w:w="5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159,161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for bad debt</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4,413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6,749</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126,482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114,254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280,164</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$17.4 million increase in compensation and employee benefits was due to $12.8 million in increased expenses to support our growing global business and $4.6 million related to the inclusion of acquired businesses. The $2.3 million decrease in provision for bad debt was principally due to the recording of additional provision for bad debt in the first nine months of 2011. The $12.2 million increase in general and administrative expenses was due to $8.0 million related to the inclusion of acquired businesses and $4.2 million in increased expenses to support our growing global business.</w:t>
      </w:r>
    </w:p>
    <w:p>
      <w:pPr>
        <w:spacing w:after="0" w:line="171"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Our income from operations for the first nine months of 2012 was $202.7 million, an increase of $10.1 million, or 5.2%,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first nine months of 2011. Income from operations during these periods was attributable to the following segments (in thousands):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3"/>
              </w:rPr>
              <w:t>For the Nine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7"/>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92,601</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117,022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Marine segment</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82,672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68,017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62,737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228,381</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Corporate overhead - unallocated</w:t>
            </w: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35,348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35,828</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ectPr>
          <w:pgSz w:w="11900" w:h="16900" w:orient="portrait"/>
          <w:cols w:equalWidth="0" w:num="1">
            <w:col w:w="11400"/>
          </w:cols>
          <w:pgMar w:left="240" w:top="140" w:right="259" w:bottom="0" w:gutter="0" w:footer="0" w:header="0"/>
        </w:sectPr>
      </w:pPr>
    </w:p>
    <w:bookmarkStart w:id="18" w:name="page19"/>
    <w:bookmarkEnd w:id="18"/>
    <w:p>
      <w:pPr>
        <w:ind w:left="6460"/>
        <w:spacing w:after="0"/>
        <w:tabs>
          <w:tab w:leader="none" w:pos="7000" w:val="left"/>
          <w:tab w:leader="none" w:pos="7880" w:val="left"/>
          <w:tab w:leader="none" w:pos="8420" w:val="left"/>
          <w:tab w:leader="none" w:pos="9300" w:val="left"/>
          <w:tab w:leader="none" w:pos="9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202,662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192,553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252984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840" cy="2603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-130175</wp:posOffset>
            </wp:positionV>
            <wp:extent cx="25298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Our aviation segment income from operations was $92.6 million for the first nine months of 2012, a decrease of $24.4 million, or 20.9%, as compared to the first nine months of 2011. This decrease resulted from $17.8 million in lower gross profit and $6.6 million in increased operating expenses attributable to the inclusion of acquired businesses.</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marine segment earned $82.7 million in income from operations for the first nine months of 2012, an increase of $14.7 million, or 21.5%, as compared to the first nine months of 2011. This increase resulted from $19.8 million in higher gross profit, which was partially offset by increased operating expenses of $5.1 million.</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land segment income from operations was $62.7 million for the first nine months of 2012, an increase of $19.4 million, or 44.7%, as compared to the first nine months of 2011. This increase resulted from $35.4 million in higher gross profit, which was partially offset by increased operating expenses of $16.0 million. Of the increase in land segment operating expenses, $10.2 million was related to the inclusion of acquired businesses and $5.8 million was due to increased expenses to support our growing global business.</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were $35.3 million for the first nine months of 2012, a decrease of $0.5 million, or 1.3%, as compared to the first nine months of 2011.</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first nine months of 2012, we had non-operating expenses, net of $13.1 million, a decrease of $1.2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first nine months of 2011. This decrease was attributable to a $3.1 million positive change related to foreign currency exchange gains of $0.7 million in the first nine months of 2012 as compared to foreign currency exchange losses of $2.4 million in the first nine months of 2011. Partially offsetting this decrease was a $2.8 million increase in interest expense and other financing costs, net, as a result of higher average borrowings in the first nine months of 2012 as compared to the first nine months of 2011.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For the first nine months of 2012, our effective tax rate was 17.5% and our income tax provision was $33.2 million, as compared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of 18.0% and an income tax provision of $32.1 million for the first nine months of 2011. The lower effective tax rate for the first nine months of 2012 resulted principally from an income tax benefit of $3.3 million for a discrete item related to a change in estimate for an uncertain tax position, partially offset by differences in the results of our subsidiaries in tax jurisdictions with different tax rates as compared to the first nine months of 2011. Without the discrete tax benefit, our effective tax rate for the first nine months of 2012 would have been 19.3%.</w:t>
      </w:r>
    </w:p>
    <w:p>
      <w:pPr>
        <w:spacing w:after="0" w:line="188"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the first nine months of 2012 was $146.5 million, an increase of $2.5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1.8%, as compared to the first nine months of 2011. Diluted earnings per common share for the first nine months of 2012 was $2.04 per common share, an increase of $0.02 per common share, or 1.0%, as compared to the first nine months of 2011.</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Non-GAAP Net Income and Non-GAAP Diluted Earnings per Common Share</w:t>
      </w:r>
      <w:r>
        <w:rPr>
          <w:rFonts w:ascii="Arial" w:cs="Arial" w:eastAsia="Arial" w:hAnsi="Arial"/>
          <w:sz w:val="18"/>
          <w:szCs w:val="18"/>
          <w:color w:val="auto"/>
        </w:rPr>
        <w:t>. The following table sets forth the reconciliation between net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non-GAAP net income for the first nine months of 2012 and 2011 (in thousands):</w:t>
      </w:r>
    </w:p>
    <w:p>
      <w:pPr>
        <w:spacing w:after="0" w:line="162"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For the Nine Months ended</w:t>
      </w:r>
    </w:p>
    <w:p>
      <w:pPr>
        <w:jc w:val="center"/>
        <w:ind w:left="54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World Fuel</w:t>
            </w:r>
          </w:p>
        </w:tc>
        <w:tc>
          <w:tcPr>
            <w:tcW w:w="17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146,509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143,967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Share-based compensation expense, net of taxes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6,583</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net of taxes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10,537</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rPr>
              <w:t>Non-GAAP net income attributable to World Fuel</w:t>
            </w:r>
          </w:p>
        </w:tc>
        <w:tc>
          <w:tcPr>
            <w:tcW w:w="14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163,629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non-GAAP diluted earnings per common share for the first nine months of 2012 and 2011:</w:t>
      </w:r>
    </w:p>
    <w:p>
      <w:pPr>
        <w:spacing w:after="0" w:line="162"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For the Nine Months ended</w:t>
      </w:r>
    </w:p>
    <w:p>
      <w:pPr>
        <w:jc w:val="center"/>
        <w:ind w:left="54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0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Share-based compensation expense, net of taxes</w:t>
            </w: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0.09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net of taxes</w:t>
            </w: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0.15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rPr>
              <w:t>Non-GAAP diluted earnings per common share</w:t>
            </w:r>
          </w:p>
        </w:tc>
        <w:tc>
          <w:tcPr>
            <w:tcW w:w="14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2.28</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non-GAAP financial measures exclude costs associated with share-based compensation and amortization of acquired intangible assets,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is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earnings per common share may not be comparable to the presentation of such metrics by other companies. Investors are encouraged to review the reconciliation of these non-GAAP measures to their most directly comparable GAAP financial measures.</w:t>
      </w:r>
    </w:p>
    <w:p>
      <w:pPr>
        <w:sectPr>
          <w:pgSz w:w="11900" w:h="16838" w:orient="portrait"/>
          <w:cols w:equalWidth="0" w:num="1">
            <w:col w:w="11420"/>
          </w:cols>
          <w:pgMar w:left="240" w:top="139" w:right="239" w:bottom="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9" w:right="239" w:bottom="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nine months ended September 30, 2012 and 2011. For additional details, please see the consolidated statements of cash flows.</w:t>
      </w:r>
    </w:p>
    <w:p>
      <w:pPr>
        <w:spacing w:after="0" w:line="162"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For the Nine Months ended</w:t>
      </w:r>
    </w:p>
    <w:p>
      <w:pPr>
        <w:jc w:val="center"/>
        <w:ind w:left="4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64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48,271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(216,863)</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(90,460)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(130,828)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230,376</w:t>
            </w:r>
          </w:p>
        </w:tc>
      </w:tr>
    </w:tbl>
    <w:p>
      <w:pPr>
        <w:spacing w:after="0" w:line="20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For the nine months ended September 30, 2012, net cash provided by operating activities totaled $48.3 million as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cash used in operating activities of $216.9 million for the first nine months of 2011. The $265.2 million increase in operating cash flows was principally due to a decrease in the amounts invested in working capital for the first nine months of 2012 as compared to the first nine months of 2011.</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For the nine months ended September 30, 2012, net cash used in investing activities was $90.5 million as compared to $130.8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 nine months of 2011. The $40.3 million decrease in cash used in investing activities was principally due to a reduction in cash used for the acquisition of businesses in the first nine months of 2012 as compared to the first nine months of 2011.</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nine months ended September 30, 2012, net cash used in financing activities was $25.5 million as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of $230.4 million for the first nine months of 2011. The $255.9 million decrease in financing cash flows was principally due to Term Loan borrowings of $250.0 million in the first nine months of 2011.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As of September 30, 2012, we had cash and cash equivalents of $139.4 million, which is entirely available for us to use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incurring additional costs. As of December 31, 2011, we had cash and cash equivalents of $205.4 million, of which $155.3 million was available for us to use without incurring additional costs and the remaining amount of $50.1 million would potentially be subject to additional costs if made available for us to use in the United States.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6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i w:val="1"/>
          <w:iCs w:val="1"/>
          <w:color w:val="auto"/>
        </w:rPr>
        <w:t xml:space="preserve">Credit Facility and Term Loans. </w:t>
      </w:r>
      <w:r>
        <w:rPr>
          <w:rFonts w:ascii="Arial" w:cs="Arial" w:eastAsia="Arial" w:hAnsi="Arial"/>
          <w:sz w:val="17"/>
          <w:szCs w:val="17"/>
          <w:color w:val="auto"/>
        </w:rPr>
        <w:t>We have a senior revolving credit facility (“Credit Facility”) which permits borrowings of up to $800.0 million with a</w:t>
      </w:r>
      <w:r>
        <w:rPr>
          <w:rFonts w:ascii="Arial" w:cs="Arial" w:eastAsia="Arial" w:hAnsi="Arial"/>
          <w:sz w:val="17"/>
          <w:szCs w:val="17"/>
          <w:i w:val="1"/>
          <w:iCs w:val="1"/>
          <w:color w:val="auto"/>
        </w:rPr>
        <w:t xml:space="preserve"> </w:t>
      </w:r>
      <w:r>
        <w:rPr>
          <w:rFonts w:ascii="Arial" w:cs="Arial" w:eastAsia="Arial" w:hAnsi="Arial"/>
          <w:sz w:val="17"/>
          <w:szCs w:val="17"/>
          <w:color w:val="auto"/>
        </w:rPr>
        <w:t>sublimit of $300.0 million for the issuance of letters of credit and bankers’ acceptances. Under the Credit Facility, we have the right to request increases in available borrowings up to an additional $150.0 million, subject to the satisfaction of certain conditions. The Credit Facility expires in July 2016. We had no outstanding borrowings under our Credit Facility as of September 30, 2012 and December 31, 2011. Our issued letters of credit under the Credit Facility totaled $23.8 million and $45.3 million as of September 30, 2012 and December 31, 2011, respectively. We also had $249.8 million and $250.0 million in senior term loans (“Term Loans”) outstanding as of September 30, 2012 and December 31, 2011, respectively.</w:t>
      </w:r>
    </w:p>
    <w:p>
      <w:pPr>
        <w:spacing w:after="0" w:line="17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liquidity consisting of cash and cash equivalents and availability under the Credit Facility fluctuate based on a number of factors, including the timing of receipts from our customers and payments to our suppliers as well as commodity prices. Our Credit Facility and our Term Loans contain certain financial covenants with which we are required to comply. Our failure to comply with the financial covenants contained in our Credit Facility and our Term Loans could result in an event of default. An event of default, if not cured or waived, would permit acceleration of any outstanding indebtedness under the Credit Facility and our Term Loans, trigger cross-defaults under other agreements to which we are a party and impair our ability to borrow and issue letters of credit, which would have a material adverse effect on our business, financial condition, results of operations and cash flows. As of September 30, 2012, we were in compliance with all financial covenants contained in our Credit Facility and our Term Loans.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Other Credit Lines</w:t>
      </w:r>
      <w:r>
        <w:rPr>
          <w:rFonts w:ascii="Arial" w:cs="Arial" w:eastAsia="Arial" w:hAnsi="Arial"/>
          <w:sz w:val="18"/>
          <w:szCs w:val="18"/>
          <w:color w:val="auto"/>
        </w:rPr>
        <w:t>. Additionally, we have other uncommitted credit lines to issue letters of credit, bank guarantees and bankers’ acceptances,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fees at market rates. As of September 30, 2012 and December 31, 2011, our outstanding letters of credit and bank guarantees under these credit lines totaled $180.9 million and $122.3 million, respectively. We also have a Receivables Purchase Agreement (“RPA”) to allow for the sale of up to $125.0 million of our accounts receivable. As of September 30, 2012, we had sold accounts receivable of $84.7 million and recorded a retained beneficial interest of $19.3 million under the RPA.</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September 30, 2012, our short-term debt of $26.5 million represents the current maturities (within the next twelve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promissory notes related to acquisitions, loans payable to noncontrolling shareholders of a consolidated subsidiary, Term Loan borrowings and capital lease obligations.</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believe that available funds from existing cash and cash equivalents and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performance (as measured by various factors, including cash provided</w:t>
      </w:r>
    </w:p>
    <w:p>
      <w:pPr>
        <w:sectPr>
          <w:pgSz w:w="11900" w:h="16838" w:orient="portrait"/>
          <w:cols w:equalWidth="0" w:num="1">
            <w:col w:w="11420"/>
          </w:cols>
          <w:pgMar w:left="240" w:top="368" w:right="239" w:bottom="0" w:gutter="0" w:footer="0" w:header="0"/>
        </w:sectPr>
      </w:pPr>
    </w:p>
    <w:bookmarkStart w:id="20" w:name="page21"/>
    <w:bookmarkEnd w:id="20"/>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from operating activities), the state of worldwide credit markets, and our levels of outstanding debt. Depending on the severity and direct impact of these factors on us, financing may be limited or unavailable when needed or desired on terms that are favorable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2011 to September 30, 2012. For a discussion of these matters, refer to “Contractual Obligations and Off-Balance Sheet Arrangements” in Item 7 of our 2011 10-K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September 30, 2012, our net derivative obligations were $30.4 million, principally due within one year.</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September 30, 2012, our purchase commitment obligations were $20.4 million, principally due within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letters of credit expire within one year from their issuance, and expired letters of credit are renewed as needed. As of September 30, 2012, we had issued letters of credit and bank guarantees totaling $204.7 million under our Credit Facility and other uncommitted credit lines. For additional information on our Credit Facility and other credit lines, see the discussion thereof in “Liquidity and Capital Resources”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Information regarding recent accounting pronouncements is included in Note 1 - Significant Accounting Policies in the “Notes to the Consolidated Financial Statements” in this 10-Q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also entered into to hedge the risk of currency rate fluctuations.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September 30, 2012, our derivative instruments, at their respective fair value positions were as follows (in thousands, except mark-to-market prices):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Settlement</w:t>
            </w: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Mark-to-</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Mark-to-</w:t>
            </w:r>
          </w:p>
        </w:tc>
        <w:tc>
          <w:tcPr>
            <w:tcW w:w="0" w:type="dxa"/>
            <w:vAlign w:val="bottom"/>
          </w:tcPr>
          <w:p>
            <w:pPr>
              <w:spacing w:after="0"/>
              <w:rPr>
                <w:sz w:val="1"/>
                <w:szCs w:val="1"/>
                <w:color w:val="auto"/>
              </w:rPr>
            </w:pPr>
          </w:p>
        </w:tc>
      </w:tr>
      <w:tr>
        <w:trPr>
          <w:trHeight w:val="149"/>
        </w:trPr>
        <w:tc>
          <w:tcPr>
            <w:tcW w:w="2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Hedge Strategy</w:t>
            </w:r>
          </w:p>
        </w:tc>
        <w:tc>
          <w:tcPr>
            <w:tcW w:w="1160" w:type="dxa"/>
            <w:vAlign w:val="bottom"/>
            <w:gridSpan w:val="2"/>
            <w:vMerge w:val="continue"/>
          </w:tcPr>
          <w:p>
            <w:pPr>
              <w:spacing w:after="0"/>
              <w:rPr>
                <w:sz w:val="12"/>
                <w:szCs w:val="12"/>
                <w:color w:val="auto"/>
              </w:rPr>
            </w:pPr>
          </w:p>
        </w:tc>
        <w:tc>
          <w:tcPr>
            <w:tcW w:w="366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Derivative Instrument</w:t>
            </w: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Notional</w:t>
            </w: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Unit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gridSpan w:val="3"/>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36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Prices</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4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contracts (long)</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Foreign currency contracts (long)</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1,758</w:t>
            </w:r>
          </w:p>
        </w:tc>
        <w:tc>
          <w:tcPr>
            <w:tcW w:w="820" w:type="dxa"/>
            <w:vAlign w:val="bottom"/>
          </w:tcPr>
          <w:p>
            <w:pPr>
              <w:spacing w:after="0"/>
              <w:rPr>
                <w:sz w:val="20"/>
                <w:szCs w:val="20"/>
                <w:color w:val="auto"/>
              </w:rPr>
            </w:pPr>
            <w:r>
              <w:rPr>
                <w:rFonts w:ascii="Arial" w:cs="Arial" w:eastAsia="Arial" w:hAnsi="Arial"/>
                <w:sz w:val="18"/>
                <w:szCs w:val="18"/>
                <w:color w:val="auto"/>
              </w:rPr>
              <w:t>EUR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Hedge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4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contracts for inventory hedging</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16,999</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GAL</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(long)</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20" w:type="dxa"/>
            <w:vAlign w:val="bottom"/>
          </w:tcPr>
          <w:p>
            <w:pPr>
              <w:ind w:left="260"/>
              <w:spacing w:after="0" w:line="201" w:lineRule="exact"/>
              <w:rPr>
                <w:sz w:val="20"/>
                <w:szCs w:val="20"/>
                <w:color w:val="auto"/>
              </w:rPr>
            </w:pPr>
            <w:r>
              <w:rPr>
                <w:rFonts w:ascii="Arial" w:cs="Arial" w:eastAsia="Arial" w:hAnsi="Arial"/>
                <w:sz w:val="18"/>
                <w:szCs w:val="18"/>
                <w:color w:val="auto"/>
              </w:rPr>
              <w:t>Commodity contracts for inventory hedging</w:t>
            </w: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71,083</w:t>
            </w:r>
          </w:p>
        </w:tc>
        <w:tc>
          <w:tcPr>
            <w:tcW w:w="840" w:type="dxa"/>
            <w:vAlign w:val="bottom"/>
          </w:tcPr>
          <w:p>
            <w:pPr>
              <w:ind w:left="120"/>
              <w:spacing w:after="0"/>
              <w:rPr>
                <w:sz w:val="20"/>
                <w:szCs w:val="20"/>
                <w:color w:val="auto"/>
              </w:rPr>
            </w:pPr>
            <w:r>
              <w:rPr>
                <w:rFonts w:ascii="Arial" w:cs="Arial" w:eastAsia="Arial" w:hAnsi="Arial"/>
                <w:sz w:val="18"/>
                <w:szCs w:val="18"/>
                <w:color w:val="auto"/>
              </w:rPr>
              <w:t>GAL</w:t>
            </w:r>
          </w:p>
        </w:tc>
        <w:tc>
          <w:tcPr>
            <w:tcW w:w="58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Commodity contracts for inventory hedging</w:t>
            </w: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MT</w:t>
            </w: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20" w:type="dxa"/>
            <w:vAlign w:val="bottom"/>
          </w:tcPr>
          <w:p>
            <w:pPr>
              <w:ind w:left="260"/>
              <w:spacing w:after="0" w:line="201" w:lineRule="exact"/>
              <w:rPr>
                <w:sz w:val="20"/>
                <w:szCs w:val="20"/>
                <w:color w:val="auto"/>
              </w:rPr>
            </w:pPr>
            <w:r>
              <w:rPr>
                <w:rFonts w:ascii="Arial" w:cs="Arial" w:eastAsia="Arial" w:hAnsi="Arial"/>
                <w:sz w:val="18"/>
                <w:szCs w:val="18"/>
                <w:color w:val="auto"/>
              </w:rPr>
              <w:t>Commodity contracts for inventory hedging</w:t>
            </w: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840" w:type="dxa"/>
            <w:vAlign w:val="bottom"/>
          </w:tcPr>
          <w:p>
            <w:pPr>
              <w:ind w:left="120"/>
              <w:spacing w:after="0"/>
              <w:rPr>
                <w:sz w:val="20"/>
                <w:szCs w:val="20"/>
                <w:color w:val="auto"/>
              </w:rPr>
            </w:pPr>
            <w:r>
              <w:rPr>
                <w:rFonts w:ascii="Arial" w:cs="Arial" w:eastAsia="Arial" w:hAnsi="Arial"/>
                <w:sz w:val="18"/>
                <w:szCs w:val="18"/>
                <w:color w:val="auto"/>
              </w:rPr>
              <w:t>MT</w:t>
            </w:r>
          </w:p>
        </w:tc>
        <w:tc>
          <w:tcPr>
            <w:tcW w:w="58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Commodity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111,788</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GAL</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Commodity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182,095</w:t>
            </w:r>
          </w:p>
        </w:tc>
        <w:tc>
          <w:tcPr>
            <w:tcW w:w="840" w:type="dxa"/>
            <w:vAlign w:val="bottom"/>
          </w:tcPr>
          <w:p>
            <w:pPr>
              <w:ind w:left="120"/>
              <w:spacing w:after="0"/>
              <w:rPr>
                <w:sz w:val="20"/>
                <w:szCs w:val="20"/>
                <w:color w:val="auto"/>
              </w:rPr>
            </w:pPr>
            <w:r>
              <w:rPr>
                <w:rFonts w:ascii="Arial" w:cs="Arial" w:eastAsia="Arial" w:hAnsi="Arial"/>
                <w:sz w:val="18"/>
                <w:szCs w:val="18"/>
                <w:color w:val="auto"/>
              </w:rPr>
              <w:t>GAL</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Commodity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Commodity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840" w:type="dxa"/>
            <w:vAlign w:val="bottom"/>
          </w:tcPr>
          <w:p>
            <w:pPr>
              <w:ind w:left="120"/>
              <w:spacing w:after="0"/>
              <w:rPr>
                <w:sz w:val="20"/>
                <w:szCs w:val="20"/>
                <w:color w:val="auto"/>
              </w:rPr>
            </w:pPr>
            <w:r>
              <w:rPr>
                <w:rFonts w:ascii="Arial" w:cs="Arial" w:eastAsia="Arial" w:hAnsi="Arial"/>
                <w:sz w:val="18"/>
                <w:szCs w:val="18"/>
                <w:color w:val="auto"/>
              </w:rPr>
              <w:t>MT</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(11.07)</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Commodity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30,498</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GAL</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3820" w:type="dxa"/>
            <w:vAlign w:val="bottom"/>
          </w:tcPr>
          <w:p>
            <w:pPr>
              <w:ind w:left="260"/>
              <w:spacing w:after="0"/>
              <w:rPr>
                <w:sz w:val="20"/>
                <w:szCs w:val="20"/>
                <w:color w:val="auto"/>
              </w:rPr>
            </w:pPr>
            <w:r>
              <w:rPr>
                <w:rFonts w:ascii="Arial" w:cs="Arial" w:eastAsia="Arial" w:hAnsi="Arial"/>
                <w:sz w:val="18"/>
                <w:szCs w:val="18"/>
                <w:color w:val="auto"/>
              </w:rPr>
              <w:t>Commodity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86,249</w:t>
            </w:r>
          </w:p>
        </w:tc>
        <w:tc>
          <w:tcPr>
            <w:tcW w:w="840" w:type="dxa"/>
            <w:vAlign w:val="bottom"/>
          </w:tcPr>
          <w:p>
            <w:pPr>
              <w:ind w:left="120"/>
              <w:spacing w:after="0"/>
              <w:rPr>
                <w:sz w:val="20"/>
                <w:szCs w:val="20"/>
                <w:color w:val="auto"/>
              </w:rPr>
            </w:pPr>
            <w:r>
              <w:rPr>
                <w:rFonts w:ascii="Arial" w:cs="Arial" w:eastAsia="Arial" w:hAnsi="Arial"/>
                <w:sz w:val="18"/>
                <w:szCs w:val="18"/>
                <w:color w:val="auto"/>
              </w:rPr>
              <w:t>GAL</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Commodity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2,248</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3820" w:type="dxa"/>
            <w:vAlign w:val="bottom"/>
          </w:tcPr>
          <w:p>
            <w:pPr>
              <w:ind w:left="260"/>
              <w:spacing w:after="0"/>
              <w:rPr>
                <w:sz w:val="20"/>
                <w:szCs w:val="20"/>
                <w:color w:val="auto"/>
              </w:rPr>
            </w:pPr>
            <w:r>
              <w:rPr>
                <w:rFonts w:ascii="Arial" w:cs="Arial" w:eastAsia="Arial" w:hAnsi="Arial"/>
                <w:sz w:val="18"/>
                <w:szCs w:val="18"/>
                <w:color w:val="auto"/>
              </w:rPr>
              <w:t>Commodity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840" w:type="dxa"/>
            <w:vAlign w:val="bottom"/>
          </w:tcPr>
          <w:p>
            <w:pPr>
              <w:ind w:left="120"/>
              <w:spacing w:after="0"/>
              <w:rPr>
                <w:sz w:val="20"/>
                <w:szCs w:val="20"/>
                <w:color w:val="auto"/>
              </w:rPr>
            </w:pPr>
            <w:r>
              <w:rPr>
                <w:rFonts w:ascii="Arial" w:cs="Arial" w:eastAsia="Arial" w:hAnsi="Arial"/>
                <w:sz w:val="18"/>
                <w:szCs w:val="18"/>
                <w:color w:val="auto"/>
              </w:rPr>
              <w:t>MT</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2014</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Commodity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GAL</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3820" w:type="dxa"/>
            <w:vAlign w:val="bottom"/>
          </w:tcPr>
          <w:p>
            <w:pPr>
              <w:ind w:left="260"/>
              <w:spacing w:after="0"/>
              <w:rPr>
                <w:sz w:val="20"/>
                <w:szCs w:val="20"/>
                <w:color w:val="auto"/>
              </w:rPr>
            </w:pPr>
            <w:r>
              <w:rPr>
                <w:rFonts w:ascii="Arial" w:cs="Arial" w:eastAsia="Arial" w:hAnsi="Arial"/>
                <w:sz w:val="18"/>
                <w:szCs w:val="18"/>
                <w:color w:val="auto"/>
              </w:rPr>
              <w:t>Commodity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1,048</w:t>
            </w:r>
          </w:p>
        </w:tc>
        <w:tc>
          <w:tcPr>
            <w:tcW w:w="840" w:type="dxa"/>
            <w:vAlign w:val="bottom"/>
          </w:tcPr>
          <w:p>
            <w:pPr>
              <w:ind w:left="120"/>
              <w:spacing w:after="0"/>
              <w:rPr>
                <w:sz w:val="20"/>
                <w:szCs w:val="20"/>
                <w:color w:val="auto"/>
              </w:rPr>
            </w:pPr>
            <w:r>
              <w:rPr>
                <w:rFonts w:ascii="Arial" w:cs="Arial" w:eastAsia="Arial" w:hAnsi="Arial"/>
                <w:sz w:val="18"/>
                <w:szCs w:val="18"/>
                <w:color w:val="auto"/>
              </w:rPr>
              <w:t>GAL</w:t>
            </w:r>
          </w:p>
        </w:tc>
        <w:tc>
          <w:tcPr>
            <w:tcW w:w="5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2014</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Commodity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3820" w:type="dxa"/>
            <w:vAlign w:val="bottom"/>
          </w:tcPr>
          <w:p>
            <w:pPr>
              <w:ind w:left="260"/>
              <w:spacing w:after="0"/>
              <w:rPr>
                <w:sz w:val="20"/>
                <w:szCs w:val="20"/>
                <w:color w:val="auto"/>
              </w:rPr>
            </w:pPr>
            <w:r>
              <w:rPr>
                <w:rFonts w:ascii="Arial" w:cs="Arial" w:eastAsia="Arial" w:hAnsi="Arial"/>
                <w:sz w:val="18"/>
                <w:szCs w:val="18"/>
                <w:color w:val="auto"/>
              </w:rPr>
              <w:t>Commodity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840" w:type="dxa"/>
            <w:vAlign w:val="bottom"/>
          </w:tcPr>
          <w:p>
            <w:pPr>
              <w:ind w:left="120"/>
              <w:spacing w:after="0"/>
              <w:rPr>
                <w:sz w:val="20"/>
                <w:szCs w:val="20"/>
                <w:color w:val="auto"/>
              </w:rPr>
            </w:pPr>
            <w:r>
              <w:rPr>
                <w:rFonts w:ascii="Arial" w:cs="Arial" w:eastAsia="Arial" w:hAnsi="Arial"/>
                <w:sz w:val="18"/>
                <w:szCs w:val="18"/>
                <w:color w:val="auto"/>
              </w:rPr>
              <w:t>MT</w:t>
            </w:r>
          </w:p>
        </w:tc>
        <w:tc>
          <w:tcPr>
            <w:tcW w:w="5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2015</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Commodity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3820" w:type="dxa"/>
            <w:vAlign w:val="bottom"/>
          </w:tcPr>
          <w:p>
            <w:pPr>
              <w:ind w:left="260"/>
              <w:spacing w:after="0"/>
              <w:rPr>
                <w:sz w:val="20"/>
                <w:szCs w:val="20"/>
                <w:color w:val="auto"/>
              </w:rPr>
            </w:pPr>
            <w:r>
              <w:rPr>
                <w:rFonts w:ascii="Arial" w:cs="Arial" w:eastAsia="Arial" w:hAnsi="Arial"/>
                <w:sz w:val="18"/>
                <w:szCs w:val="18"/>
                <w:color w:val="auto"/>
              </w:rPr>
              <w:t>Commodity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840" w:type="dxa"/>
            <w:vAlign w:val="bottom"/>
          </w:tcPr>
          <w:p>
            <w:pPr>
              <w:ind w:left="120"/>
              <w:spacing w:after="0"/>
              <w:rPr>
                <w:sz w:val="20"/>
                <w:szCs w:val="20"/>
                <w:color w:val="auto"/>
              </w:rPr>
            </w:pPr>
            <w:r>
              <w:rPr>
                <w:rFonts w:ascii="Arial" w:cs="Arial" w:eastAsia="Arial" w:hAnsi="Arial"/>
                <w:sz w:val="18"/>
                <w:szCs w:val="18"/>
                <w:color w:val="auto"/>
              </w:rPr>
              <w:t>MT</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AUD</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4,092</w:t>
            </w:r>
          </w:p>
        </w:tc>
        <w:tc>
          <w:tcPr>
            <w:tcW w:w="840" w:type="dxa"/>
            <w:vAlign w:val="bottom"/>
          </w:tcPr>
          <w:p>
            <w:pPr>
              <w:ind w:left="120"/>
              <w:spacing w:after="0"/>
              <w:rPr>
                <w:sz w:val="20"/>
                <w:szCs w:val="20"/>
                <w:color w:val="auto"/>
              </w:rPr>
            </w:pPr>
            <w:r>
              <w:rPr>
                <w:rFonts w:ascii="Arial" w:cs="Arial" w:eastAsia="Arial" w:hAnsi="Arial"/>
                <w:sz w:val="18"/>
                <w:szCs w:val="18"/>
                <w:color w:val="auto"/>
              </w:rPr>
              <w:t>AUD</w:t>
            </w:r>
          </w:p>
        </w:tc>
        <w:tc>
          <w:tcPr>
            <w:tcW w:w="5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BRL</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17,978</w:t>
            </w:r>
          </w:p>
        </w:tc>
        <w:tc>
          <w:tcPr>
            <w:tcW w:w="840" w:type="dxa"/>
            <w:vAlign w:val="bottom"/>
          </w:tcPr>
          <w:p>
            <w:pPr>
              <w:ind w:left="120"/>
              <w:spacing w:after="0"/>
              <w:rPr>
                <w:sz w:val="20"/>
                <w:szCs w:val="20"/>
                <w:color w:val="auto"/>
              </w:rPr>
            </w:pPr>
            <w:r>
              <w:rPr>
                <w:rFonts w:ascii="Arial" w:cs="Arial" w:eastAsia="Arial" w:hAnsi="Arial"/>
                <w:sz w:val="18"/>
                <w:szCs w:val="18"/>
                <w:color w:val="auto"/>
              </w:rPr>
              <w:t>CAD</w:t>
            </w:r>
          </w:p>
        </w:tc>
        <w:tc>
          <w:tcPr>
            <w:tcW w:w="5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14,600</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CAD</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3,614,091</w:t>
            </w:r>
          </w:p>
        </w:tc>
        <w:tc>
          <w:tcPr>
            <w:tcW w:w="840" w:type="dxa"/>
            <w:vAlign w:val="bottom"/>
          </w:tcPr>
          <w:p>
            <w:pPr>
              <w:ind w:left="120"/>
              <w:spacing w:after="0"/>
              <w:rPr>
                <w:sz w:val="20"/>
                <w:szCs w:val="20"/>
                <w:color w:val="auto"/>
              </w:rPr>
            </w:pPr>
            <w:r>
              <w:rPr>
                <w:rFonts w:ascii="Arial" w:cs="Arial" w:eastAsia="Arial" w:hAnsi="Arial"/>
                <w:sz w:val="18"/>
                <w:szCs w:val="18"/>
                <w:color w:val="auto"/>
              </w:rPr>
              <w:t>CLP</w:t>
            </w:r>
          </w:p>
        </w:tc>
        <w:tc>
          <w:tcPr>
            <w:tcW w:w="5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75,536</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CLP</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8,455,751</w:t>
            </w:r>
          </w:p>
        </w:tc>
        <w:tc>
          <w:tcPr>
            <w:tcW w:w="840" w:type="dxa"/>
            <w:vAlign w:val="bottom"/>
          </w:tcPr>
          <w:p>
            <w:pPr>
              <w:ind w:left="120"/>
              <w:spacing w:after="0"/>
              <w:rPr>
                <w:sz w:val="20"/>
                <w:szCs w:val="20"/>
                <w:color w:val="auto"/>
              </w:rPr>
            </w:pPr>
            <w:r>
              <w:rPr>
                <w:rFonts w:ascii="Arial" w:cs="Arial" w:eastAsia="Arial" w:hAnsi="Arial"/>
                <w:sz w:val="18"/>
                <w:szCs w:val="18"/>
                <w:color w:val="auto"/>
              </w:rPr>
              <w:t>COP</w:t>
            </w:r>
          </w:p>
        </w:tc>
        <w:tc>
          <w:tcPr>
            <w:tcW w:w="5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16,400</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DKK</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17,000</w:t>
            </w:r>
          </w:p>
        </w:tc>
        <w:tc>
          <w:tcPr>
            <w:tcW w:w="840" w:type="dxa"/>
            <w:vAlign w:val="bottom"/>
          </w:tcPr>
          <w:p>
            <w:pPr>
              <w:ind w:left="120"/>
              <w:spacing w:after="0"/>
              <w:rPr>
                <w:sz w:val="20"/>
                <w:szCs w:val="20"/>
                <w:color w:val="auto"/>
              </w:rPr>
            </w:pPr>
            <w:r>
              <w:rPr>
                <w:rFonts w:ascii="Arial" w:cs="Arial" w:eastAsia="Arial" w:hAnsi="Arial"/>
                <w:sz w:val="18"/>
                <w:szCs w:val="18"/>
                <w:color w:val="auto"/>
              </w:rPr>
              <w:t>DKK</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16,628</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34,834</w:t>
            </w:r>
          </w:p>
        </w:tc>
        <w:tc>
          <w:tcPr>
            <w:tcW w:w="840" w:type="dxa"/>
            <w:vAlign w:val="bottom"/>
          </w:tcPr>
          <w:p>
            <w:pPr>
              <w:ind w:left="120"/>
              <w:spacing w:after="0"/>
              <w:rPr>
                <w:sz w:val="20"/>
                <w:szCs w:val="20"/>
                <w:color w:val="auto"/>
              </w:rPr>
            </w:pPr>
            <w:r>
              <w:rPr>
                <w:rFonts w:ascii="Arial" w:cs="Arial" w:eastAsia="Arial" w:hAnsi="Arial"/>
                <w:sz w:val="18"/>
                <w:szCs w:val="18"/>
                <w:color w:val="auto"/>
              </w:rPr>
              <w:t>EUR</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58,715</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GBP</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82,701</w:t>
            </w:r>
          </w:p>
        </w:tc>
        <w:tc>
          <w:tcPr>
            <w:tcW w:w="840" w:type="dxa"/>
            <w:vAlign w:val="bottom"/>
          </w:tcPr>
          <w:p>
            <w:pPr>
              <w:ind w:left="120"/>
              <w:spacing w:after="0"/>
              <w:rPr>
                <w:sz w:val="20"/>
                <w:szCs w:val="20"/>
                <w:color w:val="auto"/>
              </w:rPr>
            </w:pPr>
            <w:r>
              <w:rPr>
                <w:rFonts w:ascii="Arial" w:cs="Arial" w:eastAsia="Arial" w:hAnsi="Arial"/>
                <w:sz w:val="18"/>
                <w:szCs w:val="18"/>
                <w:color w:val="auto"/>
              </w:rPr>
              <w:t>GBP</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22,502</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JPY</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175,189</w:t>
            </w:r>
          </w:p>
        </w:tc>
        <w:tc>
          <w:tcPr>
            <w:tcW w:w="840" w:type="dxa"/>
            <w:vAlign w:val="bottom"/>
          </w:tcPr>
          <w:p>
            <w:pPr>
              <w:ind w:left="120"/>
              <w:spacing w:after="0"/>
              <w:rPr>
                <w:sz w:val="20"/>
                <w:szCs w:val="20"/>
                <w:color w:val="auto"/>
              </w:rPr>
            </w:pPr>
            <w:r>
              <w:rPr>
                <w:rFonts w:ascii="Arial" w:cs="Arial" w:eastAsia="Arial" w:hAnsi="Arial"/>
                <w:sz w:val="18"/>
                <w:szCs w:val="18"/>
                <w:color w:val="auto"/>
              </w:rPr>
              <w:t>JPY</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352,026</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MXN</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267,447</w:t>
            </w:r>
          </w:p>
        </w:tc>
        <w:tc>
          <w:tcPr>
            <w:tcW w:w="840" w:type="dxa"/>
            <w:vAlign w:val="bottom"/>
          </w:tcPr>
          <w:p>
            <w:pPr>
              <w:ind w:left="120"/>
              <w:spacing w:after="0"/>
              <w:rPr>
                <w:sz w:val="20"/>
                <w:szCs w:val="20"/>
                <w:color w:val="auto"/>
              </w:rPr>
            </w:pPr>
            <w:r>
              <w:rPr>
                <w:rFonts w:ascii="Arial" w:cs="Arial" w:eastAsia="Arial" w:hAnsi="Arial"/>
                <w:sz w:val="18"/>
                <w:szCs w:val="18"/>
                <w:color w:val="auto"/>
              </w:rPr>
              <w:t>MXN</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NOK</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33,288</w:t>
            </w:r>
          </w:p>
        </w:tc>
        <w:tc>
          <w:tcPr>
            <w:tcW w:w="840" w:type="dxa"/>
            <w:vAlign w:val="bottom"/>
          </w:tcPr>
          <w:p>
            <w:pPr>
              <w:ind w:left="120"/>
              <w:spacing w:after="0"/>
              <w:rPr>
                <w:sz w:val="20"/>
                <w:szCs w:val="20"/>
                <w:color w:val="auto"/>
              </w:rPr>
            </w:pPr>
            <w:r>
              <w:rPr>
                <w:rFonts w:ascii="Arial" w:cs="Arial" w:eastAsia="Arial" w:hAnsi="Arial"/>
                <w:sz w:val="18"/>
                <w:szCs w:val="18"/>
                <w:color w:val="auto"/>
              </w:rPr>
              <w:t>NOK</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6,367</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RON</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18,902</w:t>
            </w:r>
          </w:p>
        </w:tc>
        <w:tc>
          <w:tcPr>
            <w:tcW w:w="840" w:type="dxa"/>
            <w:vAlign w:val="bottom"/>
          </w:tcPr>
          <w:p>
            <w:pPr>
              <w:ind w:left="120"/>
              <w:spacing w:after="0"/>
              <w:rPr>
                <w:sz w:val="20"/>
                <w:szCs w:val="20"/>
                <w:color w:val="auto"/>
              </w:rPr>
            </w:pPr>
            <w:r>
              <w:rPr>
                <w:rFonts w:ascii="Arial" w:cs="Arial" w:eastAsia="Arial" w:hAnsi="Arial"/>
                <w:sz w:val="18"/>
                <w:szCs w:val="18"/>
                <w:color w:val="auto"/>
              </w:rPr>
              <w:t>SGD</w:t>
            </w:r>
          </w:p>
        </w:tc>
        <w:tc>
          <w:tcPr>
            <w:tcW w:w="5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22,537</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SGD</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28,390</w:t>
            </w:r>
          </w:p>
        </w:tc>
        <w:tc>
          <w:tcPr>
            <w:tcW w:w="840" w:type="dxa"/>
            <w:vAlign w:val="bottom"/>
          </w:tcPr>
          <w:p>
            <w:pPr>
              <w:ind w:left="120"/>
              <w:spacing w:after="0"/>
              <w:rPr>
                <w:sz w:val="20"/>
                <w:szCs w:val="20"/>
                <w:color w:val="auto"/>
              </w:rPr>
            </w:pPr>
            <w:r>
              <w:rPr>
                <w:rFonts w:ascii="Arial" w:cs="Arial" w:eastAsia="Arial" w:hAnsi="Arial"/>
                <w:sz w:val="18"/>
                <w:szCs w:val="18"/>
                <w:color w:val="auto"/>
              </w:rPr>
              <w:t>GBP</w:t>
            </w:r>
          </w:p>
        </w:tc>
        <w:tc>
          <w:tcPr>
            <w:tcW w:w="58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49,180</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GBP</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15,768</w:t>
            </w:r>
          </w:p>
        </w:tc>
        <w:tc>
          <w:tcPr>
            <w:tcW w:w="840" w:type="dxa"/>
            <w:vAlign w:val="bottom"/>
          </w:tcPr>
          <w:p>
            <w:pPr>
              <w:ind w:left="120"/>
              <w:spacing w:after="0"/>
              <w:rPr>
                <w:sz w:val="20"/>
                <w:szCs w:val="20"/>
                <w:color w:val="auto"/>
              </w:rPr>
            </w:pPr>
            <w:r>
              <w:rPr>
                <w:rFonts w:ascii="Arial" w:cs="Arial" w:eastAsia="Arial" w:hAnsi="Arial"/>
                <w:sz w:val="18"/>
                <w:szCs w:val="18"/>
                <w:color w:val="auto"/>
              </w:rPr>
              <w:t>JPY</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2014</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contracts (long)</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GBP</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3820" w:type="dxa"/>
            <w:vAlign w:val="bottom"/>
          </w:tcPr>
          <w:p>
            <w:pPr>
              <w:ind w:left="260"/>
              <w:spacing w:after="0"/>
              <w:rPr>
                <w:sz w:val="20"/>
                <w:szCs w:val="20"/>
                <w:color w:val="auto"/>
              </w:rPr>
            </w:pPr>
            <w:r>
              <w:rPr>
                <w:rFonts w:ascii="Arial" w:cs="Arial" w:eastAsia="Arial" w:hAnsi="Arial"/>
                <w:sz w:val="18"/>
                <w:szCs w:val="18"/>
                <w:color w:val="auto"/>
              </w:rPr>
              <w:t>Foreign currency contracts (short)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1,430</w:t>
            </w:r>
          </w:p>
        </w:tc>
        <w:tc>
          <w:tcPr>
            <w:tcW w:w="840" w:type="dxa"/>
            <w:vAlign w:val="bottom"/>
          </w:tcPr>
          <w:p>
            <w:pPr>
              <w:ind w:left="120"/>
              <w:spacing w:after="0"/>
              <w:rPr>
                <w:sz w:val="20"/>
                <w:szCs w:val="20"/>
                <w:color w:val="auto"/>
              </w:rPr>
            </w:pPr>
            <w:r>
              <w:rPr>
                <w:rFonts w:ascii="Arial" w:cs="Arial" w:eastAsia="Arial" w:hAnsi="Arial"/>
                <w:sz w:val="18"/>
                <w:szCs w:val="18"/>
                <w:color w:val="auto"/>
              </w:rPr>
              <w:t>GBP</w:t>
            </w:r>
          </w:p>
        </w:tc>
        <w:tc>
          <w:tcPr>
            <w:tcW w:w="58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20" w:type="dxa"/>
            <w:vAlign w:val="bottom"/>
            <w:vMerge w:val="restart"/>
          </w:tcPr>
          <w:p>
            <w:pPr>
              <w:ind w:left="2540"/>
              <w:spacing w:after="0"/>
              <w:rPr>
                <w:sz w:val="20"/>
                <w:szCs w:val="20"/>
                <w:color w:val="auto"/>
              </w:rPr>
            </w:pPr>
            <w:r>
              <w:rPr>
                <w:rFonts w:ascii="Arial" w:cs="Arial" w:eastAsia="Arial" w:hAnsi="Arial"/>
                <w:sz w:val="18"/>
                <w:szCs w:val="18"/>
                <w:color w:val="auto"/>
              </w:rPr>
              <w:t>31</w:t>
            </w: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Chief Executive Officer and Chief Financial Officer, the effectiveness of the design and operation of our disclosure controls and procedures pursuant to Exchange Act Rule 13a-15(e). Based upon this evaluation, the Chief Executive Officer and Chief Financial Officer concluded that our disclosure controls and procedures were effective as of September 30,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11460"/>
          </w:cols>
          <w:pgMar w:left="240" w:top="140" w:right="199" w:bottom="212" w:gutter="0" w:footer="0" w:header="0"/>
        </w:sectPr>
      </w:pPr>
    </w:p>
    <w:bookmarkStart w:id="22" w:name="page23"/>
    <w:bookmarkEnd w:id="22"/>
    <w:p>
      <w:pPr>
        <w:ind w:right="2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September 30, 2012.</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September 30,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jc w:val="center"/>
              <w:ind w:left="97"/>
              <w:spacing w:after="0"/>
              <w:rPr>
                <w:sz w:val="20"/>
                <w:szCs w:val="20"/>
                <w:color w:val="auto"/>
              </w:rPr>
            </w:pPr>
            <w:r>
              <w:rPr>
                <w:rFonts w:ascii="Arial" w:cs="Arial" w:eastAsia="Arial" w:hAnsi="Arial"/>
                <w:sz w:val="13"/>
                <w:szCs w:val="13"/>
                <w:b w:val="1"/>
                <w:bCs w:val="1"/>
                <w:color w:val="auto"/>
                <w:w w:val="90"/>
              </w:rPr>
              <w:t>Total Number</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center"/>
              <w:ind w:left="100"/>
              <w:spacing w:after="0"/>
              <w:rPr>
                <w:sz w:val="20"/>
                <w:szCs w:val="20"/>
                <w:color w:val="auto"/>
              </w:rPr>
            </w:pPr>
            <w:r>
              <w:rPr>
                <w:rFonts w:ascii="Arial" w:cs="Arial" w:eastAsia="Arial" w:hAnsi="Arial"/>
                <w:sz w:val="13"/>
                <w:szCs w:val="13"/>
                <w:b w:val="1"/>
                <w:bCs w:val="1"/>
                <w:color w:val="auto"/>
                <w:w w:val="88"/>
              </w:rPr>
              <w:t>Total Cost of</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Remaining Authorized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86"/>
              </w:rPr>
              <w:t>of Common Shares Purchased</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tcPr>
          <w:p>
            <w:pPr>
              <w:jc w:val="center"/>
              <w:ind w:left="100"/>
              <w:spacing w:after="0" w:line="135" w:lineRule="exact"/>
              <w:rPr>
                <w:sz w:val="20"/>
                <w:szCs w:val="20"/>
                <w:color w:val="auto"/>
              </w:rPr>
            </w:pPr>
            <w:r>
              <w:rPr>
                <w:rFonts w:ascii="Arial" w:cs="Arial" w:eastAsia="Arial" w:hAnsi="Arial"/>
                <w:sz w:val="13"/>
                <w:szCs w:val="13"/>
                <w:b w:val="1"/>
                <w:bCs w:val="1"/>
                <w:color w:val="auto"/>
                <w:w w:val="86"/>
              </w:rPr>
              <w:t>Common Shares Purchased</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Total Number</w:t>
            </w:r>
          </w:p>
        </w:tc>
        <w:tc>
          <w:tcPr>
            <w:tcW w:w="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88"/>
              </w:rPr>
              <w:t>as Part of Publicly</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tcPr>
          <w:p>
            <w:pPr>
              <w:jc w:val="center"/>
              <w:ind w:left="100"/>
              <w:spacing w:after="0" w:line="135" w:lineRule="exact"/>
              <w:rPr>
                <w:sz w:val="20"/>
                <w:szCs w:val="20"/>
                <w:color w:val="auto"/>
              </w:rPr>
            </w:pPr>
            <w:r>
              <w:rPr>
                <w:rFonts w:ascii="Arial" w:cs="Arial" w:eastAsia="Arial" w:hAnsi="Arial"/>
                <w:sz w:val="13"/>
                <w:szCs w:val="13"/>
                <w:b w:val="1"/>
                <w:bCs w:val="1"/>
                <w:color w:val="auto"/>
                <w:w w:val="86"/>
              </w:rPr>
              <w:t>as Part of Publicly</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Repurchases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of Common Shares</w:t>
            </w:r>
          </w:p>
        </w:tc>
        <w:tc>
          <w:tcPr>
            <w:tcW w:w="140" w:type="dxa"/>
            <w:vAlign w:val="bottom"/>
          </w:tcPr>
          <w:p>
            <w:pPr>
              <w:spacing w:after="0"/>
              <w:rPr>
                <w:sz w:val="11"/>
                <w:szCs w:val="11"/>
                <w:color w:val="auto"/>
              </w:rPr>
            </w:pPr>
          </w:p>
        </w:tc>
        <w:tc>
          <w:tcPr>
            <w:tcW w:w="19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5"/>
              </w:rPr>
              <w:t>Average Price</w:t>
            </w:r>
          </w:p>
        </w:tc>
        <w:tc>
          <w:tcPr>
            <w:tcW w:w="188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87"/>
              </w:rPr>
              <w:t>Announced Plans</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tcPr>
          <w:p>
            <w:pPr>
              <w:jc w:val="center"/>
              <w:ind w:left="100"/>
              <w:spacing w:after="0" w:line="135" w:lineRule="exact"/>
              <w:rPr>
                <w:sz w:val="20"/>
                <w:szCs w:val="20"/>
                <w:color w:val="auto"/>
              </w:rPr>
            </w:pPr>
            <w:r>
              <w:rPr>
                <w:rFonts w:ascii="Arial" w:cs="Arial" w:eastAsia="Arial" w:hAnsi="Arial"/>
                <w:sz w:val="13"/>
                <w:szCs w:val="13"/>
                <w:b w:val="1"/>
                <w:bCs w:val="1"/>
                <w:color w:val="auto"/>
                <w:w w:val="85"/>
              </w:rPr>
              <w:t>Announced Plans</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Publicly Announced</w:t>
            </w:r>
          </w:p>
        </w:tc>
        <w:tc>
          <w:tcPr>
            <w:tcW w:w="0" w:type="dxa"/>
            <w:vAlign w:val="bottom"/>
          </w:tcPr>
          <w:p>
            <w:pPr>
              <w:spacing w:after="0"/>
              <w:rPr>
                <w:sz w:val="1"/>
                <w:szCs w:val="1"/>
                <w:color w:val="auto"/>
              </w:rPr>
            </w:pPr>
          </w:p>
        </w:tc>
      </w:tr>
      <w:tr>
        <w:trPr>
          <w:trHeight w:val="153"/>
        </w:trPr>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Period</w:t>
            </w: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Purchased (1)</w:t>
            </w:r>
          </w:p>
        </w:tc>
        <w:tc>
          <w:tcPr>
            <w:tcW w:w="140" w:type="dxa"/>
            <w:vAlign w:val="bottom"/>
          </w:tcPr>
          <w:p>
            <w:pPr>
              <w:spacing w:after="0"/>
              <w:rPr>
                <w:sz w:val="13"/>
                <w:szCs w:val="13"/>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Per Common Share Paid</w:t>
            </w:r>
          </w:p>
        </w:tc>
        <w:tc>
          <w:tcPr>
            <w:tcW w:w="1880" w:type="dxa"/>
            <w:vAlign w:val="bottom"/>
          </w:tcPr>
          <w:p>
            <w:pPr>
              <w:jc w:val="center"/>
              <w:ind w:left="97"/>
              <w:spacing w:after="0"/>
              <w:rPr>
                <w:sz w:val="20"/>
                <w:szCs w:val="20"/>
                <w:color w:val="auto"/>
              </w:rPr>
            </w:pPr>
            <w:r>
              <w:rPr>
                <w:rFonts w:ascii="Arial" w:cs="Arial" w:eastAsia="Arial" w:hAnsi="Arial"/>
                <w:sz w:val="13"/>
                <w:szCs w:val="13"/>
                <w:b w:val="1"/>
                <w:bCs w:val="1"/>
                <w:color w:val="auto"/>
                <w:w w:val="86"/>
              </w:rPr>
              <w:t>or Programs (2)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center"/>
              <w:ind w:left="100"/>
              <w:spacing w:after="0"/>
              <w:rPr>
                <w:sz w:val="20"/>
                <w:szCs w:val="20"/>
                <w:color w:val="auto"/>
              </w:rPr>
            </w:pPr>
            <w:r>
              <w:rPr>
                <w:rFonts w:ascii="Arial" w:cs="Arial" w:eastAsia="Arial" w:hAnsi="Arial"/>
                <w:sz w:val="13"/>
                <w:szCs w:val="13"/>
                <w:b w:val="1"/>
                <w:bCs w:val="1"/>
                <w:color w:val="auto"/>
                <w:w w:val="88"/>
              </w:rPr>
              <w:t>or Programs (2)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Plans or Programs (2)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7/1/12-7/31/12</w:t>
            </w:r>
          </w:p>
        </w:tc>
        <w:tc>
          <w:tcPr>
            <w:tcW w:w="30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313</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9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38.45</w:t>
            </w:r>
          </w:p>
        </w:tc>
        <w:tc>
          <w:tcPr>
            <w:tcW w:w="188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76"/>
              </w:rPr>
              <w:t>—</w:t>
            </w:r>
          </w:p>
        </w:tc>
        <w:tc>
          <w:tcPr>
            <w:tcW w:w="2040" w:type="dxa"/>
            <w:vAlign w:val="bottom"/>
            <w:gridSpan w:val="2"/>
            <w:shd w:val="clear" w:color="auto" w:fill="CCEEFF"/>
          </w:tcPr>
          <w:p>
            <w:pPr>
              <w:jc w:val="right"/>
              <w:ind w:right="162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90"/>
              </w:rPr>
              <w:t>8/1/12-8/31/12</w:t>
            </w:r>
          </w:p>
        </w:tc>
        <w:tc>
          <w:tcPr>
            <w:tcW w:w="300" w:type="dxa"/>
            <w:vAlign w:val="bottom"/>
          </w:tcPr>
          <w:p>
            <w:pPr>
              <w:spacing w:after="0"/>
              <w:rPr>
                <w:sz w:val="11"/>
                <w:szCs w:val="11"/>
                <w:color w:val="auto"/>
              </w:rPr>
            </w:pPr>
          </w:p>
        </w:tc>
        <w:tc>
          <w:tcPr>
            <w:tcW w:w="16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9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880" w:type="dxa"/>
            <w:vAlign w:val="bottom"/>
          </w:tcPr>
          <w:p>
            <w:pPr>
              <w:spacing w:after="0"/>
              <w:rPr>
                <w:sz w:val="11"/>
                <w:szCs w:val="11"/>
                <w:color w:val="auto"/>
              </w:rPr>
            </w:pPr>
          </w:p>
        </w:tc>
        <w:tc>
          <w:tcPr>
            <w:tcW w:w="160" w:type="dxa"/>
            <w:vAlign w:val="bottom"/>
          </w:tcPr>
          <w:p>
            <w:pPr>
              <w:ind w:left="40"/>
              <w:spacing w:after="0" w:line="135" w:lineRule="exact"/>
              <w:rPr>
                <w:sz w:val="20"/>
                <w:szCs w:val="20"/>
                <w:color w:val="auto"/>
              </w:rPr>
            </w:pPr>
            <w:r>
              <w:rPr>
                <w:rFonts w:ascii="Arial" w:cs="Arial" w:eastAsia="Arial" w:hAnsi="Arial"/>
                <w:sz w:val="13"/>
                <w:szCs w:val="13"/>
                <w:color w:val="auto"/>
                <w:w w:val="76"/>
              </w:rPr>
              <w:t>—</w:t>
            </w:r>
          </w:p>
        </w:tc>
        <w:tc>
          <w:tcPr>
            <w:tcW w:w="3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60" w:type="dxa"/>
            <w:vAlign w:val="bottom"/>
          </w:tcPr>
          <w:p>
            <w:pPr>
              <w:jc w:val="right"/>
              <w:spacing w:after="0" w:line="135" w:lineRule="exact"/>
              <w:rPr>
                <w:sz w:val="20"/>
                <w:szCs w:val="20"/>
                <w:color w:val="auto"/>
              </w:rPr>
            </w:pPr>
            <w:r>
              <w:rPr>
                <w:rFonts w:ascii="Arial" w:cs="Arial" w:eastAsia="Arial" w:hAnsi="Arial"/>
                <w:sz w:val="13"/>
                <w:szCs w:val="13"/>
                <w:color w:val="auto"/>
              </w:rPr>
              <w:t>50,000,000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9/1/12-9/30/12</w:t>
            </w:r>
          </w:p>
        </w:tc>
        <w:tc>
          <w:tcPr>
            <w:tcW w:w="30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9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76"/>
              </w:rPr>
              <w:t>—</w:t>
            </w:r>
          </w:p>
        </w:tc>
        <w:tc>
          <w:tcPr>
            <w:tcW w:w="3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gridSpan w:val="2"/>
          </w:tcPr>
          <w:p>
            <w:pPr>
              <w:jc w:val="center"/>
              <w:ind w:right="300"/>
              <w:spacing w:after="0" w:line="129" w:lineRule="exact"/>
              <w:rPr>
                <w:sz w:val="20"/>
                <w:szCs w:val="20"/>
                <w:color w:val="auto"/>
              </w:rPr>
            </w:pPr>
            <w:r>
              <w:rPr>
                <w:rFonts w:ascii="Arial" w:cs="Arial" w:eastAsia="Arial" w:hAnsi="Arial"/>
                <w:sz w:val="13"/>
                <w:szCs w:val="13"/>
                <w:color w:val="auto"/>
                <w:w w:val="89"/>
              </w:rPr>
              <w:t>Total</w:t>
            </w:r>
          </w:p>
        </w:tc>
        <w:tc>
          <w:tcPr>
            <w:tcW w:w="1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313</w:t>
            </w:r>
          </w:p>
        </w:tc>
        <w:tc>
          <w:tcPr>
            <w:tcW w:w="28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1940" w:type="dxa"/>
            <w:vAlign w:val="bottom"/>
            <w:gridSpan w:val="2"/>
          </w:tcPr>
          <w:p>
            <w:pPr>
              <w:jc w:val="right"/>
              <w:ind w:right="300"/>
              <w:spacing w:after="0" w:line="129" w:lineRule="exact"/>
              <w:rPr>
                <w:sz w:val="20"/>
                <w:szCs w:val="20"/>
                <w:color w:val="auto"/>
              </w:rPr>
            </w:pPr>
            <w:r>
              <w:rPr>
                <w:rFonts w:ascii="Arial" w:cs="Arial" w:eastAsia="Arial" w:hAnsi="Arial"/>
                <w:sz w:val="13"/>
                <w:szCs w:val="13"/>
                <w:color w:val="auto"/>
              </w:rPr>
              <w:t>38.45</w:t>
            </w:r>
          </w:p>
        </w:tc>
        <w:tc>
          <w:tcPr>
            <w:tcW w:w="18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3"/>
                <w:szCs w:val="13"/>
                <w:color w:val="auto"/>
                <w:w w:val="76"/>
              </w:rPr>
              <w:t>—</w:t>
            </w:r>
          </w:p>
        </w:tc>
        <w:tc>
          <w:tcPr>
            <w:tcW w:w="300" w:type="dxa"/>
            <w:vAlign w:val="bottom"/>
          </w:tcPr>
          <w:p>
            <w:pPr>
              <w:spacing w:after="0"/>
              <w:rPr>
                <w:sz w:val="11"/>
                <w:szCs w:val="11"/>
                <w:color w:val="auto"/>
              </w:rPr>
            </w:pPr>
          </w:p>
        </w:tc>
        <w:tc>
          <w:tcPr>
            <w:tcW w:w="1740" w:type="dxa"/>
            <w:vAlign w:val="bottom"/>
            <w:tcBorders>
              <w:top w:val="single" w:sz="8" w:color="auto"/>
            </w:tcBorders>
          </w:tcPr>
          <w:p>
            <w:pPr>
              <w:jc w:val="right"/>
              <w:ind w:right="1620"/>
              <w:spacing w:after="0"/>
              <w:rPr>
                <w:sz w:val="20"/>
                <w:szCs w:val="20"/>
                <w:color w:val="auto"/>
              </w:rPr>
            </w:pPr>
            <w:r>
              <w:rPr>
                <w:rFonts w:ascii="Arial" w:cs="Arial" w:eastAsia="Arial" w:hAnsi="Arial"/>
                <w:sz w:val="9"/>
                <w:szCs w:val="9"/>
                <w:color w:val="auto"/>
                <w:w w:val="78"/>
              </w:rPr>
              <w:t>$</w:t>
            </w:r>
          </w:p>
        </w:tc>
        <w:tc>
          <w:tcPr>
            <w:tcW w:w="1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3"/>
                <w:szCs w:val="13"/>
                <w:color w:val="auto"/>
                <w:w w:val="76"/>
              </w:rPr>
              <w:t>—</w:t>
            </w:r>
          </w:p>
        </w:tc>
        <w:tc>
          <w:tcPr>
            <w:tcW w:w="300" w:type="dxa"/>
            <w:vAlign w:val="bottom"/>
          </w:tcPr>
          <w:p>
            <w:pPr>
              <w:spacing w:after="0"/>
              <w:rPr>
                <w:sz w:val="11"/>
                <w:szCs w:val="11"/>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460" w:type="dxa"/>
            <w:vAlign w:val="bottom"/>
          </w:tcPr>
          <w:p>
            <w:pPr>
              <w:jc w:val="right"/>
              <w:spacing w:after="0" w:line="129" w:lineRule="exact"/>
              <w:rPr>
                <w:sz w:val="20"/>
                <w:szCs w:val="20"/>
                <w:color w:val="auto"/>
              </w:rPr>
            </w:pPr>
            <w:r>
              <w:rPr>
                <w:rFonts w:ascii="Arial" w:cs="Arial" w:eastAsia="Arial" w:hAnsi="Arial"/>
                <w:sz w:val="13"/>
                <w:szCs w:val="13"/>
                <w:color w:val="auto"/>
              </w:rPr>
              <w:t>50,000,000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60" w:hanging="366"/>
        <w:spacing w:after="0"/>
        <w:tabs>
          <w:tab w:leader="none" w:pos="8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These shares relate to the purchase of common stock tendered by employees to exercise share-based payment awards and satisfy the required withholding taxes related to share-based payment awards.</w:t>
      </w:r>
    </w:p>
    <w:p>
      <w:pPr>
        <w:spacing w:after="0" w:line="143" w:lineRule="exact"/>
        <w:rPr>
          <w:rFonts w:ascii="Arial" w:cs="Arial" w:eastAsia="Arial" w:hAnsi="Arial"/>
          <w:sz w:val="11"/>
          <w:szCs w:val="11"/>
          <w:color w:val="auto"/>
        </w:rPr>
      </w:pPr>
    </w:p>
    <w:p>
      <w:pPr>
        <w:ind w:left="500" w:right="100" w:hanging="6"/>
        <w:spacing w:after="0" w:line="254" w:lineRule="auto"/>
        <w:tabs>
          <w:tab w:leader="none" w:pos="867"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October 2008, our Board of Directors authorized a $50.0 million common share repurchase program. The program does not require a minimum number of common shares to be purchased and has no expiration date but may be suspended or discontinued at any time. As of September 30, 2012, no shares of our common stock had been repurchased under this program. The timing and amount of common shares to be repurchased under the program will depend on market conditions, share price, securities law and other legal requirements and other factors.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960" w:type="dxa"/>
            <w:vAlign w:val="bottom"/>
          </w:tcPr>
          <w:p>
            <w:pPr>
              <w:ind w:left="412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460" w:type="dxa"/>
            <w:vAlign w:val="bottom"/>
            <w:tcBorders>
              <w:top w:val="single" w:sz="8" w:color="auto"/>
            </w:tcBorders>
          </w:tcPr>
          <w:p>
            <w:pPr>
              <w:jc w:val="right"/>
              <w:ind w:right="494"/>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89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Form of Named Executive Officer Performance-Based Restricted Stock Grant Agreement under the 2006 Omnibus Plan.</w:t>
            </w:r>
          </w:p>
        </w:tc>
      </w:tr>
      <w:tr>
        <w:trPr>
          <w:trHeight w:val="432"/>
        </w:trPr>
        <w:tc>
          <w:tcPr>
            <w:tcW w:w="1460" w:type="dxa"/>
            <w:vAlign w:val="bottom"/>
          </w:tcPr>
          <w:p>
            <w:pPr>
              <w:jc w:val="right"/>
              <w:ind w:right="494"/>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432"/>
        </w:trPr>
        <w:tc>
          <w:tcPr>
            <w:tcW w:w="1460" w:type="dxa"/>
            <w:vAlign w:val="bottom"/>
          </w:tcPr>
          <w:p>
            <w:pPr>
              <w:jc w:val="right"/>
              <w:ind w:right="494"/>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432"/>
        </w:trPr>
        <w:tc>
          <w:tcPr>
            <w:tcW w:w="1460" w:type="dxa"/>
            <w:vAlign w:val="bottom"/>
          </w:tcPr>
          <w:p>
            <w:pPr>
              <w:jc w:val="right"/>
              <w:ind w:right="494"/>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3"/>
              </w:rPr>
              <w:t>Certification of Chief Executive Officer and Chief Financial Officer under Section 906 of the Sarbanes-Oxley Act of 2002.</w:t>
            </w:r>
          </w:p>
        </w:tc>
      </w:tr>
    </w:tbl>
    <w:p>
      <w:pPr>
        <w:spacing w:after="0" w:line="202" w:lineRule="exact"/>
        <w:rPr>
          <w:sz w:val="20"/>
          <w:szCs w:val="20"/>
          <w:color w:val="auto"/>
        </w:rPr>
      </w:pPr>
    </w:p>
    <w:p>
      <w:pPr>
        <w:ind w:left="2340" w:right="160" w:hanging="1089"/>
        <w:spacing w:after="0" w:line="279" w:lineRule="auto"/>
        <w:tabs>
          <w:tab w:leader="none" w:pos="2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materials from World Fuel Services Corporation’s Quarterly Report on Form 10-Q for the quarter ended September 30, 2012,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 2012</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Vice-President and Chief Financial Officer</w:t>
      </w:r>
    </w:p>
    <w:p>
      <w:pPr>
        <w:sectPr>
          <w:pgSz w:w="11900" w:h="16838" w:orient="portrait"/>
          <w:cols w:equalWidth="0" w:num="1">
            <w:col w:w="11420"/>
          </w:cols>
          <w:pgMar w:left="240" w:top="125" w:right="239" w:bottom="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4" w:name="page25"/>
    <w:bookmarkEnd w:id="24"/>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11" w:lineRule="exact"/>
        <w:rPr>
          <w:sz w:val="20"/>
          <w:szCs w:val="20"/>
          <w:color w:val="auto"/>
        </w:rPr>
      </w:pPr>
    </w:p>
    <w:p>
      <w:pPr>
        <w:ind w:right="40" w:firstLine="656"/>
        <w:spacing w:after="0" w:line="255"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World Fuel Services Corporation, a Florida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awarded to [·] (the “</w:t>
      </w:r>
      <w:r>
        <w:rPr>
          <w:rFonts w:ascii="Arial" w:cs="Arial" w:eastAsia="Arial" w:hAnsi="Arial"/>
          <w:sz w:val="18"/>
          <w:szCs w:val="18"/>
          <w:u w:val="single" w:color="auto"/>
          <w:color w:val="auto"/>
        </w:rPr>
        <w:t>Participant</w:t>
      </w:r>
      <w:r>
        <w:rPr>
          <w:rFonts w:ascii="Arial" w:cs="Arial" w:eastAsia="Arial" w:hAnsi="Arial"/>
          <w:sz w:val="18"/>
          <w:szCs w:val="18"/>
          <w:color w:val="auto"/>
        </w:rPr>
        <w:t>”), effective as of March 30, 2012 (the “</w:t>
      </w:r>
      <w:r>
        <w:rPr>
          <w:rFonts w:ascii="Arial" w:cs="Arial" w:eastAsia="Arial" w:hAnsi="Arial"/>
          <w:sz w:val="18"/>
          <w:szCs w:val="18"/>
          <w:u w:val="single" w:color="auto"/>
          <w:color w:val="auto"/>
        </w:rPr>
        <w:t>Grant Date</w:t>
      </w:r>
      <w:r>
        <w:rPr>
          <w:rFonts w:ascii="Arial" w:cs="Arial" w:eastAsia="Arial" w:hAnsi="Arial"/>
          <w:sz w:val="18"/>
          <w:szCs w:val="18"/>
          <w:color w:val="auto"/>
        </w:rPr>
        <w:t>”), a maximum award of [·] shares (the “</w:t>
      </w:r>
      <w:r>
        <w:rPr>
          <w:rFonts w:ascii="Arial" w:cs="Arial" w:eastAsia="Arial" w:hAnsi="Arial"/>
          <w:sz w:val="18"/>
          <w:szCs w:val="18"/>
          <w:u w:val="single" w:color="auto"/>
          <w:color w:val="auto"/>
        </w:rPr>
        <w:t>Restricted Stock</w:t>
      </w:r>
      <w:r>
        <w:rPr>
          <w:rFonts w:ascii="Arial" w:cs="Arial" w:eastAsia="Arial" w:hAnsi="Arial"/>
          <w:sz w:val="18"/>
          <w:szCs w:val="18"/>
          <w:color w:val="auto"/>
        </w:rPr>
        <w:t>”) of the Company’s common stock, par value US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The shares of Restricted Stock have been granted under the Company’s 2006 Omnibus Plan, as amended and restated (the “</w:t>
      </w:r>
      <w:r>
        <w:rPr>
          <w:rFonts w:ascii="Arial" w:cs="Arial" w:eastAsia="Arial" w:hAnsi="Arial"/>
          <w:sz w:val="18"/>
          <w:szCs w:val="18"/>
          <w:u w:val="single" w:color="auto"/>
          <w:color w:val="auto"/>
        </w:rPr>
        <w:t>Plan</w:t>
      </w:r>
      <w:r>
        <w:rPr>
          <w:rFonts w:ascii="Arial" w:cs="Arial" w:eastAsia="Arial" w:hAnsi="Arial"/>
          <w:sz w:val="18"/>
          <w:szCs w:val="18"/>
          <w:color w:val="auto"/>
        </w:rPr>
        <w:t>”), which is incorporated herein for all purposes, and the grant of Restricted Stock shall be subject to the terms, provisions and restrictions set forth in this Agreement and the Plan. As a condition to entering into this Agreement, and as a condition to the issuance of the Shares (or any other securities of the Company), the Participant agrees to be bound by all of the terms and conditions set forth in this Agreement and in the Plan.</w:t>
      </w:r>
    </w:p>
    <w:p>
      <w:pPr>
        <w:spacing w:after="0" w:line="189" w:lineRule="exact"/>
        <w:rPr>
          <w:rFonts w:ascii="Arial" w:cs="Arial" w:eastAsia="Arial" w:hAnsi="Arial"/>
          <w:sz w:val="18"/>
          <w:szCs w:val="18"/>
          <w:color w:val="auto"/>
        </w:rPr>
      </w:pPr>
    </w:p>
    <w:p>
      <w:pPr>
        <w:ind w:right="220" w:firstLine="656"/>
        <w:spacing w:after="0" w:line="286" w:lineRule="auto"/>
        <w:tabs>
          <w:tab w:leader="none" w:pos="129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and phrases used in this Agreement shall have the meaning set forth below. Capitalized terms used herein, and not defined in this Agreement, shall have the meaning set forth in the Plan. Notwithstanding the foregoing, the definitions of “</w:t>
      </w: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u w:val="single" w:color="auto"/>
          <w:color w:val="auto"/>
        </w:rPr>
        <w:t>Disability</w:t>
      </w:r>
      <w:r>
        <w:rPr>
          <w:rFonts w:ascii="Arial" w:cs="Arial" w:eastAsia="Arial" w:hAnsi="Arial"/>
          <w:sz w:val="17"/>
          <w:szCs w:val="17"/>
          <w:color w:val="auto"/>
        </w:rPr>
        <w:t>”, “</w:t>
      </w:r>
      <w:r>
        <w:rPr>
          <w:rFonts w:ascii="Arial" w:cs="Arial" w:eastAsia="Arial" w:hAnsi="Arial"/>
          <w:sz w:val="17"/>
          <w:szCs w:val="17"/>
          <w:u w:val="single" w:color="auto"/>
          <w:color w:val="auto"/>
        </w:rPr>
        <w:t>Good Reason</w:t>
      </w:r>
      <w:r>
        <w:rPr>
          <w:rFonts w:ascii="Arial" w:cs="Arial" w:eastAsia="Arial" w:hAnsi="Arial"/>
          <w:sz w:val="17"/>
          <w:szCs w:val="17"/>
          <w:color w:val="auto"/>
        </w:rPr>
        <w:t>” and “</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have the meanings set forth in the Employment Agreement (as defined below).</w:t>
      </w:r>
    </w:p>
    <w:p>
      <w:pPr>
        <w:spacing w:after="0" w:line="165" w:lineRule="exact"/>
        <w:rPr>
          <w:rFonts w:ascii="Arial" w:cs="Arial" w:eastAsia="Arial" w:hAnsi="Arial"/>
          <w:sz w:val="17"/>
          <w:szCs w:val="17"/>
          <w:color w:val="auto"/>
        </w:rPr>
      </w:pPr>
    </w:p>
    <w:p>
      <w:pPr>
        <w:ind w:left="1940" w:hanging="635"/>
        <w:spacing w:after="0"/>
        <w:tabs>
          <w:tab w:leader="none" w:pos="1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CAGR in EPS</w:t>
      </w:r>
      <w:r>
        <w:rPr>
          <w:rFonts w:ascii="Arial" w:cs="Arial" w:eastAsia="Arial" w:hAnsi="Arial"/>
          <w:sz w:val="18"/>
          <w:szCs w:val="18"/>
          <w:color w:val="auto"/>
        </w:rPr>
        <w:t>” means the compound average annual rate of growth in EPS.</w:t>
      </w:r>
    </w:p>
    <w:p>
      <w:pPr>
        <w:spacing w:after="0" w:line="225" w:lineRule="exact"/>
        <w:rPr>
          <w:rFonts w:ascii="Arial" w:cs="Arial" w:eastAsia="Arial" w:hAnsi="Arial"/>
          <w:sz w:val="18"/>
          <w:szCs w:val="18"/>
          <w:color w:val="auto"/>
        </w:rPr>
      </w:pPr>
    </w:p>
    <w:p>
      <w:pPr>
        <w:ind w:right="280" w:firstLine="1305"/>
        <w:spacing w:after="0" w:line="277" w:lineRule="auto"/>
        <w:tabs>
          <w:tab w:leader="none" w:pos="1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means any employment agreement or individual executive severance agreement by and between the Company and the Participant, as in effect on the Grant Date.</w:t>
      </w:r>
    </w:p>
    <w:p>
      <w:pPr>
        <w:spacing w:after="0" w:line="170" w:lineRule="exact"/>
        <w:rPr>
          <w:rFonts w:ascii="Arial" w:cs="Arial" w:eastAsia="Arial" w:hAnsi="Arial"/>
          <w:sz w:val="18"/>
          <w:szCs w:val="18"/>
          <w:color w:val="auto"/>
        </w:rPr>
      </w:pPr>
    </w:p>
    <w:p>
      <w:pPr>
        <w:ind w:right="460" w:firstLine="1305"/>
        <w:spacing w:after="0" w:line="308" w:lineRule="auto"/>
        <w:tabs>
          <w:tab w:leader="none" w:pos="1955"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Earned Shares</w:t>
      </w:r>
      <w:r>
        <w:rPr>
          <w:rFonts w:ascii="Arial" w:cs="Arial" w:eastAsia="Arial" w:hAnsi="Arial"/>
          <w:sz w:val="17"/>
          <w:szCs w:val="17"/>
          <w:color w:val="auto"/>
        </w:rPr>
        <w:t>” means the portion of the Restricted Stock that is considered to be earned based upon the achievement of the applicable level of CAGR in EPS for the Measurement Period, as determined in accordance with Section 3(a) or 3(b) hereof.</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EPS</w:t>
      </w:r>
      <w:r>
        <w:rPr>
          <w:rFonts w:ascii="Arial" w:cs="Arial" w:eastAsia="Arial" w:hAnsi="Arial"/>
          <w:sz w:val="17"/>
          <w:szCs w:val="17"/>
          <w:color w:val="auto"/>
        </w:rPr>
        <w:t>” means the Company’s consolidated earnings per share, on a fully diluted basis, as reflected in the Company’s audited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financial statements.</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Measurement Period</w:t>
      </w:r>
      <w:r>
        <w:rPr>
          <w:rFonts w:ascii="Arial" w:cs="Arial" w:eastAsia="Arial" w:hAnsi="Arial"/>
          <w:sz w:val="16"/>
          <w:szCs w:val="16"/>
          <w:color w:val="auto"/>
        </w:rPr>
        <w:t>” means the five (5) year period from January 1, 2012 through December 31, 2016, or such shorter period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set forth in Section 3(b)(i).</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means the date on which the Participant is no longer an employee of the Company or any Subsidiary.</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Vesting and Forfeiture of Shares of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59" w:lineRule="auto"/>
        <w:tabs>
          <w:tab w:leader="none" w:pos="1942" w:val="left"/>
        </w:tabs>
        <w:numPr>
          <w:ilvl w:val="1"/>
          <w:numId w:val="17"/>
        </w:numPr>
        <w:rPr>
          <w:rFonts w:ascii="Arial" w:cs="Arial" w:eastAsia="Arial" w:hAnsi="Arial"/>
          <w:sz w:val="18"/>
          <w:szCs w:val="18"/>
          <w:color w:val="auto"/>
        </w:rPr>
      </w:pPr>
      <w:r>
        <w:rPr>
          <w:rFonts w:ascii="Arial" w:cs="Arial" w:eastAsia="Arial" w:hAnsi="Arial"/>
          <w:sz w:val="18"/>
          <w:szCs w:val="18"/>
          <w:color w:val="auto"/>
        </w:rPr>
        <w:t>(i) Subject to the provisions of this Section 3, the Earned Shares shall be determined by the Committee based on the CAGR in EPS during the Measurement Period pursuant to the schedule set forth on Exhibit A. If the CAGR in EPS for the Measurement Period is between the levels specified in the schedule set forth on Exhibit A, the Committee shall apply linear interpolation with measurement based on each 0.1 percentage point increase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CAGR in EPS to determine the number of Earned Shares. In no event shall the number of Earned Shares exceed [·].</w:t>
      </w:r>
    </w:p>
    <w:p>
      <w:pPr>
        <w:spacing w:after="0" w:line="225" w:lineRule="exact"/>
        <w:rPr>
          <w:sz w:val="20"/>
          <w:szCs w:val="20"/>
          <w:color w:val="auto"/>
        </w:rPr>
      </w:pPr>
    </w:p>
    <w:p>
      <w:pPr>
        <w:ind w:left="80" w:right="180" w:firstLine="1954"/>
        <w:spacing w:after="0" w:line="257" w:lineRule="auto"/>
        <w:tabs>
          <w:tab w:leader="none" w:pos="262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Restricted Shares are intended to qualify as “qualified performance-based compensation” under Section 162(m) of the Code. The Committee retains the sole and plenary discretion to make any adjustment permitted by Section 3.2 of the Plan or to reduce or eliminate the number of Earned Shares in accordance with the terms of the Plan for any reason deemed appropriate by the Committee, even if the CAGR in EPS targets pursuant to the schedule set forth on Exhibit A have been attained and without regard to the Employment Agreement or any other agreement between the Company and the Participant.</w:t>
      </w:r>
    </w:p>
    <w:p>
      <w:pPr>
        <w:spacing w:after="0" w:line="188" w:lineRule="exact"/>
        <w:rPr>
          <w:rFonts w:ascii="Arial" w:cs="Arial" w:eastAsia="Arial" w:hAnsi="Arial"/>
          <w:sz w:val="18"/>
          <w:szCs w:val="18"/>
          <w:color w:val="auto"/>
        </w:rPr>
      </w:pPr>
    </w:p>
    <w:p>
      <w:pPr>
        <w:ind w:left="80" w:right="60" w:firstLine="1954"/>
        <w:spacing w:after="0" w:line="272" w:lineRule="auto"/>
        <w:tabs>
          <w:tab w:leader="none" w:pos="2632" w:val="left"/>
        </w:tabs>
        <w:numPr>
          <w:ilvl w:val="1"/>
          <w:numId w:val="18"/>
        </w:numPr>
        <w:rPr>
          <w:rFonts w:ascii="Arial" w:cs="Arial" w:eastAsia="Arial" w:hAnsi="Arial"/>
          <w:sz w:val="17"/>
          <w:szCs w:val="17"/>
          <w:color w:val="auto"/>
        </w:rPr>
      </w:pPr>
      <w:r>
        <w:rPr>
          <w:rFonts w:ascii="Arial" w:cs="Arial" w:eastAsia="Arial" w:hAnsi="Arial"/>
          <w:sz w:val="17"/>
          <w:szCs w:val="17"/>
          <w:color w:val="auto"/>
        </w:rPr>
        <w:t>Subject to the provisions of Section 3(b), the Earned Shares, if any, shall become vested on the date (the “</w:t>
      </w:r>
      <w:r>
        <w:rPr>
          <w:rFonts w:ascii="Arial" w:cs="Arial" w:eastAsia="Arial" w:hAnsi="Arial"/>
          <w:sz w:val="17"/>
          <w:szCs w:val="17"/>
          <w:u w:val="single" w:color="auto"/>
          <w:color w:val="auto"/>
        </w:rPr>
        <w:t>Vesting Date</w:t>
      </w:r>
      <w:r>
        <w:rPr>
          <w:rFonts w:ascii="Arial" w:cs="Arial" w:eastAsia="Arial" w:hAnsi="Arial"/>
          <w:sz w:val="17"/>
          <w:szCs w:val="17"/>
          <w:color w:val="auto"/>
        </w:rPr>
        <w:t xml:space="preserve">”) after December 31, 2016 on which the Committee certifies in writing, based upon the Company’s audited financial statements, the extent to which the requisite CAGR in EPS for the Measurement Period has been achieved and the portion of the Restricted Stock, if any, that constitutes Earned Shares, which date shall not be later than March 15, 2017;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in Section 3(b), any Earned Shares shall only become vested if the Participant continues to serve as an employee of the Company or any Subsidiary through and until the Vesting Date. Except as otherwise provided in this Section 3, there shall be no proportionate or partial vesting of the Restricted Stock prior to the Vesting Date and the portion of the Restricted Stock, if any, that does not constitute Earned Shares shall be forfeited on the Vesting Date.</w:t>
      </w:r>
    </w:p>
    <w:p>
      <w:pPr>
        <w:spacing w:after="0" w:line="177" w:lineRule="exact"/>
        <w:rPr>
          <w:rFonts w:ascii="Arial" w:cs="Arial" w:eastAsia="Arial" w:hAnsi="Arial"/>
          <w:sz w:val="17"/>
          <w:szCs w:val="17"/>
          <w:color w:val="auto"/>
        </w:rPr>
      </w:pPr>
    </w:p>
    <w:p>
      <w:pPr>
        <w:ind w:left="80" w:right="140" w:firstLine="1954"/>
        <w:spacing w:after="0" w:line="277" w:lineRule="auto"/>
        <w:tabs>
          <w:tab w:leader="none" w:pos="260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Participant expressly acknowledges that the terms of this Section 3 shall supersede any inconsistent provision in the Employment Agreement or any similar agreement between the Participant and the Company or any Subsidiary.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vesting of the Restricted Stock shall be subject to this Section 3(b):</w:t>
      </w:r>
    </w:p>
    <w:p>
      <w:pPr>
        <w:spacing w:after="0" w:line="225" w:lineRule="exact"/>
        <w:rPr>
          <w:rFonts w:ascii="Arial" w:cs="Arial" w:eastAsia="Arial" w:hAnsi="Arial"/>
          <w:sz w:val="18"/>
          <w:szCs w:val="18"/>
          <w:color w:val="auto"/>
        </w:rPr>
      </w:pPr>
    </w:p>
    <w:p>
      <w:pPr>
        <w:ind w:left="80" w:right="40" w:firstLine="1954"/>
        <w:spacing w:after="0" w:line="269" w:lineRule="auto"/>
        <w:tabs>
          <w:tab w:leader="none" w:pos="2613" w:val="left"/>
        </w:tabs>
        <w:numPr>
          <w:ilvl w:val="1"/>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 of Control</w:t>
      </w:r>
      <w:r>
        <w:rPr>
          <w:rFonts w:ascii="Arial" w:cs="Arial" w:eastAsia="Arial" w:hAnsi="Arial"/>
          <w:sz w:val="17"/>
          <w:szCs w:val="17"/>
          <w:color w:val="auto"/>
        </w:rPr>
        <w:t>. Upon the occurrence of a Change of Control prior to January 1, 2013, the Participant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immediately forfeit the Restricted Stock. Upon the occurrence of a Change of Control on or following January 1, 2013 while the Restricted Stock is outstanding, the number of Earned Shares shall be determined by the Committee based on the extent to which the requisite CAGR in EPS has been achieved from the beginning of the Measurement Period through the end of the last completed year prior to the occurrence of the Change of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Participant shall only be eligible for the pro-rated portion of the Earned Shares determined in accordance with Section 3(e) hereof. The shares of Restricted Stock that the Participant is eligible to receive pursuant to this Section 3(b)(i), after determining the number of Earned Shares and applying the proration specified in Section 3(e) hereof, are hereinafter referred to as the “</w:t>
      </w:r>
      <w:r>
        <w:rPr>
          <w:rFonts w:ascii="Arial" w:cs="Arial" w:eastAsia="Arial" w:hAnsi="Arial"/>
          <w:sz w:val="17"/>
          <w:szCs w:val="17"/>
          <w:u w:val="single" w:color="auto"/>
          <w:color w:val="auto"/>
        </w:rPr>
        <w:t>Change of Control Shares</w:t>
      </w:r>
      <w:r>
        <w:rPr>
          <w:rFonts w:ascii="Arial" w:cs="Arial" w:eastAsia="Arial" w:hAnsi="Arial"/>
          <w:sz w:val="17"/>
          <w:szCs w:val="17"/>
          <w:color w:val="auto"/>
        </w:rPr>
        <w:t>”. The portion of the Restricted Stock that does not constitute Change of Control Shares shall be automatically forfeited upon a Change of Control. To the extent that the successor company assumes or substitutes the Change of Control Shares as of the date of the Change of Control, the vesting of the Change of Control Shares that are assumed or substituted shall remain subject to the Participant’s continued employment with the Company or any Subsidiary through the Vesting Date. To the extent that the successor company refuses to assume or substitute the Change of Control Shares as of the date of the Change of Control, the Change of Control Shares shall immediately vest. For this purpose, the Change of Control Shares shall be considered assumed</w:t>
      </w:r>
    </w:p>
    <w:p>
      <w:pPr>
        <w:sectPr>
          <w:pgSz w:w="11900" w:h="16852" w:orient="portrait"/>
          <w:cols w:equalWidth="0" w:num="1">
            <w:col w:w="11420"/>
          </w:cols>
          <w:pgMar w:left="240" w:top="121" w:right="239" w:bottom="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120"/>
        <w:spacing w:after="0" w:line="270" w:lineRule="auto"/>
        <w:rPr>
          <w:sz w:val="20"/>
          <w:szCs w:val="20"/>
          <w:color w:val="auto"/>
        </w:rPr>
      </w:pPr>
      <w:r>
        <w:rPr>
          <w:rFonts w:ascii="Arial" w:cs="Arial" w:eastAsia="Arial" w:hAnsi="Arial"/>
          <w:sz w:val="17"/>
          <w:szCs w:val="17"/>
          <w:color w:val="auto"/>
        </w:rPr>
        <w:t>or substituted only if (1) the Change of Control Shares that are assumed or substituted vest at the time that such Change of Control Shares would vest pursuant to this Agreement, (2) the economic terms of the Change of Control Shares that are assumed or substituted are substantially comparable to the economic terms as provided in this Agreement and (3) following the Change of Control, the Change of Control Shares will be converted into shares of common stock of the successor company or its parent or subsidiary substantially equal in fair market value (on a per share basis) to the per share consideration received by holders of Shares in the transaction constituting a Change of Control. The determination of such substantial equality of value of consideration shall be made by the Committee in its sole discretion and its determination shall be conclusive and binding. The award resulting from the assumption or substitution of the Change of Control Shares by the successor company shall continue to vest after the Change of Control based on the Participant’s continued employment with the successor company and its affiliates, except as otherwise provided in this Section 3(b), and shall be referred to hereafter as the “</w:t>
      </w:r>
      <w:r>
        <w:rPr>
          <w:rFonts w:ascii="Arial" w:cs="Arial" w:eastAsia="Arial" w:hAnsi="Arial"/>
          <w:sz w:val="17"/>
          <w:szCs w:val="17"/>
          <w:u w:val="single" w:color="auto"/>
          <w:color w:val="auto"/>
        </w:rPr>
        <w:t>Acquirer RSAs</w:t>
      </w:r>
      <w:r>
        <w:rPr>
          <w:rFonts w:ascii="Arial" w:cs="Arial" w:eastAsia="Arial" w:hAnsi="Arial"/>
          <w:sz w:val="17"/>
          <w:szCs w:val="17"/>
          <w:color w:val="auto"/>
        </w:rPr>
        <w:t>”.</w:t>
      </w:r>
    </w:p>
    <w:p>
      <w:pPr>
        <w:spacing w:after="0" w:line="182" w:lineRule="exact"/>
        <w:rPr>
          <w:sz w:val="20"/>
          <w:szCs w:val="20"/>
          <w:color w:val="auto"/>
        </w:rPr>
      </w:pPr>
    </w:p>
    <w:p>
      <w:pPr>
        <w:ind w:left="80" w:right="20" w:firstLine="1954"/>
        <w:spacing w:after="0" w:line="268" w:lineRule="auto"/>
        <w:tabs>
          <w:tab w:leader="none" w:pos="2623"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Death and Disability</w:t>
      </w:r>
      <w:r>
        <w:rPr>
          <w:rFonts w:ascii="Arial" w:cs="Arial" w:eastAsia="Arial" w:hAnsi="Arial"/>
          <w:sz w:val="17"/>
          <w:szCs w:val="17"/>
          <w:color w:val="auto"/>
        </w:rPr>
        <w:t>. In the event that the Participant’s employment with the Company and its Subsidiaries is terminated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due to the Participant’s death or Disability prior to January 1, 2015, the Participant shall immediately forfeit the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Participant shall immediately vest upon the Termination Date in all outstanding and unvested Acquirer RSAs, if any. In the event that the Participant’s employment with the Company and its Subsidiaries is terminated due to the Participant’s death or Disability on or following January 1, 2015 and prior to the Vesting Date and (A) prior to a Change of Control, the Earned Shares shall be determined by the Committee following the end of the Measurement Period based on the extent to which the requisite CAGR in EPS for the Measurement Period has been achieved, and the Participant shall vest in a pro-rated portion of the Earned Shares determined in accordance with Section 3(e) hereof on the Vesting Date, or (B) on or following a Change of Control, the Participant shall immediately vest upon the Termination Date in all outstanding and unvested Acquirer RSAs, if any. Notwithstanding the immediately preceding sentence, in the event that a Change of Control occurs following the date that the Participant’s employment is terminated due to the Participant’s death or Disability on or following January 1, 2015 and prior to the Vesting Date, the Earned Shares shall be determined by the Committee based on the extent to which the requisite CAGR in EPS has been achieved from the beginning of the Measurement Period through the end of the last completed year prior to the occurrence of the Change of Control, and the Participant shall immediately vest in a pro-rated portion of the Earned Shares determined in accordance with Section 3(e) hereof.</w:t>
      </w:r>
    </w:p>
    <w:p>
      <w:pPr>
        <w:spacing w:after="0" w:line="187" w:lineRule="exact"/>
        <w:rPr>
          <w:rFonts w:ascii="Arial" w:cs="Arial" w:eastAsia="Arial" w:hAnsi="Arial"/>
          <w:sz w:val="17"/>
          <w:szCs w:val="17"/>
          <w:color w:val="auto"/>
        </w:rPr>
      </w:pPr>
    </w:p>
    <w:p>
      <w:pPr>
        <w:ind w:left="80" w:right="100" w:firstLine="1954"/>
        <w:spacing w:after="0" w:line="271" w:lineRule="auto"/>
        <w:tabs>
          <w:tab w:leader="none" w:pos="2632"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Termination without Cause or for Good Reason</w:t>
      </w:r>
      <w:r>
        <w:rPr>
          <w:rFonts w:ascii="Arial" w:cs="Arial" w:eastAsia="Arial" w:hAnsi="Arial"/>
          <w:sz w:val="17"/>
          <w:szCs w:val="17"/>
          <w:color w:val="auto"/>
        </w:rPr>
        <w:t>. (A) In the event that the Participant’s employment with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its Subsidiaries is terminated by the Company and its Subsidiaries without Cause or by the Participant for Good Reason prior to January 1, 2015, then the Participant shall immediately forfeit the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all outstanding and unvested Acquirer RSAs, if any, shall remain outstanding subject to Section 3(b)(iii)(A)(y). Except as otherwise set forth in this Section 3(b)(iii), in the event that the Participant’s employment with the Company and its Subsidiaries is terminated by the Company and its Subsidiaries without Cause or by the Participant for Good Reason on or following January 1, 2015 and prior to the Vesting Date and (x) prior to a Change of Control, the Earned Shares shall be determined by the Committee following the end of the Measurement Period based on the extent to which the requisite CAGR in EPS for the Measurement Period has been achieved, and the Participant shall vest in a pro-rated portion of the Earned Shares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line="287" w:lineRule="auto"/>
        <w:rPr>
          <w:sz w:val="20"/>
          <w:szCs w:val="20"/>
          <w:color w:val="auto"/>
        </w:rPr>
      </w:pPr>
      <w:r>
        <w:rPr>
          <w:rFonts w:ascii="Arial" w:cs="Arial" w:eastAsia="Arial" w:hAnsi="Arial"/>
          <w:sz w:val="16"/>
          <w:szCs w:val="16"/>
          <w:color w:val="auto"/>
        </w:rPr>
        <w:t>determined in accordance with Section 3(e) hereof on the later of (1) the Vesting Date and (2) the second anniversary of the Termination Date (the period from the Termination Date until the second anniversary thereof,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or (y) following a Change of Control, the Participant shall vest in the Acquirer RSAs, if any, upon the last day of the Restricted Period, provided that, in the event that the Participant is not subject to the covenant with respect to unfair competition pursuant to the Employment Agreement, the Participant shall vest in the Acquirer RSAs, if any, on the Termination Date (such date, the “</w:t>
      </w:r>
      <w:r>
        <w:rPr>
          <w:rFonts w:ascii="Arial" w:cs="Arial" w:eastAsia="Arial" w:hAnsi="Arial"/>
          <w:sz w:val="16"/>
          <w:szCs w:val="16"/>
          <w:u w:val="single" w:color="auto"/>
          <w:color w:val="auto"/>
        </w:rPr>
        <w:t>Restriction Lapse Date</w:t>
      </w:r>
      <w:r>
        <w:rPr>
          <w:rFonts w:ascii="Arial" w:cs="Arial" w:eastAsia="Arial" w:hAnsi="Arial"/>
          <w:sz w:val="16"/>
          <w:szCs w:val="16"/>
          <w:color w:val="auto"/>
        </w:rPr>
        <w:t>”), in each case, subject to Section 3(b)(iii)(B) below. Notwithstanding the immediately preceding sentence, in the event that a Change of Control occurs following the date that the Participant’s employment is terminated by the Company and its Subsidiaries without Cause or by the Participant for Good Reason on or following January 1, 2015 and prior to the Vesting Date, the number of Earned Shares shall be determined by the Committee based on the extent to which the requisite CAGR in EPS has been achieved from the beginning of the Measurement Period through the end of the last completed year prior to the occurrence of the Change of Control and the Participant shall vest in a pro-rated portion of the Earned Shares determined in accordance with Section 3(e) hereof and (AA) to the extent that the successor company assumes or substitutes the Restricted Stock as of the date of the Change of Control, such vesting shall occur on the Restriction Lapse Date subject to Section 3(b)(iii)(B) below, and (BB) to the extent that the successor company refuses to assume or substitute the Restricted Stock as of the date of the Change of Control, such vesting shall occur upon the Change of Control.</w:t>
      </w:r>
    </w:p>
    <w:p>
      <w:pPr>
        <w:spacing w:after="0" w:line="169" w:lineRule="exact"/>
        <w:rPr>
          <w:sz w:val="20"/>
          <w:szCs w:val="20"/>
          <w:color w:val="auto"/>
        </w:rPr>
      </w:pPr>
    </w:p>
    <w:p>
      <w:pPr>
        <w:ind w:right="180" w:firstLine="1953"/>
        <w:spacing w:after="0" w:line="285" w:lineRule="auto"/>
        <w:tabs>
          <w:tab w:leader="none" w:pos="223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vesting set forth in Section 3(b)(iii)(A) shall not occur and the Restricted Stock (or, if applicable Acquirer RSAs) shall, to the extent unvested, be forfeited if the Participant (1) engages in conduct during the Restricted Period that constitutes a breach of the Participant’s covenants under the Employment Agreement or under this Agreement with respect to unfair competition, non-competition, non-solicitation, non-disparagement or cooperation, and (2) to the extent a release is contemplated by the Employment Agreement, fails to execute a full general release of all claims in favor of the Company and its affiliates as contemplated by such Employment Agreement. </w:t>
      </w:r>
      <w:r>
        <w:rPr>
          <w:rFonts w:ascii="Arial" w:cs="Arial" w:eastAsia="Arial" w:hAnsi="Arial"/>
          <w:sz w:val="16"/>
          <w:szCs w:val="16"/>
          <w:b w:val="1"/>
          <w:bCs w:val="1"/>
          <w:color w:val="auto"/>
        </w:rPr>
        <w:t>Nothing in this Section 3 or this</w:t>
      </w:r>
    </w:p>
    <w:p>
      <w:pPr>
        <w:spacing w:after="0" w:line="2" w:lineRule="exact"/>
        <w:rPr>
          <w:rFonts w:ascii="Arial" w:cs="Arial" w:eastAsia="Arial" w:hAnsi="Arial"/>
          <w:sz w:val="16"/>
          <w:szCs w:val="16"/>
          <w:color w:val="auto"/>
        </w:rPr>
      </w:pPr>
    </w:p>
    <w:p>
      <w:pPr>
        <w:ind w:right="540"/>
        <w:spacing w:after="0" w:line="290" w:lineRule="auto"/>
        <w:rPr>
          <w:rFonts w:ascii="Arial" w:cs="Arial" w:eastAsia="Arial" w:hAnsi="Arial"/>
          <w:sz w:val="16"/>
          <w:szCs w:val="16"/>
          <w:color w:val="auto"/>
        </w:rPr>
      </w:pPr>
      <w:r>
        <w:rPr>
          <w:rFonts w:ascii="Arial" w:cs="Arial" w:eastAsia="Arial" w:hAnsi="Arial"/>
          <w:sz w:val="17"/>
          <w:szCs w:val="17"/>
          <w:b w:val="1"/>
          <w:bCs w:val="1"/>
          <w:color w:val="auto"/>
        </w:rPr>
        <w:t>Agreement shall be deemed to limit or modify the non-competition, confidentiality, non-solicitation or non-disparagement restrictions that the Participant is already subject to, which restrictions shall continue to be separately enforceable in accordance with their terms.</w:t>
      </w:r>
    </w:p>
    <w:p>
      <w:pPr>
        <w:spacing w:after="0" w:line="161" w:lineRule="exact"/>
        <w:rPr>
          <w:rFonts w:ascii="Arial" w:cs="Arial" w:eastAsia="Arial" w:hAnsi="Arial"/>
          <w:sz w:val="16"/>
          <w:szCs w:val="16"/>
          <w:color w:val="auto"/>
        </w:rPr>
      </w:pPr>
    </w:p>
    <w:p>
      <w:pPr>
        <w:ind w:right="20" w:firstLine="1953"/>
        <w:spacing w:after="0" w:line="270" w:lineRule="auto"/>
        <w:tabs>
          <w:tab w:leader="none" w:pos="2603"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Restricted Stock that shall become eligible to vest in accordance with Section 3(b)(iii)(A) hereof shall be subject to applicable tax withholding and reporting requirements (1) in the case of a termination of employment described in Section 3(b)(iii)(A)(x), in connection with the Vesting Date or, if earlier, the date of a Change of Control following the termination of employment, and (2) in the case of a termination of employment described in Section 3(b)(iii)(A)(y), in connection with the termination of the Participant’s employment. All Shares (or, if applicable, common stock of any successor company) resulting from vesting of Restricted Stock (or, if applicable, Acquirer RSAs) pursuant to Section 3(b)(iii)(A), other than any Shares (or, if applicable, common stock of any successor company) that the Company determines to withhold pursuant to Section 7 hereof in order to satisfy applicable tax withholding requirements or that the Company permits a Participant to tender to the Company pursuant to Section 7 in order to satisfy such applicable tax withholding requirements (all such Shares (or, if applicable, common stock of any successor company) that are not so withheld or tendered, the “</w:t>
      </w:r>
      <w:r>
        <w:rPr>
          <w:rFonts w:ascii="Arial" w:cs="Arial" w:eastAsia="Arial" w:hAnsi="Arial"/>
          <w:sz w:val="17"/>
          <w:szCs w:val="17"/>
          <w:u w:val="single" w:color="auto"/>
          <w:color w:val="auto"/>
        </w:rPr>
        <w:t>Remaining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shall remain subject to the restrictions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2" w:gutter="0" w:footer="0" w:header="0"/>
        </w:sectPr>
      </w:pPr>
    </w:p>
    <w:bookmarkStart w:id="26" w:name="page27"/>
    <w:bookmarkEnd w:id="26"/>
    <w:p>
      <w:pPr>
        <w:spacing w:after="0" w:line="293" w:lineRule="auto"/>
        <w:rPr>
          <w:sz w:val="20"/>
          <w:szCs w:val="20"/>
          <w:color w:val="auto"/>
        </w:rPr>
      </w:pPr>
      <w:r>
        <w:rPr>
          <w:rFonts w:ascii="Arial" w:cs="Arial" w:eastAsia="Arial" w:hAnsi="Arial"/>
          <w:sz w:val="16"/>
          <w:szCs w:val="16"/>
          <w:color w:val="auto"/>
        </w:rPr>
        <w:t>set forth in Section 3(b)(iii)(B) hereof (including, to the extent applicable, the restrictions set forth in the Employment Agreement, which restrictions shall be incorporated herein by reference) during the Restricted Period. Accordingly, prior to the date that such Remaining Shares vest in accordance with Section 3(b)(iii)(A) and 3(b)(iii)(B), neither the Participant nor any of the Participant’s creditors or beneficiaries will have the right to subject the Remaining Shares to any anticipation, alienation, sale, transfer, assignment, pledge, encumbrance, hedge, exchange, attachment or garnishment or any similar transaction. In the event that the Participant breaches any of the restrictive covenants described in Section 3(b)(iii)(B) hereof (including, to the extent applicable, the terms of the Employment Agreement) during the Restricted Period, all outstanding Remaining Shares shall be forfeited and canceled.</w:t>
      </w:r>
    </w:p>
    <w:p>
      <w:pPr>
        <w:spacing w:after="0" w:line="165" w:lineRule="exact"/>
        <w:rPr>
          <w:sz w:val="20"/>
          <w:szCs w:val="20"/>
          <w:color w:val="auto"/>
        </w:rPr>
      </w:pPr>
    </w:p>
    <w:p>
      <w:pPr>
        <w:ind w:right="260" w:firstLine="1305"/>
        <w:spacing w:after="0" w:line="286" w:lineRule="auto"/>
        <w:tabs>
          <w:tab w:leader="none" w:pos="1955" w:val="left"/>
        </w:tabs>
        <w:numPr>
          <w:ilvl w:val="1"/>
          <w:numId w:val="22"/>
        </w:numPr>
        <w:rPr>
          <w:rFonts w:ascii="Arial" w:cs="Arial" w:eastAsia="Arial" w:hAnsi="Arial"/>
          <w:sz w:val="17"/>
          <w:szCs w:val="17"/>
          <w:color w:val="auto"/>
        </w:rPr>
      </w:pPr>
      <w:r>
        <w:rPr>
          <w:rFonts w:ascii="Arial" w:cs="Arial" w:eastAsia="Arial" w:hAnsi="Arial"/>
          <w:sz w:val="17"/>
          <w:szCs w:val="17"/>
          <w:i w:val="1"/>
          <w:iCs w:val="1"/>
          <w:u w:val="single" w:color="auto"/>
          <w:color w:val="auto"/>
        </w:rPr>
        <w:t>Other Terminations of Employment</w:t>
      </w:r>
      <w:r>
        <w:rPr>
          <w:rFonts w:ascii="Arial" w:cs="Arial" w:eastAsia="Arial" w:hAnsi="Arial"/>
          <w:sz w:val="17"/>
          <w:szCs w:val="17"/>
          <w:color w:val="auto"/>
        </w:rPr>
        <w:t>. In the event that the Participant’s employment with the Company or any Subsidiary is</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prior to the Vesting Date for any reason other than the Participant’s death or Disability, by the Company without Cause or by the Participant for Good Reason, then the Participant shall immediately forfeit all of the unvested Restricted Stock or, if applicable, Acquirer RSAs.</w:t>
      </w:r>
    </w:p>
    <w:p>
      <w:pPr>
        <w:spacing w:after="0" w:line="165" w:lineRule="exact"/>
        <w:rPr>
          <w:rFonts w:ascii="Arial" w:cs="Arial" w:eastAsia="Arial" w:hAnsi="Arial"/>
          <w:sz w:val="17"/>
          <w:szCs w:val="17"/>
          <w:color w:val="auto"/>
        </w:rPr>
      </w:pPr>
    </w:p>
    <w:p>
      <w:pPr>
        <w:ind w:right="120" w:firstLine="1305"/>
        <w:spacing w:after="0" w:line="264" w:lineRule="auto"/>
        <w:tabs>
          <w:tab w:leader="none" w:pos="1952" w:val="left"/>
        </w:tabs>
        <w:numPr>
          <w:ilvl w:val="1"/>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Transfers of Employment</w:t>
      </w:r>
      <w:r>
        <w:rPr>
          <w:rFonts w:ascii="Arial" w:cs="Arial" w:eastAsia="Arial" w:hAnsi="Arial"/>
          <w:sz w:val="18"/>
          <w:szCs w:val="18"/>
          <w:color w:val="auto"/>
        </w:rPr>
        <w:t>. Termination of employment with the Company to accept immediate re-employment with a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or vice-versa, or termination of employment with a Subsidiary to accept immediate re-employment with a different Subsidiary, shall not be deemed termination of employment for purposes of this Section 3.</w:t>
      </w:r>
    </w:p>
    <w:p>
      <w:pPr>
        <w:spacing w:after="0" w:line="181" w:lineRule="exact"/>
        <w:rPr>
          <w:rFonts w:ascii="Arial" w:cs="Arial" w:eastAsia="Arial" w:hAnsi="Arial"/>
          <w:sz w:val="18"/>
          <w:szCs w:val="18"/>
          <w:color w:val="auto"/>
        </w:rPr>
      </w:pPr>
    </w:p>
    <w:p>
      <w:pPr>
        <w:jc w:val="both"/>
        <w:ind w:right="160" w:firstLine="1305"/>
        <w:spacing w:after="0" w:line="257" w:lineRule="auto"/>
        <w:tabs>
          <w:tab w:leader="none" w:pos="1955" w:val="left"/>
        </w:tabs>
        <w:numPr>
          <w:ilvl w:val="1"/>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Pro-Ration of Earned Shares</w:t>
      </w:r>
      <w:r>
        <w:rPr>
          <w:rFonts w:ascii="Arial" w:cs="Arial" w:eastAsia="Arial" w:hAnsi="Arial"/>
          <w:sz w:val="18"/>
          <w:szCs w:val="18"/>
          <w:color w:val="auto"/>
        </w:rPr>
        <w:t>. For purposes of clauses (b)(i), (b)(ii) and (b)(iii), the pro-rated portion of Earned Shares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by multiplying the number of Earned Shares by a fraction, the numerator of which shall be the number of days which have elapsed between the Grant Date and the Termination Date (or, solely in the case of Section 3(B)(i), the date of the Change of Control), and the denominator of which shall be the total number of days between the Grant Date and the Vesting Date, which for this purpose shall be deemed to be March 15, 2017, and the remaining portion of Earned Shares, if any, shall be forfeited.</w:t>
      </w:r>
    </w:p>
    <w:p>
      <w:pPr>
        <w:spacing w:after="0" w:line="188" w:lineRule="exact"/>
        <w:rPr>
          <w:rFonts w:ascii="Arial" w:cs="Arial" w:eastAsia="Arial" w:hAnsi="Arial"/>
          <w:sz w:val="18"/>
          <w:szCs w:val="18"/>
          <w:color w:val="auto"/>
        </w:rPr>
      </w:pPr>
    </w:p>
    <w:p>
      <w:pPr>
        <w:ind w:firstLine="656"/>
        <w:spacing w:after="0" w:line="279" w:lineRule="auto"/>
        <w:tabs>
          <w:tab w:leader="none" w:pos="129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Issuance of Shares of Restricted Stock; Adjustment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Issuance</w:t>
      </w:r>
      <w:r>
        <w:rPr>
          <w:rFonts w:ascii="Arial" w:cs="Arial" w:eastAsia="Arial" w:hAnsi="Arial"/>
          <w:sz w:val="17"/>
          <w:szCs w:val="17"/>
          <w:color w:val="auto"/>
        </w:rPr>
        <w:t>. The shares of Restricted Stock granted under this Agreement shall be evidenced in such manner as the Committee may deem appropriate, including issuance of one or more stock certificates or book-entry registration. Any stock certificate or book-entry credit issued or entered in respect of the Restricted Stock shall be registered in the name of the Participant and shall bear an appropriate legend referring to the terms, conditions and restrictions applicable to the Restricted Stock, substantially in the following form:</w:t>
      </w:r>
    </w:p>
    <w:p>
      <w:pPr>
        <w:spacing w:after="0" w:line="171" w:lineRule="exact"/>
        <w:rPr>
          <w:sz w:val="20"/>
          <w:szCs w:val="20"/>
          <w:color w:val="auto"/>
        </w:rPr>
      </w:pPr>
    </w:p>
    <w:p>
      <w:pPr>
        <w:ind w:left="660" w:right="220"/>
        <w:spacing w:after="0" w:line="286" w:lineRule="auto"/>
        <w:rPr>
          <w:sz w:val="20"/>
          <w:szCs w:val="20"/>
          <w:color w:val="auto"/>
        </w:rPr>
      </w:pPr>
      <w:r>
        <w:rPr>
          <w:rFonts w:ascii="Arial" w:cs="Arial" w:eastAsia="Arial" w:hAnsi="Arial"/>
          <w:sz w:val="17"/>
          <w:szCs w:val="17"/>
          <w:color w:val="auto"/>
        </w:rPr>
        <w:t>“The transferability of this certificate and the shares of stock represented hereby is subject to the terms and conditions (including forfeiture) of the World Fuel Services Corporation 2006 Omnibus Plan and a Performance-Based Restricted Stock Grant Agreement, as well as the terms and conditions of applicable law. Copies of such Plan and Agreement are on file at the offices of World Fuel Services Corporation.”</w:t>
      </w:r>
    </w:p>
    <w:p>
      <w:pPr>
        <w:spacing w:after="0" w:line="16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stock certificates or book-entry credits evidencing the shares of Restricted Stock, Remaining Shares and Acquirer RSAs (which shall also contain the legend set forth above) shall be held in the custody of the Company until the restrictions thereon shall have lapsed and, if requested 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as a condition of receiving the Restricted Stock, the Participant shall deliver to the Company a stock power, endorsed in blank, relating to such Restricted Stock. The Company shall remove the legend set forth above from the stock certificates or book entry credits evidencing the Restricted Stock, Remaining Shares or Acquirer RSAs upon the later of (i) vesting of the Restricted Stock or Acquirer RSAs pursuant to this Agreement and (ii) in the case of the Remaining Shares, the Restriction Lapse Date. If and when the shares of Restricted Stock, Remaining Shares or Acquirer RSAs (as applicable) are forfeited under the terms of this Agreement, the Company shall cancel the stock certificates or book entry credits related to such shares of Restricted Stock, Remaining Shares or Acquirer RSAs (as applicable). Notwithstanding the foregoing, the Company shall be entitled to hold the Restricted Stock until the Company shall have received from the Participant a duly executed Form W-9 or W-8, as applicable.</w:t>
      </w:r>
    </w:p>
    <w:p>
      <w:pPr>
        <w:spacing w:after="0" w:line="178" w:lineRule="exact"/>
        <w:rPr>
          <w:sz w:val="20"/>
          <w:szCs w:val="20"/>
          <w:color w:val="auto"/>
        </w:rPr>
      </w:pPr>
    </w:p>
    <w:p>
      <w:pPr>
        <w:ind w:right="60" w:firstLine="1305"/>
        <w:spacing w:after="0" w:line="259" w:lineRule="auto"/>
        <w:tabs>
          <w:tab w:leader="none" w:pos="195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number of shares of Restricted Stock, Remaining Shares or Acquirer RSAs are subject to adjustment by the Committee in the event of any increase or decrease in the number of issued Shares resulting from a subdivision or consolidation of the Shares or the payment of a stock dividend on Shares, or any other increase or decrease in the number of Shares effected without receipt or payment of consideration by the Company.</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Rights with Respect to Shares of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9" w:lineRule="auto"/>
        <w:tabs>
          <w:tab w:leader="none" w:pos="1942"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Privileges of Ownership</w:t>
      </w:r>
      <w:r>
        <w:rPr>
          <w:rFonts w:ascii="Arial" w:cs="Arial" w:eastAsia="Arial" w:hAnsi="Arial"/>
          <w:sz w:val="17"/>
          <w:szCs w:val="17"/>
          <w:color w:val="auto"/>
        </w:rPr>
        <w:t>. Except following the Participant’s death, neither the Participant nor any of the Participant’s creditors or beneficiaries will have the right to subject the Restricted Stock, Remaining Shares or Acquirer RSAs to any anticipation, alienation, sale, transfer, assignment, pledge, encumbrance, hedge, exchange, attachment or garnishment or any similar transaction. The Participant expressly covenants that he shall not exercise any right to vote the shares of Restricted Stock, Remaining Shares or Acquirer RSAs prior to vesting.</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20" w:firstLine="1954"/>
        <w:spacing w:after="0" w:line="259" w:lineRule="auto"/>
        <w:tabs>
          <w:tab w:leader="none" w:pos="2613"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Cash Dividends</w:t>
      </w:r>
      <w:r>
        <w:rPr>
          <w:rFonts w:ascii="Arial" w:cs="Arial" w:eastAsia="Arial" w:hAnsi="Arial"/>
          <w:sz w:val="18"/>
          <w:szCs w:val="18"/>
          <w:color w:val="auto"/>
        </w:rPr>
        <w:t xml:space="preserve">. The Participant shall not be entitled to any cash dividends with respect to Restricted Stock unless and to the extent that shares of Restricted Stock vest as provided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cash dividends that are paid with respect to either Acquirer RSAs or Remaining Shares shall be paid to the Participant at the same time and on the same terms as with respect to dividends that are paid with respect to Shares (or, if applicable, common stock of any successor corporation).</w:t>
      </w:r>
    </w:p>
    <w:p>
      <w:pPr>
        <w:spacing w:after="0" w:line="186" w:lineRule="exact"/>
        <w:rPr>
          <w:rFonts w:ascii="Arial" w:cs="Arial" w:eastAsia="Arial" w:hAnsi="Arial"/>
          <w:sz w:val="18"/>
          <w:szCs w:val="18"/>
          <w:color w:val="auto"/>
        </w:rPr>
      </w:pPr>
    </w:p>
    <w:p>
      <w:pPr>
        <w:ind w:left="80" w:firstLine="1954"/>
        <w:spacing w:after="0" w:line="257" w:lineRule="auto"/>
        <w:tabs>
          <w:tab w:leader="none" w:pos="2623"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Stock Dividends</w:t>
      </w:r>
      <w:r>
        <w:rPr>
          <w:rFonts w:ascii="Arial" w:cs="Arial" w:eastAsia="Arial" w:hAnsi="Arial"/>
          <w:sz w:val="18"/>
          <w:szCs w:val="18"/>
          <w:color w:val="auto"/>
        </w:rPr>
        <w:t>. Any additional Shares or other securities (“</w:t>
      </w:r>
      <w:r>
        <w:rPr>
          <w:rFonts w:ascii="Arial" w:cs="Arial" w:eastAsia="Arial" w:hAnsi="Arial"/>
          <w:sz w:val="18"/>
          <w:szCs w:val="18"/>
          <w:u w:val="single" w:color="auto"/>
          <w:color w:val="auto"/>
        </w:rPr>
        <w:t>Additional Shares</w:t>
      </w:r>
      <w:r>
        <w:rPr>
          <w:rFonts w:ascii="Arial" w:cs="Arial" w:eastAsia="Arial" w:hAnsi="Arial"/>
          <w:sz w:val="18"/>
          <w:szCs w:val="18"/>
          <w:color w:val="auto"/>
        </w:rPr>
        <w:t>”) issued with respect to the unvested shares of Restricted Stock, Remaining Shares or Acquirer RSAs, as a result of a recapitalization, stock split, stock dividend or similar transaction, shall be held by the Company, added to any shares of Restricted Stock, Remaining Shares or Acquirer RSAs (as applicable) then held in the custody of the Company, and shall be earned, vest and become transferable at the same time and to the same extent as the shares of Restricted Stock, Remaining Shares or Acquirer RSAs (as applicable) giving rise to such Additional Shares.</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Participant acknowledges and agrees that the Company has filed a Registration Statement on Form S-8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1933 Act</w:t>
      </w:r>
      <w:r>
        <w:rPr>
          <w:rFonts w:ascii="Arial" w:cs="Arial" w:eastAsia="Arial" w:hAnsi="Arial"/>
          <w:sz w:val="18"/>
          <w:szCs w:val="18"/>
          <w:color w:val="auto"/>
        </w:rPr>
        <w:t>”), to register the shares of Restricted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under the 1933 Act. The Participant acknowledges receipt of the Prospectus prepared by the Company in connection with the Registration Statement.</w:t>
      </w:r>
    </w:p>
    <w:p>
      <w:pPr>
        <w:spacing w:after="0" w:line="248"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Taxes; Potential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5" w:lineRule="auto"/>
        <w:tabs>
          <w:tab w:leader="none" w:pos="194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On or prior to the date on which any shares of Restricted Stock (or, if applicable, Acquirer RSAs) vest, the Participant’s vested cash dividends are paid or the Committee certifies the extent to which the requisite CAGR in EPS for the Measurement Period has been achieved, the Participant shall remit to the Company an amount sufficient to satisfy any applicable federal, state, local and foreign withholding or other taxes. No legends applicable pursuant to Section 4 hereof to any shares of Restricted Stock (or, if applicable Acquirer RSAs) shall be removed upon vesting of such Restricted Stock (or, if applicable Acquirer RSAs), or any cash attributable to the Participant’s cash dividends shall be delivered or paid to the Participant, until the foregoing obligation has been satisfied.</w:t>
      </w:r>
    </w:p>
    <w:p>
      <w:pPr>
        <w:spacing w:after="0" w:line="193" w:lineRule="exact"/>
        <w:rPr>
          <w:rFonts w:ascii="Arial" w:cs="Arial" w:eastAsia="Arial" w:hAnsi="Arial"/>
          <w:sz w:val="18"/>
          <w:szCs w:val="18"/>
          <w:color w:val="auto"/>
        </w:rPr>
      </w:pPr>
    </w:p>
    <w:p>
      <w:pPr>
        <w:ind w:firstLine="1305"/>
        <w:spacing w:after="0" w:line="286" w:lineRule="auto"/>
        <w:tabs>
          <w:tab w:leader="none" w:pos="1952"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Alternative Payment Methods and Company Rights</w:t>
      </w:r>
      <w:r>
        <w:rPr>
          <w:rFonts w:ascii="Arial" w:cs="Arial" w:eastAsia="Arial" w:hAnsi="Arial"/>
          <w:sz w:val="16"/>
          <w:szCs w:val="16"/>
          <w:color w:val="auto"/>
        </w:rPr>
        <w:t>. The Company may, at its option, permit the Participant to satisfy his obligations under this Section 7, by tendering to the Company a portion of the vested shares of Restricted Stock (or, if applicable vested Acquirer RSAs). In the event that the Participant fails to satisfy his obligations under this Section 7,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vested shares of Restricted Stock (or, if applicable Acquirer RSAs) in the open market or (3) withholding and canceling all or a portion of the vested shares of Restricted Stock (or, if applicable vested Acquirer RSAs). Any acquisition of vested shares of Restricted Stock (or, if applicable vested Acquirer RSAs) by the Company as contemplated hereby is expressly approved by the Committee as part of the approval of this Agreement. The Participant agrees that the Company shall have the right to satisfy federal, state, local and foreign withholding and other applicable taxes in respect of cash dividends payable on Acquirer RSAs or Remaining Shares, as applicable, by withholding a portion of such cash dividends sufficient to satisfy such obligations. The tax consequences to the Participant (including, without limitation, federal, state, local and foreign income tax consequences) with respect to the Restricted Stock (or, if applicable Acquirer RSAs) (including without limitation the grant, vesting and/or forfeiture thereof), Remaining Shares (including, without limitation, the forfeiture thereof) and cash dividends with respect to Acquirer RSAs and Remaining Shares are the sole responsibility of the Participant.</w:t>
      </w:r>
    </w:p>
    <w:p>
      <w:pPr>
        <w:spacing w:after="0" w:line="174" w:lineRule="exact"/>
        <w:rPr>
          <w:rFonts w:ascii="Arial" w:cs="Arial" w:eastAsia="Arial" w:hAnsi="Arial"/>
          <w:sz w:val="16"/>
          <w:szCs w:val="16"/>
          <w:color w:val="auto"/>
        </w:rPr>
      </w:pPr>
    </w:p>
    <w:p>
      <w:pPr>
        <w:ind w:right="20" w:firstLine="1305"/>
        <w:spacing w:after="0" w:line="276" w:lineRule="auto"/>
        <w:tabs>
          <w:tab w:leader="none" w:pos="1955"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Forfeiture for Failure to Pay Taxes</w:t>
      </w:r>
      <w:r>
        <w:rPr>
          <w:rFonts w:ascii="Arial" w:cs="Arial" w:eastAsia="Arial" w:hAnsi="Arial"/>
          <w:sz w:val="17"/>
          <w:szCs w:val="17"/>
          <w:color w:val="auto"/>
        </w:rPr>
        <w:t>. If and to the extent that (i) the Participant fails to satisfy his obligations under this Section 7 and (ii) the Company does not exercise its right to satisfy those obligations under the preceding paragraph with respect to any Restricted Stock or any portion of the vested cash dividends within 30 days after the date on which the shares of Restricted Stock otherwise would vest pursuant to Section 3 hereof or within 30 days after the date on which the vested cash dividends otherwise would be paid pursuant to Section 5(b) hereof, as applicable, the Participant immediately forfeits any rights with respect to the portion of the Restricted Stock or vested cash dividends to which such failure relates.</w:t>
      </w:r>
    </w:p>
    <w:p>
      <w:pPr>
        <w:spacing w:after="0" w:line="172" w:lineRule="exact"/>
        <w:rPr>
          <w:rFonts w:ascii="Arial" w:cs="Arial" w:eastAsia="Arial" w:hAnsi="Arial"/>
          <w:sz w:val="17"/>
          <w:szCs w:val="17"/>
          <w:color w:val="auto"/>
        </w:rPr>
      </w:pPr>
    </w:p>
    <w:p>
      <w:pPr>
        <w:ind w:right="100" w:firstLine="656"/>
        <w:spacing w:after="0" w:line="277" w:lineRule="auto"/>
        <w:tabs>
          <w:tab w:leader="none" w:pos="129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Effect on Employment</w:t>
      </w:r>
      <w:r>
        <w:rPr>
          <w:rFonts w:ascii="Arial" w:cs="Arial" w:eastAsia="Arial" w:hAnsi="Arial"/>
          <w:sz w:val="18"/>
          <w:szCs w:val="18"/>
          <w:color w:val="auto"/>
        </w:rPr>
        <w:t>. Except as otherwise provided in the Employment Agreement, the Participant’s employment with the Company and any Subsidiary is on an at-will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basis only. Accordingly, subject to the terms of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188" w:lineRule="exact"/>
        <w:rPr>
          <w:sz w:val="20"/>
          <w:szCs w:val="20"/>
          <w:color w:val="auto"/>
        </w:rPr>
      </w:pPr>
    </w:p>
    <w:p>
      <w:pPr>
        <w:ind w:right="100" w:firstLine="656"/>
        <w:spacing w:after="0" w:line="291" w:lineRule="auto"/>
        <w:tabs>
          <w:tab w:leader="none" w:pos="129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Participant agrees not to make any disparaging or negative comments to any other person or entity regarding the Company or any of its affiliates, their respective directors, officers or employees, the Participant’s work conditions or the circumstances surrounding the Participant’s separation from Company, or encourage any other person or entity to make such disparaging or negative comment. The Participant further agrees that he shall not take any actions, either directly or indirectly, or encourage any other person or entity to take any actions, that might reasonably be considered to be detrimental to Company or any of its affiliates, or their respective officers, directors or employees. Notwithstanding the foregoing, if the Participant is bound by a covenant with respect to non-disparagement pursuant to the Employment Agreement, the provisions of the non-disparagement covenant in such Employment Agreement shall govern and the Participant shall not be subject to this Section 9.</w:t>
      </w:r>
    </w:p>
    <w:p>
      <w:pPr>
        <w:spacing w:after="0" w:line="167" w:lineRule="exact"/>
        <w:rPr>
          <w:rFonts w:ascii="Arial" w:cs="Arial" w:eastAsia="Arial" w:hAnsi="Arial"/>
          <w:sz w:val="16"/>
          <w:szCs w:val="16"/>
          <w:color w:val="auto"/>
        </w:rPr>
      </w:pPr>
    </w:p>
    <w:p>
      <w:pPr>
        <w:ind w:right="20" w:firstLine="656"/>
        <w:spacing w:after="0" w:line="272" w:lineRule="auto"/>
        <w:tabs>
          <w:tab w:leader="none" w:pos="129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Stock Retention Policy</w:t>
      </w:r>
      <w:r>
        <w:rPr>
          <w:rFonts w:ascii="Arial" w:cs="Arial" w:eastAsia="Arial" w:hAnsi="Arial"/>
          <w:sz w:val="17"/>
          <w:szCs w:val="17"/>
          <w:color w:val="auto"/>
        </w:rPr>
        <w:t>. The Participant understands that the Committee has adopted a policy that requires the Participant to retain ownership of one-half (50%) of the shares of Restricted Stock acquired by the Participant hereunder (net of the number of Shares that the Company determines to withhold or that the Participant is permitted to tender, in each case, pursuant to Section 7 hereof to satisfy applicable tax withholding requirements), for a period of three (3) years after vesting of such Restricted Stock (or until the Participant’s employment with, and services for, the Company and its Subsidiaries terminates, if earlier). The Participant agrees to comply with such policy and any modifications thereof that may be adopted by the Committee from time to time. For the avoidance of doubt, this Section 9 shall not be construed as permitting the Participant to sell or otherwise transfer any Shares that constitute Remaining Shares prior to the applicable Restriction Lapse Date.</w:t>
      </w:r>
    </w:p>
    <w:p>
      <w:pPr>
        <w:spacing w:after="0" w:line="177" w:lineRule="exact"/>
        <w:rPr>
          <w:rFonts w:ascii="Arial" w:cs="Arial" w:eastAsia="Arial" w:hAnsi="Arial"/>
          <w:sz w:val="17"/>
          <w:szCs w:val="17"/>
          <w:color w:val="auto"/>
        </w:rPr>
      </w:pPr>
    </w:p>
    <w:p>
      <w:pPr>
        <w:ind w:right="100" w:firstLine="656"/>
        <w:spacing w:after="0" w:line="264" w:lineRule="auto"/>
        <w:tabs>
          <w:tab w:leader="none" w:pos="128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Stock Ownership Policy</w:t>
      </w:r>
      <w:r>
        <w:rPr>
          <w:rFonts w:ascii="Arial" w:cs="Arial" w:eastAsia="Arial" w:hAnsi="Arial"/>
          <w:sz w:val="18"/>
          <w:szCs w:val="18"/>
          <w:color w:val="auto"/>
        </w:rPr>
        <w:t>. The Participant understands that the Committee has adopted a policy that requires the Participant to own a multiple of the Participant’s base salary, determined by leadership level, in Shares. The Participant agrees to comply with such policy and any modifications thereof that may be adopted by the Committee from time to time.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Recoupment Policy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3" w:lineRule="auto"/>
        <w:tabs>
          <w:tab w:leader="none" w:pos="1942" w:val="left"/>
        </w:tabs>
        <w:numPr>
          <w:ilvl w:val="1"/>
          <w:numId w:val="27"/>
        </w:numPr>
        <w:rPr>
          <w:rFonts w:ascii="Arial" w:cs="Arial" w:eastAsia="Arial" w:hAnsi="Arial"/>
          <w:sz w:val="17"/>
          <w:szCs w:val="17"/>
          <w:color w:val="auto"/>
        </w:rPr>
      </w:pPr>
      <w:r>
        <w:rPr>
          <w:rFonts w:ascii="Arial" w:cs="Arial" w:eastAsia="Arial" w:hAnsi="Arial"/>
          <w:sz w:val="17"/>
          <w:szCs w:val="17"/>
          <w:color w:val="auto"/>
        </w:rPr>
        <w:t>If, during the three-year period following vesting of the Restricted Stock, Acquirer RSAs or Remaining Shares, as applicable, pursuant to Section 3 hereof, the Company is required to prepare an accounting restatement due to any violation of the 1933 Act, the Securities Exchange Act of 1934, as amended, or any other similar federal or state law or any regulation thereunder, the Participant shall be required to return to the Company all vested Shares that the Participant received pursuant to this Agreement that exceed the number of shares of Restricted Stock, Acquirer RSAs or Remaining Shares, as applicable, that the Participant would have earned in the absence of such violation (along with the cumulative value of any dividends paid to the Participant with respect to such Shares), provided that to the extent that the</w:t>
      </w:r>
    </w:p>
    <w:p>
      <w:pPr>
        <w:sectPr>
          <w:pgSz w:w="11900" w:h="16838" w:orient="portrait"/>
          <w:cols w:equalWidth="0" w:num="1">
            <w:col w:w="11400"/>
          </w:cols>
          <w:pgMar w:left="240" w:top="733" w:right="259" w:bottom="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Participant has sold or otherwise transferred such Shares as of the date that the foregoing obligation arises, in lieu of returning such Shares to the Company, the Participant shall be required to repay the Company an amount in cash equal to the Fair Market Value of such Shares on the date that they were sold or otherwise transferred by the Participant.</w:t>
      </w:r>
    </w:p>
    <w:p>
      <w:pPr>
        <w:spacing w:after="0" w:line="181" w:lineRule="exact"/>
        <w:rPr>
          <w:sz w:val="20"/>
          <w:szCs w:val="20"/>
          <w:color w:val="auto"/>
        </w:rPr>
      </w:pPr>
    </w:p>
    <w:p>
      <w:pPr>
        <w:ind w:right="60" w:firstLine="1305"/>
        <w:spacing w:after="0" w:line="290" w:lineRule="auto"/>
        <w:tabs>
          <w:tab w:leader="none" w:pos="1952"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during the six-year period following vesting of the Restricted Stock, Acquirer RSAs or Remaining Shares, as applicable, the Participant is discovered to have engaged in fraud or wilful misconduct that causes the Company to prepare an accounting restatement due to any violation of the 1933 Act, the Securities Exchange Act of 1934, as amended, or any other similar federal or state law or any regulation thereunder, and if, as a result of such violation, the number of Earned Shares exceeds the number of Shares that would have been earned in the absence of such violation, then the Participant shall be required to return to the Company all vested Shares that the Participant received pursuant to this Agreement (along with the cumulative value of any dividends paid to the Participant with respect to such Shares), provided that to the extent that the Participant has sold or otherwise transferred such Shares as of the date that the foregoing obligation arises, in lieu of returning such Shares to the Company, the Participant shall be required to repay the Company an amount in cash equal to the Fair Market Value of such Shares on the date that they were sold or otherwise transferred by the Participant.</w:t>
      </w:r>
    </w:p>
    <w:p>
      <w:pPr>
        <w:spacing w:after="0" w:line="166" w:lineRule="exact"/>
        <w:rPr>
          <w:rFonts w:ascii="Arial" w:cs="Arial" w:eastAsia="Arial" w:hAnsi="Arial"/>
          <w:sz w:val="16"/>
          <w:szCs w:val="16"/>
          <w:color w:val="auto"/>
        </w:rPr>
      </w:pPr>
    </w:p>
    <w:p>
      <w:pPr>
        <w:jc w:val="both"/>
        <w:ind w:right="60" w:firstLine="1305"/>
        <w:spacing w:after="0" w:line="286" w:lineRule="auto"/>
        <w:tabs>
          <w:tab w:leader="none" w:pos="1955"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references to “Shares” in Sections 12(a) and 12(b) shall be deemed to include any common stock of a successor company and, in the event of a change in the Company’s capitalization of the nature described in Section 4.2(f) of the Plan following the date that the Shares become vested and on or prior to the date, if any, that such Shares are required to be returned to the Company pursuant to Section 12(a) or 12(b), the number of Shares to be returned pursuant to Section 12(a) or 12(b), as applicable, shall be adjusted in the same manner as Shares subject to then outstanding awards under the Plan.</w:t>
      </w:r>
    </w:p>
    <w:p>
      <w:pPr>
        <w:spacing w:after="0" w:line="1"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In addition, for purposes of identifying the Shares that the Participant receives pursuant to this Agreement for purposes of determining whether the Participant has sold or otherwise transferred such Shares and the Fair Market Value on the date of such sale or transfer, the Participant shall be deemed to have sold or transferred the Shares in the same order in which the Participant acquired such Shares (</w:t>
      </w:r>
      <w:r>
        <w:rPr>
          <w:rFonts w:ascii="Arial" w:cs="Arial" w:eastAsia="Arial" w:hAnsi="Arial"/>
          <w:sz w:val="18"/>
          <w:szCs w:val="18"/>
          <w:u w:val="single" w:color="auto"/>
          <w:color w:val="auto"/>
        </w:rPr>
        <w:t>i.e.</w:t>
      </w:r>
      <w:r>
        <w:rPr>
          <w:rFonts w:ascii="Arial" w:cs="Arial" w:eastAsia="Arial" w:hAnsi="Arial"/>
          <w:sz w:val="18"/>
          <w:szCs w:val="18"/>
          <w:color w:val="auto"/>
        </w:rPr>
        <w:t>, the Participant shall be deemed to have sold or transferred the Shares he has held for the longest period first).</w:t>
      </w:r>
    </w:p>
    <w:p>
      <w:pPr>
        <w:spacing w:after="0" w:line="189" w:lineRule="exact"/>
        <w:rPr>
          <w:rFonts w:ascii="Arial" w:cs="Arial" w:eastAsia="Arial" w:hAnsi="Arial"/>
          <w:sz w:val="16"/>
          <w:szCs w:val="16"/>
          <w:color w:val="auto"/>
        </w:rPr>
      </w:pPr>
    </w:p>
    <w:p>
      <w:pPr>
        <w:ind w:right="80" w:firstLine="1305"/>
        <w:spacing w:after="0" w:line="259" w:lineRule="auto"/>
        <w:tabs>
          <w:tab w:leader="none" w:pos="19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Participant hereby acknowledges and agrees that, notwithstanding any provision of this Agreement to the contrary, the Participant shall be subject to any legally mandatory policy relating to the recovery of compensation, to the extent that the Company is required to implement such policy pursuant to applicable law, whether pursuant to the Sarbanes-Oxley Act of 2002, the Dodd-Frank Wall Street Reform and Consumer Protection Act of 2010 or otherwise.</w:t>
      </w:r>
    </w:p>
    <w:p>
      <w:pPr>
        <w:spacing w:after="0" w:line="186" w:lineRule="exact"/>
        <w:rPr>
          <w:rFonts w:ascii="Arial" w:cs="Arial" w:eastAsia="Arial" w:hAnsi="Arial"/>
          <w:sz w:val="18"/>
          <w:szCs w:val="18"/>
          <w:color w:val="auto"/>
        </w:rPr>
      </w:pPr>
    </w:p>
    <w:p>
      <w:pPr>
        <w:ind w:right="440" w:firstLine="656"/>
        <w:spacing w:after="0" w:line="264" w:lineRule="auto"/>
        <w:tabs>
          <w:tab w:leader="none" w:pos="129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181" w:lineRule="exact"/>
        <w:rPr>
          <w:rFonts w:ascii="Arial" w:cs="Arial" w:eastAsia="Arial" w:hAnsi="Arial"/>
          <w:sz w:val="18"/>
          <w:szCs w:val="18"/>
          <w:color w:val="auto"/>
        </w:rPr>
      </w:pPr>
    </w:p>
    <w:p>
      <w:pPr>
        <w:ind w:right="140" w:firstLine="656"/>
        <w:spacing w:after="0" w:line="277" w:lineRule="auto"/>
        <w:tabs>
          <w:tab w:leader="none" w:pos="129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shall be binding upon and inure to the benefit of the heirs, legatees, legal representatives, successors and assigns of the parties 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656"/>
        <w:spacing w:after="0" w:line="277" w:lineRule="auto"/>
        <w:tabs>
          <w:tab w:leader="none" w:pos="129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70" w:lineRule="exact"/>
        <w:rPr>
          <w:rFonts w:ascii="Arial" w:cs="Arial" w:eastAsia="Arial" w:hAnsi="Arial"/>
          <w:sz w:val="18"/>
          <w:szCs w:val="18"/>
          <w:color w:val="auto"/>
        </w:rPr>
      </w:pPr>
    </w:p>
    <w:p>
      <w:pPr>
        <w:ind w:right="20" w:firstLine="656"/>
        <w:spacing w:after="0" w:line="255" w:lineRule="auto"/>
        <w:tabs>
          <w:tab w:leader="none" w:pos="129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Governing Law/Jurisdiction</w:t>
      </w:r>
      <w:r>
        <w:rPr>
          <w:rFonts w:ascii="Arial" w:cs="Arial" w:eastAsia="Arial" w:hAnsi="Arial"/>
          <w:sz w:val="18"/>
          <w:szCs w:val="18"/>
          <w:color w:val="auto"/>
        </w:rPr>
        <w:t>. The validity and effect of this Agreement shall be governed by,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189" w:lineRule="exact"/>
        <w:rPr>
          <w:rFonts w:ascii="Arial" w:cs="Arial" w:eastAsia="Arial" w:hAnsi="Arial"/>
          <w:sz w:val="18"/>
          <w:szCs w:val="18"/>
          <w:color w:val="auto"/>
        </w:rPr>
      </w:pPr>
    </w:p>
    <w:p>
      <w:pPr>
        <w:ind w:right="160" w:firstLine="656"/>
        <w:spacing w:after="0" w:line="257" w:lineRule="auto"/>
        <w:tabs>
          <w:tab w:leader="none" w:pos="129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Committee Authority</w:t>
      </w:r>
      <w:r>
        <w:rPr>
          <w:rFonts w:ascii="Arial" w:cs="Arial" w:eastAsia="Arial" w:hAnsi="Arial"/>
          <w:sz w:val="18"/>
          <w:szCs w:val="18"/>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The captions provided herein are for convenience only and are not to serve as a basis for the interpretation or construction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400" w:firstLine="656"/>
        <w:spacing w:after="0" w:line="342" w:lineRule="auto"/>
        <w:tabs>
          <w:tab w:leader="none" w:pos="129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23" w:lineRule="exact"/>
        <w:rPr>
          <w:rFonts w:ascii="Arial" w:cs="Arial" w:eastAsia="Arial" w:hAnsi="Arial"/>
          <w:sz w:val="16"/>
          <w:szCs w:val="16"/>
          <w:color w:val="auto"/>
        </w:rPr>
      </w:pPr>
    </w:p>
    <w:p>
      <w:pPr>
        <w:ind w:firstLine="656"/>
        <w:spacing w:after="0" w:line="272" w:lineRule="auto"/>
        <w:tabs>
          <w:tab w:leader="none" w:pos="129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This Agreement constitutes the entire understanding of the parties on the subjects covered. The Participant expressly warrants that 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w:t>
      </w:r>
    </w:p>
    <w:p>
      <w:pPr>
        <w:sectPr>
          <w:pgSz w:w="11900" w:h="16838" w:orient="portrait"/>
          <w:cols w:equalWidth="0" w:num="1">
            <w:col w:w="11420"/>
          </w:cols>
          <w:pgMar w:left="240" w:top="125" w:right="239" w:bottom="32" w:gutter="0" w:footer="0" w:header="0"/>
        </w:sectPr>
      </w:pPr>
    </w:p>
    <w:bookmarkStart w:id="29" w:name="page30"/>
    <w:bookmarkEnd w:id="29"/>
    <w:p>
      <w:pPr>
        <w:ind w:right="320" w:firstLine="1305"/>
        <w:spacing w:after="0" w:line="308" w:lineRule="auto"/>
        <w:tabs>
          <w:tab w:leader="none" w:pos="1942"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intended that the Restricted Stock awarded pursuant to this Agreement and any cash dividends paid with respect thereto be exempt from Section 409A of the Internal Revenue Code of 1986, as amended (“</w:t>
      </w:r>
      <w:r>
        <w:rPr>
          <w:rFonts w:ascii="Arial" w:cs="Arial" w:eastAsia="Arial" w:hAnsi="Arial"/>
          <w:sz w:val="17"/>
          <w:szCs w:val="17"/>
          <w:u w:val="single" w:color="auto"/>
          <w:color w:val="auto"/>
        </w:rPr>
        <w:t>Section 409A</w:t>
      </w:r>
      <w:r>
        <w:rPr>
          <w:rFonts w:ascii="Arial" w:cs="Arial" w:eastAsia="Arial" w:hAnsi="Arial"/>
          <w:sz w:val="17"/>
          <w:szCs w:val="17"/>
          <w:color w:val="auto"/>
        </w:rPr>
        <w:t>”), because it is believed that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Agreement does not provide for a deferral of compensation and accordingly that the Agreement does not constitute a nonqualified deferred compensation plan within the meaning of Section 409A. The provisions of this Agreement shall be interpreted in a manner consistent with this intention, and the provisions of this Agreement may not be amended, adjusted, assumed or substituted for, converted or otherwise modified without the Participant’s prior written consent if and to the extent that the Company believes that such amendment, adjustment, assumption or substitution, conversion or modification would cause the award to violate the requirements of Section 409A. If and to the extent that the Committee believes that the Restricted Stock or any cash dividends with respect thereto may constitute a “nonqualified deferred compensation plan” under Section 409A of the Code, the terms and conditions set forth in this Agreement (and/or the provisions of the Plan applicable thereto) shall be interpreted in a manner consistent with the applicable requirements of Section 409A of the Code, and the Committee, in its sole discretion and without the consent of the Participant, may amend this Agreement (and the provisions of the Plan applicable thereto) if and to the extent that the Committee determines necessary or appropriate to comply with applicable requirements of Section 409A of the Code.</w:t>
      </w:r>
    </w:p>
    <w:p>
      <w:pPr>
        <w:spacing w:after="0" w:line="195" w:lineRule="exact"/>
        <w:rPr>
          <w:sz w:val="20"/>
          <w:szCs w:val="20"/>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and to the extent required to comply with Section 409A of the Code:</w:t>
      </w:r>
    </w:p>
    <w:p>
      <w:pPr>
        <w:spacing w:after="0" w:line="225" w:lineRule="exact"/>
        <w:rPr>
          <w:rFonts w:ascii="Arial" w:cs="Arial" w:eastAsia="Arial" w:hAnsi="Arial"/>
          <w:sz w:val="18"/>
          <w:szCs w:val="18"/>
          <w:color w:val="auto"/>
        </w:rPr>
      </w:pPr>
    </w:p>
    <w:p>
      <w:pPr>
        <w:ind w:left="80" w:right="200" w:firstLine="1954"/>
        <w:spacing w:after="0" w:line="279" w:lineRule="auto"/>
        <w:tabs>
          <w:tab w:leader="none" w:pos="2613"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distribution of any deferred compensation with respect to Restricted Stock prior to vesting may not be made earlier than (u) the Participant’s “separation from service”, (v) 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171" w:lineRule="exact"/>
        <w:rPr>
          <w:rFonts w:ascii="Arial" w:cs="Arial" w:eastAsia="Arial" w:hAnsi="Arial"/>
          <w:sz w:val="17"/>
          <w:szCs w:val="17"/>
          <w:color w:val="auto"/>
        </w:rPr>
      </w:pPr>
    </w:p>
    <w:p>
      <w:pPr>
        <w:ind w:left="80" w:right="20" w:firstLine="1954"/>
        <w:spacing w:after="0" w:line="277" w:lineRule="auto"/>
        <w:tabs>
          <w:tab w:leader="none" w:pos="262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170" w:lineRule="exact"/>
        <w:rPr>
          <w:rFonts w:ascii="Arial" w:cs="Arial" w:eastAsia="Arial" w:hAnsi="Arial"/>
          <w:sz w:val="18"/>
          <w:szCs w:val="18"/>
          <w:color w:val="auto"/>
        </w:rPr>
      </w:pPr>
    </w:p>
    <w:p>
      <w:pPr>
        <w:ind w:left="80" w:right="320" w:firstLine="1954"/>
        <w:spacing w:after="0" w:line="342" w:lineRule="auto"/>
        <w:tabs>
          <w:tab w:leader="none" w:pos="2632"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Participant is a “specified employee”, a distribution on account of a “separation from service” may not be made before the date which is six months after the date of the Participant’s “separation from service” (or, if earlier, the date of the Participant’s death).</w:t>
      </w:r>
    </w:p>
    <w:p>
      <w:pPr>
        <w:spacing w:after="0" w:line="12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Treasury regulations thereunder, and the limitations set forth herein shall be applied in such manner (and only to the extent) as shall be necessary to comply with any requirements of Section 409A of the Code that are applicable to this Agreement.</w:t>
      </w:r>
    </w:p>
    <w:p>
      <w:pPr>
        <w:spacing w:after="0" w:line="181" w:lineRule="exact"/>
        <w:rPr>
          <w:sz w:val="20"/>
          <w:szCs w:val="20"/>
          <w:color w:val="auto"/>
        </w:rPr>
      </w:pPr>
    </w:p>
    <w:p>
      <w:pPr>
        <w:ind w:right="80" w:firstLine="1305"/>
        <w:spacing w:after="0" w:line="297" w:lineRule="auto"/>
        <w:tabs>
          <w:tab w:leader="none" w:pos="19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Notwithstanding the foregoing, the Company does not make any representation to the Participant that the Restricted Stock awarded pursuant to this Agreement or any cash dividends paid with respect thereto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believes should not result in a violation of Section 409A of the Code, is deemed to violate any of the requirements of Section 409A of the Code.</w:t>
      </w:r>
    </w:p>
    <w:p>
      <w:pPr>
        <w:spacing w:after="0" w:line="225" w:lineRule="exact"/>
        <w:rPr>
          <w:sz w:val="20"/>
          <w:szCs w:val="20"/>
          <w:color w:val="auto"/>
        </w:rPr>
      </w:pPr>
    </w:p>
    <w:p>
      <w:pPr>
        <w:jc w:val="both"/>
        <w:ind w:right="180" w:firstLine="656"/>
        <w:spacing w:after="0" w:line="342" w:lineRule="auto"/>
        <w:tabs>
          <w:tab w:leader="none" w:pos="129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Unfunded Agreement</w:t>
      </w:r>
      <w:r>
        <w:rPr>
          <w:rFonts w:ascii="Arial" w:cs="Arial" w:eastAsia="Arial" w:hAnsi="Arial"/>
          <w:sz w:val="16"/>
          <w:szCs w:val="16"/>
          <w:color w:val="auto"/>
        </w:rPr>
        <w:t>. The rights of the Participant under this Agreement with respect to the Company’s obligation to distribute the value of the Participant’s vested cash dividends, if any, shall be unfunded and shall not be greater than the rights of an unsecured general creditor of the Company.</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Grant Date.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WORLD FUEL SERVICES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32931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PARTICIPANT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CAGR in EPS for the Measurement Period*</w:t>
      </w:r>
    </w:p>
    <w:p>
      <w:pPr>
        <w:sectPr>
          <w:pgSz w:w="11900" w:h="16838" w:orient="portrait"/>
          <w:cols w:equalWidth="0" w:num="1">
            <w:col w:w="11420"/>
          </w:cols>
          <w:pgMar w:left="240" w:top="125"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9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88"/>
              </w:rPr>
              <w:t>Less than</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At least 10%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At least 15%</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At least 20%</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but less than</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but less than</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but less than</w:t>
            </w: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25 %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10%</w:t>
            </w:r>
          </w:p>
        </w:tc>
        <w:tc>
          <w:tcPr>
            <w:tcW w:w="144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rPr>
              <w:t>15%</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25%</w:t>
            </w: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Earned Shares</w:t>
            </w: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40" w:firstLine="72"/>
        <w:spacing w:after="0" w:line="277" w:lineRule="auto"/>
        <w:rPr>
          <w:sz w:val="20"/>
          <w:szCs w:val="20"/>
          <w:color w:val="auto"/>
        </w:rPr>
      </w:pPr>
      <w:r>
        <w:rPr>
          <w:rFonts w:ascii="Arial" w:cs="Arial" w:eastAsia="Arial" w:hAnsi="Arial"/>
          <w:sz w:val="18"/>
          <w:szCs w:val="18"/>
          <w:color w:val="auto"/>
        </w:rPr>
        <w:t>*The Committee shall apply linear interpolation with measurement based on each 0.1 percentage point increase in CAGR in EPS if CAGR in EPS is between the levels specified in the table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World Fuel Services Corporation for the quarterly period ended September 30, 2012;</w:t>
      </w:r>
    </w:p>
    <w:p>
      <w:pPr>
        <w:spacing w:after="0" w:line="236"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rFonts w:ascii="Arial" w:cs="Arial" w:eastAsia="Arial" w:hAnsi="Arial"/>
          <w:sz w:val="18"/>
          <w:szCs w:val="18"/>
          <w:color w:val="auto"/>
        </w:rPr>
      </w:pPr>
    </w:p>
    <w:p>
      <w:pPr>
        <w:ind w:left="1300" w:right="100" w:hanging="320"/>
        <w:spacing w:after="0" w:line="264"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3"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320"/>
        <w:spacing w:after="0" w:line="342" w:lineRule="auto"/>
        <w:tabs>
          <w:tab w:leader="none" w:pos="129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Kasbar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World Fuel Services Corporation for the quarterly period ended September 30, 2012;</w:t>
      </w:r>
    </w:p>
    <w:p>
      <w:pPr>
        <w:spacing w:after="0" w:line="236"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rFonts w:ascii="Arial" w:cs="Arial" w:eastAsia="Arial" w:hAnsi="Arial"/>
          <w:sz w:val="18"/>
          <w:szCs w:val="18"/>
          <w:color w:val="auto"/>
        </w:rPr>
      </w:pPr>
    </w:p>
    <w:p>
      <w:pPr>
        <w:ind w:left="1300" w:right="100" w:hanging="320"/>
        <w:spacing w:after="0" w:line="264"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3"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320"/>
        <w:spacing w:after="0" w:line="342" w:lineRule="auto"/>
        <w:tabs>
          <w:tab w:leader="none" w:pos="129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Michael J. Kasbar, the President and Chief Executive Officer of World Fuel Services Corporation (the “Company”), and Ira M. Birns, the Executive Vice-President and Chief Financial Officer of the Company, certify for the purposes of Section 1350 of Chapter 63 of Title 18 of the United States Code that, to the best of our knowledge,</w:t>
      </w:r>
    </w:p>
    <w:p>
      <w:pPr>
        <w:spacing w:after="0" w:line="181" w:lineRule="exact"/>
        <w:rPr>
          <w:sz w:val="20"/>
          <w:szCs w:val="20"/>
          <w:color w:val="auto"/>
        </w:rPr>
      </w:pPr>
    </w:p>
    <w:p>
      <w:pPr>
        <w:ind w:left="980" w:right="180" w:hanging="486"/>
        <w:spacing w:after="0" w:line="277" w:lineRule="auto"/>
        <w:tabs>
          <w:tab w:leader="none" w:pos="10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2012 (the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hanging="526"/>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Vice-President and Chief Financial Officer</w:t>
      </w:r>
    </w:p>
    <w:p>
      <w:pPr>
        <w:spacing w:after="0" w:line="200" w:lineRule="exact"/>
        <w:rPr>
          <w:sz w:val="20"/>
          <w:szCs w:val="20"/>
          <w:color w:val="auto"/>
        </w:rPr>
      </w:pPr>
    </w:p>
    <w:p>
      <w:pPr>
        <w:spacing w:after="0" w:line="22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1."/>
      <w:numFmt w:val="decimal"/>
      <w:start w:val="7"/>
    </w:lvl>
  </w:abstractNum>
  <w:abstractNum w:abstractNumId="9">
    <w:nsid w:val="6763845E"/>
    <w:multiLevelType w:val="hybridMultilevel"/>
    <w:lvl w:ilvl="0">
      <w:lvlJc w:val="left"/>
      <w:lvlText w:val="%1."/>
      <w:numFmt w:val="decimal"/>
      <w:start w:val="8"/>
    </w:lvl>
  </w:abstractNum>
  <w:abstractNum w:abstractNumId="10">
    <w:nsid w:val="75A2A8D4"/>
    <w:multiLevelType w:val="hybridMultilevel"/>
    <w:lvl w:ilvl="0">
      <w:lvlJc w:val="left"/>
      <w:lvlText w:val="%1."/>
      <w:numFmt w:val="decimal"/>
      <w:start w:val="9"/>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01"/>
    </w:lvl>
  </w:abstractNum>
  <w:abstractNum w:abstractNumId="16">
    <w:nsid w:val="54E49EB4"/>
    <w:multiLevelType w:val="hybridMultilevel"/>
    <w:lvl w:ilvl="0">
      <w:lvlJc w:val="left"/>
      <w:lvlText w:val="%1."/>
      <w:numFmt w:val="decimal"/>
      <w:start w:val="1"/>
    </w:lvl>
    <w:lvl w:ilvl="1">
      <w:lvlJc w:val="left"/>
      <w:lvlText w:val="(%2)"/>
      <w:numFmt w:val="lowerLetter"/>
      <w:start w:val="1"/>
    </w:lvl>
  </w:abstractNum>
  <w:abstractNum w:abstractNumId="17">
    <w:nsid w:val="71F32454"/>
    <w:multiLevelType w:val="hybridMultilevel"/>
    <w:lvl w:ilvl="0">
      <w:lvlJc w:val="left"/>
      <w:lvlText w:val="%1"/>
      <w:numFmt w:val="lowerLetter"/>
      <w:start w:val="1"/>
    </w:lvl>
    <w:lvl w:ilvl="1">
      <w:lvlJc w:val="left"/>
      <w:lvlText w:val="(%2)"/>
      <w:numFmt w:val="lowerRoman"/>
      <w:start w:val="2"/>
    </w:lvl>
  </w:abstractNum>
  <w:abstractNum w:abstractNumId="18">
    <w:nsid w:val="2CA88611"/>
    <w:multiLevelType w:val="hybridMultilevel"/>
    <w:lvl w:ilvl="0">
      <w:lvlJc w:val="left"/>
      <w:lvlText w:val="(%1)"/>
      <w:numFmt w:val="lowerLetter"/>
      <w:start w:val="2"/>
    </w:lvl>
    <w:lvl w:ilvl="1">
      <w:lvlJc w:val="left"/>
      <w:lvlText w:val="(%2)"/>
      <w:numFmt w:val="lowerRoman"/>
      <w:start w:val="1"/>
    </w:lvl>
  </w:abstractNum>
  <w:abstractNum w:abstractNumId="19">
    <w:nsid w:val="836C40E"/>
    <w:multiLevelType w:val="hybridMultilevel"/>
    <w:lvl w:ilvl="0">
      <w:lvlJc w:val="left"/>
      <w:lvlText w:val="(%1)"/>
      <w:numFmt w:val="lowerRoman"/>
      <w:start w:val="2"/>
    </w:lvl>
  </w:abstractNum>
  <w:abstractNum w:abstractNumId="20">
    <w:nsid w:val="2901D82"/>
    <w:multiLevelType w:val="hybridMultilevel"/>
    <w:lvl w:ilvl="0">
      <w:lvlJc w:val="left"/>
      <w:lvlText w:val="(%1)"/>
      <w:numFmt w:val="upperLetter"/>
      <w:start w:val="2"/>
    </w:lvl>
  </w:abstractNum>
  <w:abstractNum w:abstractNumId="21">
    <w:nsid w:val="3A95F874"/>
    <w:multiLevelType w:val="hybridMultilevel"/>
    <w:lvl w:ilvl="0">
      <w:lvlJc w:val="left"/>
      <w:lvlText w:val="%1"/>
      <w:numFmt w:val="decimal"/>
      <w:start w:val="1"/>
    </w:lvl>
    <w:lvl w:ilvl="1">
      <w:lvlJc w:val="left"/>
      <w:lvlText w:val="(%2)"/>
      <w:numFmt w:val="lowerLetter"/>
      <w:start w:val="3"/>
    </w:lvl>
  </w:abstractNum>
  <w:abstractNum w:abstractNumId="22">
    <w:nsid w:val="8138641"/>
    <w:multiLevelType w:val="hybridMultilevel"/>
    <w:lvl w:ilvl="0">
      <w:lvlJc w:val="left"/>
      <w:lvlText w:val="%1."/>
      <w:numFmt w:val="decimal"/>
      <w:start w:val="4"/>
    </w:lvl>
    <w:lvl w:ilvl="1">
      <w:lvlJc w:val="left"/>
      <w:lvlText w:val="%2"/>
      <w:numFmt w:val="lowerLetter"/>
      <w:start w:val="1"/>
    </w:lvl>
  </w:abstractNum>
  <w:abstractNum w:abstractNumId="23">
    <w:nsid w:val="1E7FF52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
    <w:nsid w:val="7C3DBD3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
    <w:nsid w:val="737B8DDC"/>
    <w:multiLevelType w:val="hybridMultilevel"/>
    <w:lvl w:ilvl="0">
      <w:lvlJc w:val="left"/>
      <w:lvlText w:val="%1."/>
      <w:numFmt w:val="decimal"/>
      <w:start w:val="7"/>
    </w:lvl>
    <w:lvl w:ilvl="1">
      <w:lvlJc w:val="left"/>
      <w:lvlText w:val="(%2)"/>
      <w:numFmt w:val="lowerLetter"/>
      <w:start w:val="1"/>
    </w:lvl>
  </w:abstractNum>
  <w:abstractNum w:abstractNumId="26">
    <w:nsid w:val="6CEAF087"/>
    <w:multiLevelType w:val="hybridMultilevel"/>
    <w:lvl w:ilvl="0">
      <w:lvlJc w:val="left"/>
      <w:lvlText w:val="%1."/>
      <w:numFmt w:val="decimal"/>
      <w:start w:val="9"/>
    </w:lvl>
    <w:lvl w:ilvl="1">
      <w:lvlJc w:val="left"/>
      <w:lvlText w:val="(%2)"/>
      <w:numFmt w:val="lowerLetter"/>
      <w:start w:val="1"/>
    </w:lvl>
  </w:abstractNum>
  <w:abstractNum w:abstractNumId="27">
    <w:nsid w:val="22221A70"/>
    <w:multiLevelType w:val="hybridMultilevel"/>
    <w:lvl w:ilvl="0">
      <w:lvlJc w:val="left"/>
      <w:lvlText w:val="%1"/>
      <w:numFmt w:val="decimal"/>
      <w:start w:val="1"/>
    </w:lvl>
    <w:lvl w:ilvl="1">
      <w:lvlJc w:val="left"/>
      <w:lvlText w:val="(%2)"/>
      <w:numFmt w:val="lowerLetter"/>
      <w:start w:val="2"/>
    </w:lvl>
  </w:abstractNum>
  <w:abstractNum w:abstractNumId="28">
    <w:nsid w:val="4516DDE9"/>
    <w:multiLevelType w:val="hybridMultilevel"/>
    <w:lvl w:ilvl="0">
      <w:lvlJc w:val="left"/>
      <w:lvlText w:val="%1."/>
      <w:numFmt w:val="decimal"/>
      <w:start w:val="13"/>
    </w:lvl>
    <w:lvl w:ilvl="1">
      <w:lvlJc w:val="left"/>
      <w:lvlText w:val="%2"/>
      <w:numFmt w:val="lowerLetter"/>
      <w:start w:val="1"/>
    </w:lvl>
  </w:abstractNum>
  <w:abstractNum w:abstractNumId="29">
    <w:nsid w:val="3006C83E"/>
    <w:multiLevelType w:val="hybridMultilevel"/>
    <w:lvl w:ilvl="0">
      <w:lvlJc w:val="left"/>
      <w:lvlText w:val="%1."/>
      <w:numFmt w:val="decimal"/>
      <w:start w:val="1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2"/>
    </w:lvl>
    <w:lvl w:ilvl="1">
      <w:lvlJc w:val="left"/>
      <w:lvlText w:val="(%2)"/>
      <w:numFmt w:val="lowerRoman"/>
      <w:start w:val="1"/>
    </w:lvl>
  </w:abstractNum>
  <w:abstractNum w:abstractNumId="32">
    <w:nsid w:val="5577F8E1"/>
    <w:multiLevelType w:val="hybridMultilevel"/>
    <w:lvl w:ilvl="0">
      <w:lvlJc w:val="left"/>
      <w:lvlText w:val="(%1)"/>
      <w:numFmt w:val="lowerLetter"/>
      <w:start w:val="3"/>
    </w:lvl>
  </w:abstractNum>
  <w:abstractNum w:abstractNumId="33">
    <w:nsid w:val="440BADFC"/>
    <w:multiLevelType w:val="hybridMultilevel"/>
    <w:lvl w:ilvl="0">
      <w:lvlJc w:val="left"/>
      <w:lvlText w:val="%1."/>
      <w:numFmt w:val="decimal"/>
      <w:start w:val="22"/>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2019-12-09T10:20:12Z</dcterms:created>
  <dcterms:modified xsi:type="dcterms:W3CDTF">2019-12-09T10:20:12Z</dcterms:modified>
</cp:coreProperties>
</file>