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64230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326390</wp:posOffset>
            </wp:positionV>
            <wp:extent cx="6423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9" w:lineRule="exact"/>
        <w:rPr>
          <w:sz w:val="24"/>
          <w:szCs w:val="24"/>
          <w:color w:val="auto"/>
        </w:rPr>
      </w:pPr>
    </w:p>
    <w:p>
      <w:pPr>
        <w:ind w:left="2760" w:right="240" w:hanging="2440"/>
        <w:spacing w:after="0" w:line="494" w:lineRule="auto"/>
        <w:tabs>
          <w:tab w:leader="none" w:pos="73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2015</w:t>
      </w:r>
    </w:p>
    <w:p>
      <w:pPr>
        <w:spacing w:after="0" w:line="26" w:lineRule="exact"/>
        <w:rPr>
          <w:sz w:val="24"/>
          <w:szCs w:val="24"/>
          <w:color w:val="auto"/>
        </w:rPr>
      </w:pPr>
    </w:p>
    <w:p>
      <w:pPr>
        <w:ind w:left="720" w:hanging="400"/>
        <w:spacing w:after="0"/>
        <w:tabs>
          <w:tab w:leader="none" w:pos="7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2280"/>
        <w:spacing w:after="0"/>
        <w:tabs>
          <w:tab w:leader="none" w:pos="6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2501900</wp:posOffset>
            </wp:positionH>
            <wp:positionV relativeFrom="paragraph">
              <wp:posOffset>88265</wp:posOffset>
            </wp:positionV>
            <wp:extent cx="141478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WORLD FUEL SERVICES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16"/>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9800 N.W. 41</w:t>
            </w:r>
            <w:r>
              <w:rPr>
                <w:rFonts w:ascii="Times New Roman" w:cs="Times New Roman" w:eastAsia="Times New Roman" w:hAnsi="Times New Roman"/>
                <w:sz w:val="11"/>
                <w:szCs w:val="11"/>
                <w:b w:val="1"/>
                <w:bCs w:val="1"/>
                <w:color w:val="auto"/>
                <w:w w:val="99"/>
              </w:rPr>
              <w:t>st</w:t>
            </w:r>
            <w:r>
              <w:rPr>
                <w:rFonts w:ascii="Times New Roman" w:cs="Times New Roman" w:eastAsia="Times New Roman" w:hAnsi="Times New Roman"/>
                <w:sz w:val="18"/>
                <w:szCs w:val="18"/>
                <w:b w:val="1"/>
                <w:bCs w:val="1"/>
                <w:color w:val="auto"/>
                <w:w w:val="99"/>
              </w:rPr>
              <w:t xml:space="preserve"> Street</w:t>
            </w:r>
          </w:p>
        </w:tc>
        <w:tc>
          <w:tcPr>
            <w:tcW w:w="284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2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4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29"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right="2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registrant had a total of 71,778,000 shares of common stock, par value $0.01 per share, issued and outstanding as of July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300355</wp:posOffset>
            </wp:positionV>
            <wp:extent cx="642302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342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596265</wp:posOffset>
            </wp:positionV>
            <wp:extent cx="584835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10120"/>
          </w:cols>
          <w:pgMar w:left="900" w:top="229" w:right="8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40" w:type="dxa"/>
            <w:vAlign w:val="bottom"/>
            <w:gridSpan w:val="9"/>
          </w:tcPr>
          <w:p>
            <w:pPr>
              <w:ind w:left="480"/>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53"/>
        </w:trPr>
        <w:tc>
          <w:tcPr>
            <w:tcW w:w="480" w:type="dxa"/>
            <w:vAlign w:val="bottom"/>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4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4"/>
                <w:szCs w:val="24"/>
                <w:color w:val="auto"/>
              </w:rPr>
            </w:pPr>
          </w:p>
        </w:tc>
      </w:tr>
      <w:tr>
        <w:trPr>
          <w:trHeight w:val="405"/>
        </w:trPr>
        <w:tc>
          <w:tcPr>
            <w:tcW w:w="1100" w:type="dxa"/>
            <w:vAlign w:val="bottom"/>
            <w:gridSpan w:val="3"/>
          </w:tcPr>
          <w:p>
            <w:pPr>
              <w:ind w:left="48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814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90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General</w:t>
              </w:r>
            </w:hyperlink>
          </w:p>
        </w:tc>
        <w:tc>
          <w:tcPr>
            <w:tcW w:w="160" w:type="dxa"/>
            <w:vAlign w:val="bottom"/>
            <w:tcBorders>
              <w:top w:val="single" w:sz="8" w:color="0000EE"/>
            </w:tcBorders>
            <w:gridSpan w:val="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220" w:type="dxa"/>
            <w:vAlign w:val="bottom"/>
            <w:gridSpan w:val="4"/>
          </w:tcPr>
          <w:p>
            <w:pPr>
              <w:spacing w:after="0"/>
              <w:rPr>
                <w:sz w:val="24"/>
                <w:szCs w:val="24"/>
                <w:color w:val="auto"/>
              </w:rPr>
            </w:pPr>
          </w:p>
        </w:tc>
        <w:tc>
          <w:tcPr>
            <w:tcW w:w="740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90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0" w:type="dxa"/>
            <w:vAlign w:val="bottom"/>
            <w:gridSpan w:val="1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as of June 30, 2015 and December 31, 2014</w:t>
              </w:r>
            </w:hyperlink>
          </w:p>
        </w:tc>
        <w:tc>
          <w:tcPr>
            <w:tcW w:w="90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0" w:type="dxa"/>
            <w:vAlign w:val="bottom"/>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Income and Comprehensive Income for the Three and Six Months</w:t>
              </w:r>
            </w:hyperlink>
          </w:p>
        </w:tc>
        <w:tc>
          <w:tcPr>
            <w:tcW w:w="90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ended June 30, 2015 and 2014</w:t>
              </w:r>
            </w:hyperlink>
          </w:p>
        </w:tc>
        <w:tc>
          <w:tcPr>
            <w:tcW w:w="600" w:type="dxa"/>
            <w:vAlign w:val="bottom"/>
            <w:gridSpan w:val="2"/>
          </w:tcPr>
          <w:p>
            <w:pPr>
              <w:spacing w:after="0"/>
              <w:rPr>
                <w:sz w:val="17"/>
                <w:szCs w:val="17"/>
                <w:color w:val="auto"/>
              </w:rPr>
            </w:pPr>
          </w:p>
        </w:tc>
        <w:tc>
          <w:tcPr>
            <w:tcW w:w="90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Shareholders’ Equity for the Six Months ended June 30, 2015 and 2014</w:t>
              </w:r>
            </w:hyperlink>
          </w:p>
        </w:tc>
        <w:tc>
          <w:tcPr>
            <w:tcW w:w="220" w:type="dxa"/>
            <w:vAlign w:val="bottom"/>
          </w:tcPr>
          <w:p>
            <w:pPr>
              <w:spacing w:after="0"/>
              <w:rPr>
                <w:sz w:val="17"/>
                <w:szCs w:val="17"/>
                <w:color w:val="auto"/>
              </w:rPr>
            </w:pPr>
          </w:p>
        </w:tc>
        <w:tc>
          <w:tcPr>
            <w:tcW w:w="90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Cash Flows for the Six Months ended June 30, 2015 and 2014</w:t>
              </w:r>
            </w:hyperlink>
          </w:p>
        </w:tc>
        <w:tc>
          <w:tcPr>
            <w:tcW w:w="900" w:type="dxa"/>
            <w:vAlign w:val="bottom"/>
            <w:gridSpan w:val="3"/>
          </w:tcPr>
          <w:p>
            <w:pPr>
              <w:spacing w:after="0"/>
              <w:rPr>
                <w:sz w:val="17"/>
                <w:szCs w:val="17"/>
                <w:color w:val="auto"/>
              </w:rPr>
            </w:pPr>
          </w:p>
        </w:tc>
        <w:tc>
          <w:tcPr>
            <w:tcW w:w="90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0" w:type="dxa"/>
            <w:vAlign w:val="bottom"/>
            <w:gridSpan w:val="15"/>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the Consolidated Financial Statements</w:t>
              </w:r>
            </w:hyperlink>
          </w:p>
        </w:tc>
        <w:tc>
          <w:tcPr>
            <w:tcW w:w="90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gridSpan w:val="21"/>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gridSpan w:val="21"/>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3.   Quantitative and Qualitative Disclosures About Market Risk</w:t>
              </w:r>
            </w:hyperlink>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060" w:type="dxa"/>
            <w:vAlign w:val="bottom"/>
            <w:tcBorders>
              <w:left w:val="single" w:sz="8" w:color="0000EE"/>
            </w:tcBorders>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gridSpan w:val="21"/>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4.   Controls and Procedures</w:t>
              </w:r>
            </w:hyperlink>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20" w:type="dxa"/>
            <w:vAlign w:val="bottom"/>
            <w:gridSpan w:val="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Part II.</w:t>
              </w:r>
            </w:hyperlink>
          </w:p>
        </w:tc>
        <w:tc>
          <w:tcPr>
            <w:tcW w:w="8140" w:type="dxa"/>
            <w:vAlign w:val="bottom"/>
            <w:gridSpan w:val="21"/>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Other Information</w:t>
              </w:r>
            </w:hyperlink>
          </w:p>
        </w:tc>
        <w:tc>
          <w:tcPr>
            <w:tcW w:w="90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1.</w:t>
              </w:r>
            </w:hyperlink>
          </w:p>
        </w:tc>
        <w:tc>
          <w:tcPr>
            <w:tcW w:w="200" w:type="dxa"/>
            <w:vAlign w:val="bottom"/>
            <w:gridSpan w:val="3"/>
          </w:tcPr>
          <w:p>
            <w:pPr>
              <w:spacing w:after="0"/>
              <w:rPr>
                <w:sz w:val="24"/>
                <w:szCs w:val="24"/>
                <w:color w:val="auto"/>
              </w:rPr>
            </w:pPr>
          </w:p>
        </w:tc>
        <w:tc>
          <w:tcPr>
            <w:tcW w:w="7400" w:type="dxa"/>
            <w:vAlign w:val="bottom"/>
            <w:gridSpan w:val="15"/>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Legal Proceedings</w:t>
              </w:r>
            </w:hyperlink>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gridSpan w:val="21"/>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2.   Unregistered Sales of Equity Securities and Use of Proceeds</w:t>
              </w:r>
            </w:hyperlink>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760" w:type="dxa"/>
            <w:vAlign w:val="bottom"/>
            <w:tcBorders>
              <w:left w:val="single" w:sz="8" w:color="0000EE"/>
            </w:tcBorders>
            <w:gridSpan w:val="6"/>
            <w:shd w:val="clear" w:color="auto" w:fill="0000EE"/>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Item 6.</w:t>
              </w:r>
            </w:hyperlink>
          </w:p>
        </w:tc>
        <w:tc>
          <w:tcPr>
            <w:tcW w:w="20" w:type="dxa"/>
            <w:vAlign w:val="bottom"/>
          </w:tcPr>
          <w:p>
            <w:pPr>
              <w:spacing w:after="0"/>
              <w:rPr>
                <w:sz w:val="24"/>
                <w:szCs w:val="24"/>
                <w:color w:val="auto"/>
              </w:rPr>
            </w:pPr>
          </w:p>
        </w:tc>
        <w:tc>
          <w:tcPr>
            <w:tcW w:w="200" w:type="dxa"/>
            <w:vAlign w:val="bottom"/>
            <w:gridSpan w:val="3"/>
          </w:tcPr>
          <w:p>
            <w:pPr>
              <w:spacing w:after="0"/>
              <w:rPr>
                <w:sz w:val="24"/>
                <w:szCs w:val="24"/>
                <w:color w:val="auto"/>
              </w:rPr>
            </w:pPr>
          </w:p>
        </w:tc>
        <w:tc>
          <w:tcPr>
            <w:tcW w:w="7400" w:type="dxa"/>
            <w:vAlign w:val="bottom"/>
            <w:gridSpan w:val="15"/>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Exhibits</w:t>
              </w:r>
            </w:hyperlink>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10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840" w:type="dxa"/>
            <w:vAlign w:val="bottom"/>
            <w:gridSpan w:val="9"/>
          </w:tcPr>
          <w:p>
            <w:pPr>
              <w:ind w:left="48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Signatures</w:t>
              </w:r>
            </w:hyperlink>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37</w:t>
            </w:r>
          </w:p>
        </w:tc>
      </w:tr>
      <w:tr>
        <w:trPr>
          <w:trHeight w:val="1209"/>
        </w:trPr>
        <w:tc>
          <w:tcPr>
            <w:tcW w:w="480" w:type="dxa"/>
            <w:vAlign w:val="bottom"/>
            <w:tcBorders>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r>
        <w:trPr>
          <w:trHeight w:val="20"/>
        </w:trPr>
        <w:tc>
          <w:tcPr>
            <w:tcW w:w="4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unaudited consolidated financial statements and notes thereto of World Fuel Services Corporation and its subsidiaries have been prepared in accordance with the instructions to Quarterly Reports on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which are of a normal and recurring nature, have been made for the interim periods reported. Results of operations for the three and six months ended June 30, 2015 are not necessarily indicative of the results for the entire fiscal year. The unaudited consolidated financial statements and notes thereto included in this Quarterly Report on Form 10-Q for the quarterly period ended June 30, 2015 (“10-Q Report”) should be read in conjunction with the audited consolidated financial statements and notes thereto included in our Annual Report on Form 10-K for the fiscal year ended December 31, 2014 (“2014 10-K Report”). World Fuel Services Corporation (the “Company”) and its subsidiaries are collectively referred to in this 10-Q Report as “World Fuel,” “we,” “our” and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millions, except per share data)</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13"/>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6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489.7</w:t>
            </w:r>
          </w:p>
        </w:tc>
        <w:tc>
          <w:tcPr>
            <w:tcW w:w="4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w:t>
            </w:r>
          </w:p>
        </w:tc>
        <w:tc>
          <w:tcPr>
            <w:tcW w:w="0" w:type="dxa"/>
            <w:vAlign w:val="bottom"/>
          </w:tcPr>
          <w:p>
            <w:pPr>
              <w:spacing w:after="0"/>
              <w:rPr>
                <w:sz w:val="1"/>
                <w:szCs w:val="1"/>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2,358.2</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450.8</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w:t>
            </w:r>
          </w:p>
        </w:tc>
        <w:tc>
          <w:tcPr>
            <w:tcW w:w="0" w:type="dxa"/>
            <w:vAlign w:val="bottom"/>
          </w:tcPr>
          <w:p>
            <w:pPr>
              <w:spacing w:after="0"/>
              <w:rPr>
                <w:sz w:val="1"/>
                <w:szCs w:val="1"/>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Short-term derivative assets, net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129.3</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392.5</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3,882.5</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212.4</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650.3</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651.9</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Identifiable intangible and 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357.3</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6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5,102.5</w:t>
            </w:r>
          </w:p>
        </w:tc>
        <w:tc>
          <w:tcPr>
            <w:tcW w:w="4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4,880.1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Short-term debt</w:t>
            </w: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22.2</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1,897.4</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1,850.1</w:t>
            </w:r>
          </w:p>
        </w:tc>
        <w:tc>
          <w:tcPr>
            <w:tcW w:w="0" w:type="dxa"/>
            <w:vAlign w:val="bottom"/>
          </w:tcPr>
          <w:p>
            <w:pPr>
              <w:spacing w:after="0"/>
              <w:rPr>
                <w:sz w:val="1"/>
                <w:szCs w:val="1"/>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 deposits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94.3</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302.2</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0" w:type="dxa"/>
            <w:vAlign w:val="bottom"/>
          </w:tcPr>
          <w:p>
            <w:pPr>
              <w:spacing w:after="0"/>
              <w:rPr>
                <w:sz w:val="1"/>
                <w:szCs w:val="1"/>
                <w:color w:val="auto"/>
              </w:rPr>
            </w:pPr>
          </w:p>
        </w:tc>
      </w:tr>
      <w:tr>
        <w:trPr>
          <w:trHeight w:val="210"/>
        </w:trPr>
        <w:tc>
          <w:tcPr>
            <w:tcW w:w="6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2,316.1</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751.6</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income tax liabilities, net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112.5</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22.2</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3,202.4</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3,015.2</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World Fuel shareholders' equity:</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stock, $1.00 par value; 0.1 shares authorized, none issued</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68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$0.01 par value; 100 shares authorized, 71.8 and 72.1 issued and outstanding as of June 30, 2015</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c>
          <w:tcPr>
            <w:tcW w:w="44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1"/>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December 31, 2014, respectively</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468.9</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0" w:type="dxa"/>
            <w:vAlign w:val="bottom"/>
          </w:tcPr>
          <w:p>
            <w:pPr>
              <w:spacing w:after="0"/>
              <w:rPr>
                <w:sz w:val="1"/>
                <w:szCs w:val="1"/>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1,495.5</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1,418.5</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(74.5)</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10"/>
        </w:trPr>
        <w:tc>
          <w:tcPr>
            <w:tcW w:w="6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World Fuel shareholders' equity</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1,890.6</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1,855.4</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 equity</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9.5</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1,900.1</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1,864.9</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66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5,102.5</w:t>
            </w:r>
          </w:p>
        </w:tc>
        <w:tc>
          <w:tcPr>
            <w:tcW w:w="4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Income and Comprehensive Income</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 In millions, except per share data)</w:t>
      </w:r>
    </w:p>
    <w:p>
      <w:pPr>
        <w:sectPr>
          <w:pgSz w:w="11900" w:h="16838" w:orient="portrait"/>
          <w:cols w:equalWidth="0" w:num="1">
            <w:col w:w="10120"/>
          </w:cols>
          <w:pgMar w:left="900" w:top="121" w:right="879" w:bottom="1440" w:gutter="0" w:footer="0" w:header="0"/>
        </w:sectPr>
      </w:pPr>
    </w:p>
    <w:p>
      <w:pPr>
        <w:spacing w:after="0" w:line="282"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55"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7620</wp:posOffset>
            </wp:positionV>
            <wp:extent cx="16294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35" w:lineRule="exact"/>
        <w:rPr>
          <w:sz w:val="20"/>
          <w:szCs w:val="20"/>
          <w:color w:val="auto"/>
        </w:rPr>
      </w:pPr>
    </w:p>
    <w:p>
      <w:pPr>
        <w:ind w:left="546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right"/>
        <w:ind w:left="100" w:right="60"/>
        <w:spacing w:after="0" w:line="322" w:lineRule="auto"/>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-26670</wp:posOffset>
            </wp:positionV>
            <wp:extent cx="17151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32" w:lineRule="exact"/>
        <w:rPr>
          <w:sz w:val="20"/>
          <w:szCs w:val="20"/>
          <w:color w:val="auto"/>
        </w:rPr>
      </w:pPr>
    </w:p>
    <w:p>
      <w:pPr>
        <w:sectPr>
          <w:pgSz w:w="11900" w:h="16838" w:orient="portrait"/>
          <w:cols w:equalWidth="0" w:num="2">
            <w:col w:w="7660" w:space="720"/>
            <w:col w:w="1740"/>
          </w:cols>
          <w:pgMar w:left="900" w:top="121" w:right="87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0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19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8,496.4</w:t>
            </w:r>
          </w:p>
        </w:tc>
        <w:tc>
          <w:tcPr>
            <w:tcW w:w="4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11,342.5</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15,837.1</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21,893.4</w:t>
            </w:r>
          </w:p>
        </w:tc>
      </w:tr>
      <w:tr>
        <w:trPr>
          <w:trHeight w:val="216"/>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8,306.0</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11,151.0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15,431.3</w:t>
            </w: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21,513.9</w:t>
            </w:r>
          </w:p>
        </w:tc>
      </w:tr>
      <w:tr>
        <w:trPr>
          <w:trHeight w:val="210"/>
        </w:trPr>
        <w:tc>
          <w:tcPr>
            <w:tcW w:w="4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10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190.4</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 for bad debt</w:t>
            </w:r>
          </w:p>
        </w:tc>
        <w:tc>
          <w:tcPr>
            <w:tcW w:w="10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16"/>
        </w:trPr>
        <w:tc>
          <w:tcPr>
            <w:tcW w:w="40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59.0</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r>
      <w:tr>
        <w:trPr>
          <w:trHeight w:val="210"/>
        </w:trPr>
        <w:tc>
          <w:tcPr>
            <w:tcW w:w="4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148.8</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w:t>
            </w:r>
          </w:p>
        </w:tc>
      </w:tr>
      <w:tr>
        <w:trPr>
          <w:trHeight w:val="210"/>
        </w:trPr>
        <w:tc>
          <w:tcPr>
            <w:tcW w:w="4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from operations</w:t>
            </w:r>
          </w:p>
        </w:tc>
        <w:tc>
          <w:tcPr>
            <w:tcW w:w="10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41.6</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Non-operating expenses, net:</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and other financing costs, net</w:t>
            </w: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16"/>
        </w:trPr>
        <w:tc>
          <w:tcPr>
            <w:tcW w:w="4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10"/>
        </w:trPr>
        <w:tc>
          <w:tcPr>
            <w:tcW w:w="4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10"/>
        </w:trPr>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33.6</w:t>
            </w: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r>
      <w:tr>
        <w:trPr>
          <w:trHeight w:val="216"/>
        </w:trPr>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10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28.4</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40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17"/>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World Fuel</w:t>
            </w: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29.9</w:t>
            </w:r>
          </w:p>
        </w:tc>
        <w:tc>
          <w:tcPr>
            <w:tcW w:w="4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6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216"/>
        </w:trPr>
        <w:tc>
          <w:tcPr>
            <w:tcW w:w="40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0.42</w:t>
            </w:r>
          </w:p>
        </w:tc>
        <w:tc>
          <w:tcPr>
            <w:tcW w:w="4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80" w:type="dxa"/>
            <w:vAlign w:val="bottom"/>
          </w:tcPr>
          <w:p>
            <w:pPr>
              <w:spacing w:after="0"/>
              <w:rPr>
                <w:sz w:val="19"/>
                <w:szCs w:val="19"/>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tcPr>
          <w:p>
            <w:pPr>
              <w:spacing w:after="0"/>
              <w:rPr>
                <w:sz w:val="19"/>
                <w:szCs w:val="19"/>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16"/>
        </w:trPr>
        <w:tc>
          <w:tcPr>
            <w:tcW w:w="40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3"/>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Basic weighted average common shares</w:t>
            </w:r>
          </w:p>
        </w:tc>
        <w:tc>
          <w:tcPr>
            <w:tcW w:w="1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70.7</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216"/>
        </w:trPr>
        <w:tc>
          <w:tcPr>
            <w:tcW w:w="4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0.42</w:t>
            </w:r>
          </w:p>
        </w:tc>
        <w:tc>
          <w:tcPr>
            <w:tcW w:w="4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80" w:type="dxa"/>
            <w:vAlign w:val="bottom"/>
          </w:tcPr>
          <w:p>
            <w:pPr>
              <w:spacing w:after="0"/>
              <w:rPr>
                <w:sz w:val="19"/>
                <w:szCs w:val="19"/>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tcPr>
          <w:p>
            <w:pPr>
              <w:spacing w:after="0"/>
              <w:rPr>
                <w:sz w:val="19"/>
                <w:szCs w:val="19"/>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16"/>
        </w:trPr>
        <w:tc>
          <w:tcPr>
            <w:tcW w:w="40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3"/>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Diluted weighted average common shares</w:t>
            </w:r>
          </w:p>
        </w:tc>
        <w:tc>
          <w:tcPr>
            <w:tcW w:w="1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71.2</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w:t>
            </w:r>
          </w:p>
        </w:tc>
      </w:tr>
      <w:tr>
        <w:trPr>
          <w:trHeight w:val="216"/>
        </w:trPr>
        <w:tc>
          <w:tcPr>
            <w:tcW w:w="4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10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28.4</w:t>
            </w:r>
          </w:p>
        </w:tc>
        <w:tc>
          <w:tcPr>
            <w:tcW w:w="4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0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(11.8)</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10"/>
        </w:trPr>
        <w:tc>
          <w:tcPr>
            <w:tcW w:w="4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22.0</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(11.8)</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including noncontrolling interest</w:t>
            </w: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10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4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40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attributable to World Fuel</w:t>
            </w:r>
          </w:p>
        </w:tc>
        <w:tc>
          <w:tcPr>
            <w:tcW w:w="10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4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r>
      <w:tr>
        <w:trPr>
          <w:trHeight w:val="27"/>
        </w:trPr>
        <w:tc>
          <w:tcPr>
            <w:tcW w:w="40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(Unaudited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4"/>
                <w:szCs w:val="14"/>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22"/>
                <w:szCs w:val="22"/>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World Fuel</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960" w:type="dxa"/>
            <w:vAlign w:val="bottom"/>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7"/>
                <w:szCs w:val="17"/>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26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7"/>
                <w:szCs w:val="17"/>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w w:val="98"/>
              </w:rPr>
              <w:t>Shareholders'</w:t>
            </w:r>
          </w:p>
        </w:tc>
        <w:tc>
          <w:tcPr>
            <w:tcW w:w="32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ParValue</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2014</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496.4</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1,418.5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1,855.4</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1,864.9</w:t>
            </w:r>
          </w:p>
        </w:tc>
        <w:tc>
          <w:tcPr>
            <w:tcW w:w="0" w:type="dxa"/>
            <w:vAlign w:val="bottom"/>
          </w:tcPr>
          <w:p>
            <w:pPr>
              <w:spacing w:after="0"/>
              <w:rPr>
                <w:sz w:val="1"/>
                <w:szCs w:val="1"/>
                <w:color w:val="auto"/>
              </w:rPr>
            </w:pPr>
          </w:p>
        </w:tc>
      </w:tr>
      <w:tr>
        <w:trPr>
          <w:trHeight w:val="216"/>
        </w:trPr>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85.5</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85.5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dividends declared</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16"/>
        </w:trPr>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share-based payment awards</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8.1</w:t>
            </w:r>
          </w:p>
        </w:tc>
        <w:tc>
          <w:tcPr>
            <w:tcW w:w="2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8.1</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26"/>
        </w:trPr>
        <w:tc>
          <w:tcPr>
            <w:tcW w:w="29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 share-</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based payment awards including income tax</w:t>
            </w:r>
          </w:p>
        </w:tc>
        <w:tc>
          <w:tcPr>
            <w:tcW w:w="5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w:t>
            </w:r>
          </w:p>
        </w:tc>
        <w:tc>
          <w:tcPr>
            <w:tcW w:w="3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benefit of $1.5</w:t>
            </w: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Purchases of common stock tendered</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by employees to satisfy the required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withholding taxes related to share-based</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(7.0)</w:t>
            </w:r>
          </w:p>
        </w:tc>
        <w:tc>
          <w:tcPr>
            <w:tcW w:w="260" w:type="dxa"/>
            <w:vAlign w:val="bottom"/>
          </w:tcPr>
          <w:p>
            <w:pPr>
              <w:spacing w:after="0"/>
              <w:rPr>
                <w:sz w:val="12"/>
                <w:szCs w:val="12"/>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(7.0)</w:t>
            </w:r>
          </w:p>
        </w:tc>
        <w:tc>
          <w:tcPr>
            <w:tcW w:w="320" w:type="dxa"/>
            <w:vAlign w:val="bottom"/>
          </w:tcPr>
          <w:p>
            <w:pPr>
              <w:spacing w:after="0"/>
              <w:rPr>
                <w:sz w:val="12"/>
                <w:szCs w:val="12"/>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awards</w:t>
            </w: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16"/>
        </w:trPr>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(14.3)</w:t>
            </w:r>
          </w:p>
        </w:tc>
        <w:tc>
          <w:tcPr>
            <w:tcW w:w="16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(14.3)</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Balance as of June 30, 2015</w:t>
            </w:r>
          </w:p>
        </w:tc>
        <w:tc>
          <w:tcPr>
            <w:tcW w:w="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71.8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468.9</w:t>
            </w: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1,495.5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(74.5)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1,890.6</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9.5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4"/>
                <w:szCs w:val="14"/>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World Fuel</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60" w:type="dxa"/>
            <w:vAlign w:val="bottom"/>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7"/>
                <w:szCs w:val="17"/>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26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7"/>
                <w:szCs w:val="17"/>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w w:val="98"/>
              </w:rPr>
              <w:t>Shareholders'</w:t>
            </w:r>
          </w:p>
        </w:tc>
        <w:tc>
          <w:tcPr>
            <w:tcW w:w="32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2013</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495.2</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1,207.3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1,673.9</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w:t>
            </w:r>
          </w:p>
        </w:tc>
        <w:tc>
          <w:tcPr>
            <w:tcW w:w="0" w:type="dxa"/>
            <w:vAlign w:val="bottom"/>
          </w:tcPr>
          <w:p>
            <w:pPr>
              <w:spacing w:after="0"/>
              <w:rPr>
                <w:sz w:val="1"/>
                <w:szCs w:val="1"/>
                <w:color w:val="auto"/>
              </w:rPr>
            </w:pPr>
          </w:p>
        </w:tc>
      </w:tr>
      <w:tr>
        <w:trPr>
          <w:trHeight w:val="216"/>
        </w:trPr>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99.0</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99.0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dividends declared</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26"/>
        </w:trPr>
        <w:tc>
          <w:tcPr>
            <w:tcW w:w="29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Initial noncontrolling interest upon acquisition</w:t>
            </w: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 joint venture</w:t>
            </w: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share-based payment awards</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26"/>
        </w:trPr>
        <w:tc>
          <w:tcPr>
            <w:tcW w:w="29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 share-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based payment awards, including income tax</w:t>
            </w: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0.4</w:t>
            </w:r>
          </w:p>
        </w:tc>
        <w:tc>
          <w:tcPr>
            <w:tcW w:w="1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0.8</w:t>
            </w:r>
          </w:p>
        </w:tc>
        <w:tc>
          <w:tcPr>
            <w:tcW w:w="260" w:type="dxa"/>
            <w:vAlign w:val="bottom"/>
          </w:tcPr>
          <w:p>
            <w:pPr>
              <w:spacing w:after="0"/>
              <w:rPr>
                <w:sz w:val="12"/>
                <w:szCs w:val="12"/>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0.8</w:t>
            </w:r>
          </w:p>
        </w:tc>
        <w:tc>
          <w:tcPr>
            <w:tcW w:w="320" w:type="dxa"/>
            <w:vAlign w:val="bottom"/>
          </w:tcPr>
          <w:p>
            <w:pPr>
              <w:spacing w:after="0"/>
              <w:rPr>
                <w:sz w:val="12"/>
                <w:szCs w:val="12"/>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benefit of $0.8</w:t>
            </w: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Purchases of common stock tendered by</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employees to satisfy the required withholding</w:t>
            </w:r>
          </w:p>
        </w:tc>
        <w:tc>
          <w:tcPr>
            <w:tcW w:w="5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(4.3)</w:t>
            </w:r>
          </w:p>
        </w:tc>
        <w:tc>
          <w:tcPr>
            <w:tcW w:w="3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taxes related to share-based payment awards</w:t>
            </w:r>
          </w:p>
        </w:tc>
        <w:tc>
          <w:tcPr>
            <w:tcW w:w="5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8.9</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17"/>
        </w:trPr>
        <w:tc>
          <w:tcPr>
            <w:tcW w:w="2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June 30, 2014</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498.6</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1,301.0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1,779.9</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millions)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9"/>
        </w:trPr>
        <w:tc>
          <w:tcPr>
            <w:tcW w:w="6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6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income including noncontrolling interest</w:t>
            </w:r>
          </w:p>
        </w:tc>
        <w:tc>
          <w:tcPr>
            <w:tcW w:w="8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191"/>
        </w:trPr>
        <w:tc>
          <w:tcPr>
            <w:tcW w:w="646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Adjustments to reconcile net income including noncontrolling interest to net cash</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4"/>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bad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payment award compensation costs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Extinguishment of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losses,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16"/>
        </w:trPr>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collateral with financial counterparties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Non-current income tax, net and other long-term liabilities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6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of businesses, net of cash acquired and other investments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the sale of fixed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Escrow payment related to an assumed obligation of an acquired business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4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 of notes receivable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6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Borrowings of debt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2,977.3</w:t>
            </w: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Repayments of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(2,760.4)</w:t>
            </w: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of senior revolving credit facility and senior term loan facility loan costs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4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and state tax benefits resulting from tax deductions in excess of the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cost recognized for share-based payment awards</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198"/>
        </w:trPr>
        <w:tc>
          <w:tcPr>
            <w:tcW w:w="64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Purchases of common stock tendered by employees to satisfy the required withholding</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6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taxes related to share-based payment awards</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64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10"/>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as of beginning of period</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17"/>
        </w:trPr>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end of period</w:t>
            </w:r>
          </w:p>
        </w:tc>
        <w:tc>
          <w:tcPr>
            <w:tcW w:w="860" w:type="dxa"/>
            <w:vAlign w:val="bottom"/>
            <w:tcBorders>
              <w:bottom w:val="single" w:sz="8" w:color="auto"/>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dividends declared, but not yet paid, were $4.2 million as of June 30, 2015 and $2.7 million as of June 30, 2014.</w:t>
      </w:r>
    </w:p>
    <w:p>
      <w:pPr>
        <w:spacing w:after="0" w:line="225" w:lineRule="exact"/>
        <w:rPr>
          <w:sz w:val="20"/>
          <w:szCs w:val="20"/>
          <w:color w:val="auto"/>
        </w:rPr>
      </w:pPr>
    </w:p>
    <w:p>
      <w:pPr>
        <w:ind w:right="980" w:firstLine="243"/>
        <w:spacing w:after="0" w:line="282" w:lineRule="auto"/>
        <w:rPr>
          <w:sz w:val="20"/>
          <w:szCs w:val="20"/>
          <w:color w:val="auto"/>
        </w:rPr>
      </w:pPr>
      <w:r>
        <w:rPr>
          <w:rFonts w:ascii="Times New Roman" w:cs="Times New Roman" w:eastAsia="Times New Roman" w:hAnsi="Times New Roman"/>
          <w:sz w:val="18"/>
          <w:szCs w:val="18"/>
          <w:color w:val="auto"/>
        </w:rPr>
        <w:t>The proceeds from the sale of fixed assets for the six months ended June 30, 2015 were in connection with a sale-leaseback arrangement.</w:t>
      </w:r>
    </w:p>
    <w:p>
      <w:pPr>
        <w:spacing w:after="0" w:line="162" w:lineRule="exact"/>
        <w:rPr>
          <w:sz w:val="20"/>
          <w:szCs w:val="20"/>
          <w:color w:val="auto"/>
        </w:rPr>
      </w:pPr>
    </w:p>
    <w:p>
      <w:pPr>
        <w:ind w:right="980" w:firstLine="252"/>
        <w:spacing w:after="0" w:line="282" w:lineRule="auto"/>
        <w:rPr>
          <w:sz w:val="20"/>
          <w:szCs w:val="20"/>
          <w:color w:val="auto"/>
        </w:rPr>
      </w:pPr>
      <w:r>
        <w:rPr>
          <w:rFonts w:ascii="Times New Roman" w:cs="Times New Roman" w:eastAsia="Times New Roman" w:hAnsi="Times New Roman"/>
          <w:sz w:val="18"/>
          <w:szCs w:val="18"/>
          <w:color w:val="auto"/>
        </w:rPr>
        <w:t>In connection with our acquisitions, the following table presents the assets acquired, net of cash and liabilities assumed (in millions):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net of cash</w:t>
            </w: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8" w:name="page9"/>
    <w:bookmarkEnd w:id="8"/>
    <w:p>
      <w:pPr>
        <w:ind w:left="4"/>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jc w:val="center"/>
        <w:ind w:right="-3"/>
        <w:spacing w:after="0" w:line="203"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3"/>
        <w:spacing w:after="0"/>
        <w:rPr>
          <w:sz w:val="20"/>
          <w:szCs w:val="20"/>
          <w:color w:val="auto"/>
        </w:rPr>
      </w:pPr>
      <w:r>
        <w:rPr>
          <w:rFonts w:ascii="Times New Roman" w:cs="Times New Roman" w:eastAsia="Times New Roman" w:hAnsi="Times New Roman"/>
          <w:sz w:val="18"/>
          <w:szCs w:val="18"/>
          <w:color w:val="auto"/>
        </w:rPr>
        <w:t>(Unaudited)</w:t>
      </w:r>
    </w:p>
    <w:p>
      <w:pPr>
        <w:spacing w:after="0" w:line="120" w:lineRule="exact"/>
        <w:rPr>
          <w:sz w:val="20"/>
          <w:szCs w:val="20"/>
          <w:color w:val="auto"/>
        </w:rPr>
      </w:pPr>
    </w:p>
    <w:p>
      <w:pPr>
        <w:ind w:left="324" w:right="6100" w:hanging="324"/>
        <w:spacing w:after="0" w:line="459" w:lineRule="auto"/>
        <w:tabs>
          <w:tab w:leader="none" w:pos="31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Significant Accounting Policies Acquisitions</w:t>
      </w:r>
    </w:p>
    <w:p>
      <w:pPr>
        <w:spacing w:after="0" w:line="5" w:lineRule="exact"/>
        <w:rPr>
          <w:rFonts w:ascii="Times New Roman" w:cs="Times New Roman" w:eastAsia="Times New Roman" w:hAnsi="Times New Roman"/>
          <w:sz w:val="18"/>
          <w:szCs w:val="18"/>
          <w:b w:val="1"/>
          <w:bCs w:val="1"/>
          <w:color w:val="auto"/>
        </w:rPr>
      </w:pPr>
    </w:p>
    <w:p>
      <w:pPr>
        <w:ind w:left="3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2014 Acquisitions</w:t>
      </w:r>
    </w:p>
    <w:p>
      <w:pPr>
        <w:spacing w:after="0" w:line="229" w:lineRule="exact"/>
        <w:rPr>
          <w:sz w:val="20"/>
          <w:szCs w:val="20"/>
          <w:color w:val="auto"/>
        </w:rPr>
      </w:pPr>
    </w:p>
    <w:p>
      <w:pPr>
        <w:jc w:val="both"/>
        <w:ind w:left="4" w:right="20" w:firstLine="324"/>
        <w:spacing w:after="0" w:line="266" w:lineRule="auto"/>
        <w:rPr>
          <w:sz w:val="20"/>
          <w:szCs w:val="20"/>
          <w:color w:val="auto"/>
        </w:rPr>
      </w:pPr>
      <w:r>
        <w:rPr>
          <w:rFonts w:ascii="Times New Roman" w:cs="Times New Roman" w:eastAsia="Times New Roman" w:hAnsi="Times New Roman"/>
          <w:sz w:val="18"/>
          <w:szCs w:val="18"/>
          <w:color w:val="auto"/>
        </w:rPr>
        <w:t>On March 7, 2014, we completed the acquisition of all of the outstanding stock of Watson Petroleum Limited (now known as WFL (UK) Limited) (“Watson Petroleum”) a leading distributor of gasoline, diesel, heating oil, lubricants and other products and related services. Watson Petroleum is headquartered in Brinkworth, England and is one of the largest fuel distributors in the United Kingdom.</w:t>
      </w:r>
    </w:p>
    <w:p>
      <w:pPr>
        <w:spacing w:after="0" w:line="392" w:lineRule="exact"/>
        <w:rPr>
          <w:sz w:val="20"/>
          <w:szCs w:val="20"/>
          <w:color w:val="auto"/>
        </w:rPr>
      </w:pPr>
    </w:p>
    <w:p>
      <w:pPr>
        <w:jc w:val="both"/>
        <w:ind w:left="4"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unaudited pro forma results for 2014 as if the 2014 acquisitions had been completed on January 1, 2013 (in thousands, except per share data):</w:t>
      </w:r>
    </w:p>
    <w:p>
      <w:pPr>
        <w:spacing w:after="0" w:line="37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5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89" w:lineRule="exact"/>
        <w:rPr>
          <w:sz w:val="20"/>
          <w:szCs w:val="20"/>
          <w:color w:val="auto"/>
        </w:rPr>
      </w:pPr>
    </w:p>
    <w:p>
      <w:pPr>
        <w:jc w:val="both"/>
        <w:ind w:left="4" w:right="20" w:firstLine="324"/>
        <w:spacing w:after="0" w:line="235" w:lineRule="exact"/>
        <w:rPr>
          <w:sz w:val="20"/>
          <w:szCs w:val="20"/>
          <w:color w:val="auto"/>
        </w:rPr>
      </w:pPr>
      <w:r>
        <w:rPr>
          <w:rFonts w:ascii="Times New Roman" w:cs="Times New Roman" w:eastAsia="Times New Roman" w:hAnsi="Times New Roman"/>
          <w:sz w:val="18"/>
          <w:szCs w:val="18"/>
          <w:color w:val="auto"/>
        </w:rPr>
        <w:t>The significant accounting policies we use for quarterly financial reporting are the same as those disclosed in Note 1 of the “Notes to the Consolidated Financial Statements” included in our 2014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Report.</w:t>
      </w:r>
    </w:p>
    <w:p>
      <w:pPr>
        <w:spacing w:after="0" w:line="17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4"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first six months of 2015, we increased land segment goodwill by $1.0 million as a result of a reduction in identifiable intangible assets and an increase in property and equipment and reduced aviation segment goodwill by $5.2 million as a result of an increase in identifiable intangible assets and deferred tax liabilities and a reduction in purchase price based on our ongoing fair value assessment of certain of our 2014 acquisitions. Additionally, we had a goodwill increase of $0.6 million and goodwill decreases of $1.5 million and $0.7 million as a result of foreign currency translation adjustments of our non-U.S. dollar functional currency subsidiaries in our land, aviation and marine segments, respectively.</w:t>
      </w:r>
    </w:p>
    <w:p>
      <w:pPr>
        <w:spacing w:after="0" w:line="184"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left="4"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Inventory: Simplifying the Measurement of Inventory. </w:t>
      </w:r>
      <w:r>
        <w:rPr>
          <w:rFonts w:ascii="Times New Roman" w:cs="Times New Roman" w:eastAsia="Times New Roman" w:hAnsi="Times New Roman"/>
          <w:sz w:val="18"/>
          <w:szCs w:val="18"/>
          <w:color w:val="auto"/>
        </w:rPr>
        <w:t>In July 2015, the Financial Accounting Standards Board (“FASB”) issued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Update (“ASU”) which simplifies the guidance on the subsequent measurement of inventory by requiring inventory within the scope of this update to be measured at the lower of cost and net realizable value rather than the lower of cost or market. This update is effective at the beginning of our 2017 fiscal year. We are currently evaluating whether the adoption of this new guidance will have a significant impact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3"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Interest—Imputation of Interest: Simplifying the Presentation of Debt Issuance Costs. </w:t>
      </w:r>
      <w:r>
        <w:rPr>
          <w:rFonts w:ascii="Times New Roman" w:cs="Times New Roman" w:eastAsia="Times New Roman" w:hAnsi="Times New Roman"/>
          <w:sz w:val="18"/>
          <w:szCs w:val="18"/>
          <w:color w:val="auto"/>
        </w:rPr>
        <w:t>In April 2015, the FASB issued an ASU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This update is effective at the beginning of our 2016 fiscal year. We do not believe the adoption of this new guidance will have a significant impact on our consolidated financial statements and disclosures.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Consolidation: Amendments to the Consolidation Analysis. </w:t>
      </w:r>
      <w:r>
        <w:rPr>
          <w:rFonts w:ascii="Times New Roman" w:cs="Times New Roman" w:eastAsia="Times New Roman" w:hAnsi="Times New Roman"/>
          <w:sz w:val="18"/>
          <w:szCs w:val="18"/>
          <w:color w:val="auto"/>
        </w:rPr>
        <w:t>In February 2015, the FASB issued an ASU which is intended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targeted areas of consolidation guidance for legal entities such as limited partnerships, limited liability corporations, and securitization structures. This update is effective at the beginning of our 2016 fiscal year. We do not believe the adoption of this new guidance will have a significant impact on our consolidated financial statements and disclosures.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Statement-Extraordinary and Unusual Items: Simplifying Income Statement Presentation by Eliminating the Concept of Extraordinary Items. </w:t>
      </w:r>
      <w:r>
        <w:rPr>
          <w:rFonts w:ascii="Times New Roman" w:cs="Times New Roman" w:eastAsia="Times New Roman" w:hAnsi="Times New Roman"/>
          <w:sz w:val="18"/>
          <w:szCs w:val="18"/>
          <w:color w:val="auto"/>
        </w:rPr>
        <w:t>In January 2015, the FASB issued an ASU which eliminates from generally accepted accounting principles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the concept of extraordinary items. This update is effective at the beginning of our 2016 fiscal year. We do not believe the adoption of this new guidance will have a significant impact on our consolidated financial statements and disclosures.</w:t>
      </w:r>
    </w:p>
    <w:p>
      <w:pPr>
        <w:spacing w:after="0" w:line="18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Derivatives and Hedging: Determining Whether the Host Contract in a Hybrid Financial Instrument Issued in the Form of a Share Is More Akin to Debt or to Equity. </w:t>
      </w:r>
      <w:r>
        <w:rPr>
          <w:rFonts w:ascii="Times New Roman" w:cs="Times New Roman" w:eastAsia="Times New Roman" w:hAnsi="Times New Roman"/>
          <w:sz w:val="18"/>
          <w:szCs w:val="18"/>
          <w:color w:val="auto"/>
        </w:rPr>
        <w:t>In November 2014, the FASB issued an ASU which clarifies how current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in the United States should be interpreted in evaluating the economic characteristics and risks of a host contract in a hybrid financial instrument that is issued in the form of a share. This update is effective at the beginning of our 2016 fiscal year. We do not believe the adoption of this new guidance will have a significant impact on our consolidated financial statements and disclosures.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Presentation of Financial Statements-Going Concern: Disclosure of Uncertainties about an Entity’s Ability to Continue as a Going Concern. </w:t>
      </w:r>
      <w:r>
        <w:rPr>
          <w:rFonts w:ascii="Times New Roman" w:cs="Times New Roman" w:eastAsia="Times New Roman" w:hAnsi="Times New Roman"/>
          <w:sz w:val="18"/>
          <w:szCs w:val="18"/>
          <w:color w:val="auto"/>
        </w:rPr>
        <w:t>In August 2014, the FASB issued an ASU which requires management of the Company to evaluate whether there is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 about the Company’s ability to continue as a going concern. This update is effective at the beginning of our 2017 fiscal year. We do not believe the adoption of this new guidance will have an impact on our financial statement disclosures.</w:t>
      </w:r>
    </w:p>
    <w:p>
      <w:pPr>
        <w:spacing w:after="0" w:line="180"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Compensation-Stock Compensation. Accounting for Share-Based Payments When the Terms of an Award Provide That a Performance Target Could Be Achieved after the Requisite Service Period. </w:t>
      </w:r>
      <w:r>
        <w:rPr>
          <w:rFonts w:ascii="Times New Roman" w:cs="Times New Roman" w:eastAsia="Times New Roman" w:hAnsi="Times New Roman"/>
          <w:sz w:val="18"/>
          <w:szCs w:val="18"/>
          <w:color w:val="auto"/>
        </w:rPr>
        <w:t>In June 2014, the FASB issued an ASU which includes guidance that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performance target that affects vesting and that could be achieved after the requisite service period to be treated as a performance condition. This update is effective at the beginning of our 2016 fiscal year. We do not believe the adoption of this new guidance will have a significant impact on our consolidated financial statements and disclosures.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Transfers and Servicing: Repurchase-to-Maturity Transactions, Repurchase Financings, and Disclosures. </w:t>
      </w:r>
      <w:r>
        <w:rPr>
          <w:rFonts w:ascii="Times New Roman" w:cs="Times New Roman" w:eastAsia="Times New Roman" w:hAnsi="Times New Roman"/>
          <w:sz w:val="18"/>
          <w:szCs w:val="18"/>
          <w:color w:val="auto"/>
        </w:rPr>
        <w:t>In June 2014,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 ASU which changes the accounting for repurchase-to-maturity transactions and repurchase financing arrangements. It also requires additional disclosures about repurchase agreements and other similar transactions. This update became effective at the beginning of our 2015 fiscal year. The adoption of this ASU did not have a significant impact on our consolidated financial statements and disclosures.</w:t>
      </w:r>
    </w:p>
    <w:p>
      <w:pPr>
        <w:spacing w:after="0" w:line="18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In May 2014, the FASB issued an ASU which provides guidance for revenue recognition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entity that either enters into contracts with customers to transfer goods or services or enters into contracts for the transfer of non-financial assets. The ASU will replace most existing revenue recognition guidance in generally accepted accounting principles in the United States when it becomes effective. This update is effective at the beginning of our 2018 fiscal year. We are currently evaluating whether the adoption of this new guidance will have a significant impact on our consolidated financial statements and disclosures.</w:t>
      </w:r>
    </w:p>
    <w:p>
      <w:pPr>
        <w:spacing w:after="0" w:line="180"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Presentation of Financial Statements and Property, Plant, and Equipment: Reporting Discontinued Operations and Disclosures of Disposals of Components of an Entity. </w:t>
      </w:r>
      <w:r>
        <w:rPr>
          <w:rFonts w:ascii="Times New Roman" w:cs="Times New Roman" w:eastAsia="Times New Roman" w:hAnsi="Times New Roman"/>
          <w:sz w:val="18"/>
          <w:szCs w:val="18"/>
          <w:color w:val="auto"/>
        </w:rPr>
        <w:t>In April 2014, the FASB issued an ASU which changes the criteria for reporting discontinued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enhances disclosures in this area. It also addresses sources of confusion and inconsistent application related to financial reporting of discontinued operations guidance. This update became effective at the beginning of our 2015 fiscal year. The adoption of this ASU did not have a significant impact on our consolidated financial statements and disclosures.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period’s presentation.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accounts payable and accrued expenses and other current liabilities approximate fair value based on the short-term maturities of these instruments. Fair value for our debt and notes receivable is derived using a discounted cash flow valuation methodology. The carrying values of these instruments approximate fair value since these instruments bear interest either at variable rates or fixed rates which are not significantly different than market rates. Based on the fair value hierarchy, our debt of $773.8 million and $689.9 million as of June 30, 2015 and December 31, 2014, respectively, and our notes receivable of $8.5 million and $7.0 million as of June 30, 2015 and December 31, 2014, respectively, are categorized in Level 3.</w:t>
      </w:r>
    </w:p>
    <w:p>
      <w:pPr>
        <w:spacing w:after="0" w:line="188" w:lineRule="exact"/>
        <w:rPr>
          <w:sz w:val="20"/>
          <w:szCs w:val="20"/>
          <w:color w:val="auto"/>
        </w:rPr>
      </w:pPr>
    </w:p>
    <w:p>
      <w:pPr>
        <w:jc w:val="both"/>
        <w:ind w:firstLine="28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assets and liabilities that are measured at estimated fair value on a recurring basis (in millions):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and</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9"/>
        </w:trPr>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June 30, 2015</w:t>
            </w:r>
          </w:p>
        </w:tc>
        <w:tc>
          <w:tcPr>
            <w:tcW w:w="19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0"/>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97.2</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393.2</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490.9</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(355.1)</w:t>
            </w:r>
          </w:p>
        </w:tc>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r>
      <w:tr>
        <w:trPr>
          <w:trHeight w:val="216"/>
        </w:trPr>
        <w:tc>
          <w:tcPr>
            <w:tcW w:w="3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16"/>
        </w:trPr>
        <w:tc>
          <w:tcPr>
            <w:tcW w:w="3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Cash surrender value of life insurance</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7"/>
        </w:trPr>
        <w:tc>
          <w:tcPr>
            <w:tcW w:w="3140" w:type="dxa"/>
            <w:vAlign w:val="bottom"/>
            <w:tcBorders>
              <w:bottom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97.2</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401.7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499.4</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(360.7)</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r>
      <w:tr>
        <w:trPr>
          <w:trHeight w:val="216"/>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168.0</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296.4</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464.8</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(433.8)</w:t>
            </w:r>
          </w:p>
        </w:tc>
        <w:tc>
          <w:tcPr>
            <w:tcW w:w="4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216"/>
        </w:trPr>
        <w:tc>
          <w:tcPr>
            <w:tcW w:w="3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8.6</w:t>
            </w:r>
          </w:p>
        </w:tc>
        <w:tc>
          <w:tcPr>
            <w:tcW w:w="32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16"/>
        </w:trPr>
        <w:tc>
          <w:tcPr>
            <w:tcW w:w="314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10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17"/>
        </w:trPr>
        <w:tc>
          <w:tcPr>
            <w:tcW w:w="31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168.0</w:t>
            </w: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308.1</w:t>
            </w: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476.5</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(439.4)</w:t>
            </w:r>
          </w:p>
        </w:tc>
        <w:tc>
          <w:tcPr>
            <w:tcW w:w="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03"/>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As of December 31, 2014</w:t>
            </w:r>
          </w:p>
        </w:tc>
        <w:tc>
          <w:tcPr>
            <w:tcW w:w="1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0"/>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173.7</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495.6</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673.5</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(368.0)</w:t>
            </w:r>
          </w:p>
        </w:tc>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r>
      <w:tr>
        <w:trPr>
          <w:trHeight w:val="216"/>
        </w:trPr>
        <w:tc>
          <w:tcPr>
            <w:tcW w:w="3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16"/>
        </w:trPr>
        <w:tc>
          <w:tcPr>
            <w:tcW w:w="3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Cash surrender value of life insurance</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17"/>
        </w:trPr>
        <w:tc>
          <w:tcPr>
            <w:tcW w:w="3140" w:type="dxa"/>
            <w:vAlign w:val="bottom"/>
            <w:tcBorders>
              <w:bottom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519.6</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697.5</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(380.0)</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w:t>
            </w:r>
          </w:p>
        </w:tc>
      </w:tr>
      <w:tr>
        <w:trPr>
          <w:trHeight w:val="216"/>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306.4</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329.9</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637.6</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(595.6)</w:t>
            </w:r>
          </w:p>
        </w:tc>
        <w:tc>
          <w:tcPr>
            <w:tcW w:w="4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216"/>
        </w:trPr>
        <w:tc>
          <w:tcPr>
            <w:tcW w:w="3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w:t>
            </w:r>
          </w:p>
        </w:tc>
        <w:tc>
          <w:tcPr>
            <w:tcW w:w="32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2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14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10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22.9</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217"/>
        </w:trPr>
        <w:tc>
          <w:tcPr>
            <w:tcW w:w="31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306.4</w:t>
            </w: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364.8</w:t>
            </w: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672.5</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(607.6)</w:t>
            </w:r>
          </w:p>
        </w:tc>
        <w:tc>
          <w:tcPr>
            <w:tcW w:w="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cash surrender value of life insurance is in connection with the non-qualified deferred compensation plan and was included in identifiable intangible and other non-current assets in the accompanying consolidated balance sheets.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balance sheet location of our commodity and foreign currency contracts net assets and liabilities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8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7"/>
              </w:rPr>
              <w:t>Commodity Contracts</w:t>
            </w:r>
          </w:p>
        </w:tc>
        <w:tc>
          <w:tcPr>
            <w:tcW w:w="3840" w:type="dxa"/>
            <w:vAlign w:val="bottom"/>
            <w:tcBorders>
              <w:bottom w:val="single" w:sz="8" w:color="CCEEFF"/>
            </w:tcBorders>
            <w:gridSpan w:val="2"/>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129.0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1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135.8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net liabilities</w:t>
            </w:r>
          </w:p>
        </w:tc>
        <w:tc>
          <w:tcPr>
            <w:tcW w:w="19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Foreign Currency Contracts</w:t>
            </w: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Assets: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19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Liabilities: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liabilities</w:t>
            </w:r>
          </w:p>
        </w:tc>
        <w:tc>
          <w:tcPr>
            <w:tcW w:w="1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June 30, 2015, we had $151.8 million of cash collateral deposits held by financial counterparties, of which $96.9 million have been offset against the total amount of commodity fair value liabilities in the above table and the remaining $54.9 million is included in other current assets in the accompanying consolidated balance sheets. In addition, as of June 30, 2015, we have offset $18.2 million of cash collateral deposits received from customers against the total amount of commodity fair value assets in the above table. As of December 31, 2014, we had $301.0 million of cash collateral deposits held by financial counterparties, of which $274.3 million have been offset against the total amount of commodity fair value liabilities in the above table and the remaining $26.7 million is included in other current assets in the accompanying consolidated balance sheets. In addition, as of December 31, 2014, we have offset $46.7 million of cash collateral deposits received from customers against the total amount of commodity fair value assets in the above 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2" w:name="page13"/>
    <w:bookmarkEnd w:id="12"/>
    <w:p>
      <w:pPr>
        <w:ind w:left="4"/>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The following table presents information about our assets and liabilities that are measured at fair value on a recurring basis that utilized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Level 3 inputs for the periods presented (in millions):</w:t>
      </w:r>
    </w:p>
    <w:p>
      <w:pPr>
        <w:spacing w:after="0" w:line="200" w:lineRule="exact"/>
        <w:rPr>
          <w:sz w:val="20"/>
          <w:szCs w:val="20"/>
          <w:color w:val="auto"/>
        </w:rPr>
      </w:pPr>
    </w:p>
    <w:p>
      <w:pPr>
        <w:spacing w:after="0" w:line="21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Realized and</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Change in Unrealized</w:t>
            </w:r>
          </w:p>
        </w:tc>
        <w:tc>
          <w:tcPr>
            <w:tcW w:w="12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and 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860" w:type="dxa"/>
            <w:vAlign w:val="bottom"/>
          </w:tcPr>
          <w:p>
            <w:pPr>
              <w:jc w:val="right"/>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End</w:t>
            </w:r>
          </w:p>
        </w:tc>
        <w:tc>
          <w:tcPr>
            <w:tcW w:w="200" w:type="dxa"/>
            <w:vAlign w:val="bottom"/>
          </w:tcPr>
          <w:p>
            <w:pPr>
              <w:spacing w:after="0"/>
              <w:rPr>
                <w:sz w:val="12"/>
                <w:szCs w:val="12"/>
                <w:color w:val="auto"/>
              </w:rPr>
            </w:pPr>
          </w:p>
        </w:tc>
        <w:tc>
          <w:tcPr>
            <w:tcW w:w="1500" w:type="dxa"/>
            <w:vAlign w:val="bottom"/>
          </w:tcPr>
          <w:p>
            <w:pPr>
              <w:jc w:val="right"/>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Relating to Assets and</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3"/>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Included in</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3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that are</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(Losses)Included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Held at end of Period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Earnings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Three months ended June 30, 2015</w:t>
            </w: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Assets:</w:t>
            </w:r>
          </w:p>
        </w:tc>
        <w:tc>
          <w:tcPr>
            <w:tcW w:w="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Commodity contracts</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0.4</w:t>
            </w: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Liabilities:</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Commodity contracts</w:t>
            </w: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(0.1)</w:t>
            </w:r>
          </w:p>
        </w:tc>
        <w:tc>
          <w:tcPr>
            <w:tcW w:w="4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(0.1)</w:t>
            </w:r>
          </w:p>
        </w:tc>
        <w:tc>
          <w:tcPr>
            <w:tcW w:w="1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revenue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3"/>
          </w:tcPr>
          <w:p>
            <w:pPr>
              <w:spacing w:after="0" w:line="176" w:lineRule="exact"/>
              <w:rPr>
                <w:sz w:val="20"/>
                <w:szCs w:val="20"/>
                <w:color w:val="auto"/>
              </w:rPr>
            </w:pPr>
            <w:r>
              <w:rPr>
                <w:rFonts w:ascii="Times New Roman" w:cs="Times New Roman" w:eastAsia="Times New Roman" w:hAnsi="Times New Roman"/>
                <w:sz w:val="16"/>
                <w:szCs w:val="16"/>
                <w:color w:val="auto"/>
              </w:rPr>
              <w:t>Three months ended June 30, 2014</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Commodity contracts</w:t>
            </w: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5.8</w:t>
            </w: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Six months ended June 30, 2015</w:t>
            </w: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Assets:</w:t>
            </w:r>
          </w:p>
        </w:tc>
        <w:tc>
          <w:tcPr>
            <w:tcW w:w="72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Commodity contracts</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0.8</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Liabilities:</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Commodity contracts</w:t>
            </w: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0.4</w:t>
            </w:r>
          </w:p>
        </w:tc>
        <w:tc>
          <w:tcPr>
            <w:tcW w:w="4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0.7</w:t>
            </w:r>
          </w:p>
        </w:tc>
        <w:tc>
          <w:tcPr>
            <w:tcW w:w="1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revenue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3"/>
          </w:tcPr>
          <w:p>
            <w:pPr>
              <w:spacing w:after="0" w:line="176" w:lineRule="exact"/>
              <w:rPr>
                <w:sz w:val="20"/>
                <w:szCs w:val="20"/>
                <w:color w:val="auto"/>
              </w:rPr>
            </w:pPr>
            <w:r>
              <w:rPr>
                <w:rFonts w:ascii="Times New Roman" w:cs="Times New Roman" w:eastAsia="Times New Roman" w:hAnsi="Times New Roman"/>
                <w:sz w:val="16"/>
                <w:szCs w:val="16"/>
                <w:color w:val="auto"/>
              </w:rPr>
              <w:t>Six months ended June 30, 2014</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Commodity contracts</w:t>
            </w: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5.8</w:t>
            </w: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 w:right="20" w:firstLine="324"/>
        <w:spacing w:after="0" w:line="258" w:lineRule="auto"/>
        <w:rPr>
          <w:sz w:val="20"/>
          <w:szCs w:val="20"/>
          <w:color w:val="auto"/>
        </w:rPr>
      </w:pPr>
      <w:r>
        <w:rPr>
          <w:rFonts w:ascii="Times New Roman" w:cs="Times New Roman" w:eastAsia="Times New Roman" w:hAnsi="Times New Roman"/>
          <w:sz w:val="18"/>
          <w:szCs w:val="18"/>
          <w:color w:val="auto"/>
        </w:rPr>
        <w:t>The nature of inputs that are considered Level 3 are modeled inputs. Commodity contracts categorized in Level 3 are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 related to non-performance. The effect on our income before income taxes of a 10% change in the model input for non-performance risk would not be significant. There were no transfers between Level 1, 2 or 3 during the periods presented.</w:t>
      </w:r>
    </w:p>
    <w:p>
      <w:pPr>
        <w:spacing w:after="0" w:line="180" w:lineRule="exact"/>
        <w:rPr>
          <w:sz w:val="20"/>
          <w:szCs w:val="20"/>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ind w:left="4" w:firstLine="324"/>
        <w:spacing w:after="0" w:line="254" w:lineRule="auto"/>
        <w:rPr>
          <w:sz w:val="20"/>
          <w:szCs w:val="20"/>
          <w:color w:val="auto"/>
        </w:rPr>
      </w:pPr>
      <w:r>
        <w:rPr>
          <w:rFonts w:ascii="Times New Roman" w:cs="Times New Roman" w:eastAsia="Times New Roman" w:hAnsi="Times New Roman"/>
          <w:sz w:val="18"/>
          <w:szCs w:val="18"/>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86"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The following describes our derivative classifications:</w:t>
      </w:r>
    </w:p>
    <w:p>
      <w:pPr>
        <w:spacing w:after="0" w:line="223" w:lineRule="exact"/>
        <w:rPr>
          <w:sz w:val="20"/>
          <w:szCs w:val="20"/>
          <w:color w:val="auto"/>
        </w:rPr>
      </w:pPr>
    </w:p>
    <w:p>
      <w:pPr>
        <w:jc w:val="both"/>
        <w:ind w:left="4"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Includes certain of our foreign currency forward contracts we enter into in order to mitigate the risk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 fluctuations.</w:t>
      </w:r>
    </w:p>
    <w:p>
      <w:pPr>
        <w:spacing w:after="0" w:line="158" w:lineRule="exact"/>
        <w:rPr>
          <w:sz w:val="20"/>
          <w:szCs w:val="20"/>
          <w:color w:val="auto"/>
        </w:rPr>
      </w:pPr>
    </w:p>
    <w:p>
      <w:pPr>
        <w:jc w:val="both"/>
        <w:ind w:left="4"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Hedges. </w:t>
      </w:r>
      <w:r>
        <w:rPr>
          <w:rFonts w:ascii="Times New Roman" w:cs="Times New Roman" w:eastAsia="Times New Roman" w:hAnsi="Times New Roman"/>
          <w:sz w:val="18"/>
          <w:szCs w:val="18"/>
          <w:color w:val="auto"/>
        </w:rPr>
        <w:t>Includes derivatives we enter into in order to hedge price risk associated with our inventory and certain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relating to fixed price purchase and sale contracts.</w:t>
      </w:r>
    </w:p>
    <w:p>
      <w:pPr>
        <w:spacing w:after="0" w:line="158" w:lineRule="exact"/>
        <w:rPr>
          <w:sz w:val="20"/>
          <w:szCs w:val="20"/>
          <w:color w:val="auto"/>
        </w:rPr>
      </w:pPr>
    </w:p>
    <w:p>
      <w:pPr>
        <w:jc w:val="both"/>
        <w:ind w:left="4"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Non-designated Derivatives. </w:t>
      </w:r>
      <w:r>
        <w:rPr>
          <w:rFonts w:ascii="Times New Roman" w:cs="Times New Roman" w:eastAsia="Times New Roman" w:hAnsi="Times New Roman"/>
          <w:sz w:val="18"/>
          <w:szCs w:val="18"/>
          <w:color w:val="auto"/>
        </w:rPr>
        <w:t>Includes derivatives we primarily enter into in order to mitigate the risk of market price fluctuations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aviation, marine and land fuel in the form of swaps or futures as well as certain fixed price purchase and sale contracts and proprietary trading. In addition, non-designated derivatives are also entered into to hedge the risk of currency rate fluctuations.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2015, our derivative instruments, at their respective fair value positions were as follows (in millions, except weighted average fixed price and weighted average mark-to-market amount):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Mark-to-</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Hedge Strategy</w:t>
            </w: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3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Unit</w:t>
            </w:r>
          </w:p>
        </w:tc>
        <w:tc>
          <w:tcPr>
            <w:tcW w:w="2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8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Fixed Price</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Hedge</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Commodity contracts for inventory hedging</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BBL</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53.090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0.611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6"/>
        </w:trPr>
        <w:tc>
          <w:tcPr>
            <w:tcW w:w="1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2016</w:t>
            </w:r>
          </w:p>
        </w:tc>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Commodity contracts for inventory hedging</w:t>
            </w:r>
          </w:p>
        </w:tc>
        <w:tc>
          <w:tcPr>
            <w:tcW w:w="108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BBL</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82.308</w:t>
            </w:r>
          </w:p>
        </w:tc>
        <w:tc>
          <w:tcPr>
            <w:tcW w:w="2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0"/>
        </w:trPr>
        <w:tc>
          <w:tcPr>
            <w:tcW w:w="1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30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Non-Designated</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BBL</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48.561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BBL</w:t>
            </w: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61.486</w:t>
            </w:r>
          </w:p>
        </w:tc>
        <w:tc>
          <w:tcPr>
            <w:tcW w:w="28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3.238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2016</w:t>
            </w: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BBL</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47.520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2016</w:t>
            </w: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BBL</w:t>
            </w: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59.020</w:t>
            </w:r>
          </w:p>
        </w:tc>
        <w:tc>
          <w:tcPr>
            <w:tcW w:w="28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1.150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2017</w:t>
            </w: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BBL</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28.350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2017</w:t>
            </w: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BBL</w:t>
            </w: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28.570</w:t>
            </w:r>
          </w:p>
        </w:tc>
        <w:tc>
          <w:tcPr>
            <w:tcW w:w="28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1.750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2018</w:t>
            </w: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BBL</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84.000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AUD</w:t>
            </w: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0.774</w:t>
            </w:r>
          </w:p>
        </w:tc>
        <w:tc>
          <w:tcPr>
            <w:tcW w:w="28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1,898.3</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CLP</w:t>
            </w: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626.065</w:t>
            </w:r>
          </w:p>
        </w:tc>
        <w:tc>
          <w:tcPr>
            <w:tcW w:w="28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0.000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40,853.2</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COP</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2,516.788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52.4</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EUR</w:t>
            </w: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1.105</w:t>
            </w:r>
          </w:p>
        </w:tc>
        <w:tc>
          <w:tcPr>
            <w:tcW w:w="28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137.5</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GBP</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(0.011)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2,372.2</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MXN</w:t>
            </w: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15.371</w:t>
            </w:r>
          </w:p>
        </w:tc>
        <w:tc>
          <w:tcPr>
            <w:tcW w:w="28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33.0</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SEK</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8.566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65.7</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SGD</w:t>
            </w: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1.345</w:t>
            </w:r>
          </w:p>
        </w:tc>
        <w:tc>
          <w:tcPr>
            <w:tcW w:w="28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120.2</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ZAR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12.201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2016</w:t>
            </w:r>
          </w:p>
        </w:tc>
        <w:tc>
          <w:tcPr>
            <w:tcW w:w="3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27.3</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GBP</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1.552</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(0.018)</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7"/>
        </w:trPr>
        <w:tc>
          <w:tcPr>
            <w:tcW w:w="1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0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derivative instruments measured at fair value and their locations on the consolidated balance sheets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7"/>
              </w:rPr>
              <w:t>Derivative assets:</w:t>
            </w:r>
          </w:p>
        </w:tc>
        <w:tc>
          <w:tcPr>
            <w:tcW w:w="1040" w:type="dxa"/>
            <w:vAlign w:val="bottom"/>
            <w:tcBorders>
              <w:bottom w:val="single" w:sz="8" w:color="CCEEFF"/>
            </w:tcBorders>
            <w:gridSpan w:val="2"/>
            <w:shd w:val="clear" w:color="auto" w:fill="CCEEFF"/>
          </w:tcPr>
          <w:p>
            <w:pPr>
              <w:spacing w:after="0"/>
              <w:rPr>
                <w:sz w:val="16"/>
                <w:szCs w:val="16"/>
                <w:color w:val="auto"/>
              </w:rPr>
            </w:pPr>
          </w:p>
        </w:tc>
        <w:tc>
          <w:tcPr>
            <w:tcW w:w="4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9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272.6</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200.3</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9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491.1</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496.9</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Derivative liabilities:</w:t>
            </w:r>
          </w:p>
        </w:tc>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128.9</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326.4</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6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9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471.0</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473.4</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Realized and Unrealized</w:t>
            </w:r>
          </w:p>
        </w:tc>
        <w:tc>
          <w:tcPr>
            <w:tcW w:w="1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Realized and Unrealized</w:t>
            </w:r>
          </w:p>
        </w:tc>
        <w:tc>
          <w:tcPr>
            <w:tcW w:w="0" w:type="dxa"/>
            <w:vAlign w:val="bottom"/>
          </w:tcPr>
          <w:p>
            <w:pPr>
              <w:spacing w:after="0"/>
              <w:rPr>
                <w:sz w:val="1"/>
                <w:szCs w:val="1"/>
                <w:color w:val="auto"/>
              </w:rPr>
            </w:pPr>
          </w:p>
        </w:tc>
      </w:tr>
      <w:tr>
        <w:trPr>
          <w:trHeight w:val="199"/>
        </w:trPr>
        <w:tc>
          <w:tcPr>
            <w:tcW w:w="2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5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1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Three months ended June 30,</w:t>
            </w:r>
          </w:p>
        </w:tc>
        <w:tc>
          <w:tcPr>
            <w:tcW w:w="16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1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1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Six months ended June 30,</w:t>
            </w:r>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1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1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gains or losses for the three and six months ended June 30, 2015 and 2014 that were excluded from the assessment of the effectiveness of our fair value hedges.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cash flow hedging activities during the three and six months ended June 30, 2015 and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5" w:name="page16"/>
    <w:bookmarkEnd w:id="15"/>
    <w:p>
      <w:pPr>
        <w:ind w:left="4"/>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236"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 and Unrealized</w:t>
            </w:r>
          </w:p>
        </w:tc>
        <w:tc>
          <w:tcPr>
            <w:tcW w:w="0" w:type="dxa"/>
            <w:vAlign w:val="bottom"/>
          </w:tcPr>
          <w:p>
            <w:pPr>
              <w:spacing w:after="0"/>
              <w:rPr>
                <w:sz w:val="1"/>
                <w:szCs w:val="1"/>
                <w:color w:val="auto"/>
              </w:rPr>
            </w:pPr>
          </w:p>
        </w:tc>
      </w:tr>
      <w:tr>
        <w:trPr>
          <w:trHeight w:val="199"/>
        </w:trPr>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362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Three months ended June 30,</w:t>
            </w:r>
          </w:p>
        </w:tc>
        <w:tc>
          <w:tcPr>
            <w:tcW w:w="90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6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25.4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6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6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62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Six months ended June 30,</w:t>
            </w:r>
          </w:p>
        </w:tc>
        <w:tc>
          <w:tcPr>
            <w:tcW w:w="3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6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46.0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6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(28.1)</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6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6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6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21.6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 w:right="20" w:firstLine="324"/>
        <w:spacing w:after="0" w:line="254" w:lineRule="auto"/>
        <w:rPr>
          <w:sz w:val="20"/>
          <w:szCs w:val="20"/>
          <w:color w:val="auto"/>
        </w:rPr>
      </w:pPr>
      <w:r>
        <w:rPr>
          <w:rFonts w:ascii="Times New Roman" w:cs="Times New Roman" w:eastAsia="Times New Roman" w:hAnsi="Times New Roman"/>
          <w:sz w:val="18"/>
          <w:szCs w:val="18"/>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As of June 30, 2015, the net liability position for such contracts is $35.9 million, the collateral posted is $28.9 million and the amount of assets required to be posted and/or to settle the positions should a credit-risk contingent feature be triggered is $7.0 million. As of December 31, 2014, the net liability position for such contracts is $111.7 million, the collateral posted is $89.4 million and the amount of assets required to be posted and/or to settle the positions should a credit-risk contingent feature be triggered is $22.3 million.</w:t>
      </w:r>
    </w:p>
    <w:p>
      <w:pPr>
        <w:spacing w:after="0" w:line="185" w:lineRule="exact"/>
        <w:rPr>
          <w:sz w:val="20"/>
          <w:szCs w:val="20"/>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Income, Expense and Other Financing Costs</w:t>
      </w:r>
    </w:p>
    <w:p>
      <w:pPr>
        <w:spacing w:after="0" w:line="229" w:lineRule="exact"/>
        <w:rPr>
          <w:sz w:val="20"/>
          <w:szCs w:val="20"/>
          <w:color w:val="auto"/>
        </w:rPr>
      </w:pPr>
    </w:p>
    <w:p>
      <w:pPr>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our interest (expense) income, and other financing costs, net, for the periods presented (in millions):</w:t>
      </w: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9"/>
        </w:trPr>
        <w:tc>
          <w:tcPr>
            <w:tcW w:w="4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4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other financing costs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7"/>
        </w:trPr>
        <w:tc>
          <w:tcPr>
            <w:tcW w:w="43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6" w:name="page17"/>
    <w:bookmarkEnd w:id="16"/>
    <w:p>
      <w:pPr>
        <w:ind w:left="4"/>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4" w:right="7260" w:hanging="324"/>
        <w:spacing w:after="0" w:line="502" w:lineRule="auto"/>
        <w:tabs>
          <w:tab w:leader="none" w:pos="31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left="3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Lac-Megantic, Quebec</w:t>
      </w:r>
    </w:p>
    <w:p>
      <w:pPr>
        <w:spacing w:after="0" w:line="227" w:lineRule="exact"/>
        <w:rPr>
          <w:sz w:val="20"/>
          <w:szCs w:val="20"/>
          <w:color w:val="auto"/>
        </w:rPr>
      </w:pPr>
    </w:p>
    <w:p>
      <w:pPr>
        <w:jc w:val="both"/>
        <w:ind w:left="4" w:firstLine="324"/>
        <w:spacing w:after="0" w:line="255" w:lineRule="auto"/>
        <w:rPr>
          <w:sz w:val="20"/>
          <w:szCs w:val="20"/>
          <w:color w:val="auto"/>
        </w:rPr>
      </w:pPr>
      <w:r>
        <w:rPr>
          <w:rFonts w:ascii="Times New Roman" w:cs="Times New Roman" w:eastAsia="Times New Roman" w:hAnsi="Times New Roman"/>
          <w:sz w:val="18"/>
          <w:szCs w:val="18"/>
          <w:color w:val="auto"/>
        </w:rPr>
        <w:t>As described in Part II — Item 1 of this 10-Q Report, various lawsuits have been filed against us and other third parties related to the July 2013 train derailment in Lac-Mégantic, Quebec (the “Derailment”). On June 8, 2015, we entered into a settlement agreement (the “Settlement Agreement”) with the Trustee (the “Trustee”) for the U.S. bankruptcy estate of Montreal, Maine &amp; Atlantic Railway, Ltd., Montreal, Maine and Atlantic Canada Co. (“MMAC”), and the monitor (the “Monitor”) in MMAC’s Canadian bankruptcy (collectively, the “MMA Parties”) to resolve all claims arising out of the Derailment. Under the terms of the Settlement Agreement, we will contribute US$110 million (the “Settlement Payment”) to a compensation fund established to compensate parties who suffered losses as a result of the Derailment. As part of the settlement, we will also assign to the Trustee and MMAC certain claims we have against third parties arising out of the Derailment.</w:t>
      </w:r>
    </w:p>
    <w:p>
      <w:pPr>
        <w:spacing w:after="0" w:line="185" w:lineRule="exact"/>
        <w:rPr>
          <w:sz w:val="20"/>
          <w:szCs w:val="20"/>
          <w:color w:val="auto"/>
        </w:rPr>
      </w:pPr>
    </w:p>
    <w:p>
      <w:pPr>
        <w:jc w:val="both"/>
        <w:ind w:left="4" w:firstLine="324"/>
        <w:spacing w:after="0" w:line="256" w:lineRule="auto"/>
        <w:rPr>
          <w:sz w:val="20"/>
          <w:szCs w:val="20"/>
          <w:color w:val="auto"/>
        </w:rPr>
      </w:pPr>
      <w:r>
        <w:rPr>
          <w:rFonts w:ascii="Times New Roman" w:cs="Times New Roman" w:eastAsia="Times New Roman" w:hAnsi="Times New Roman"/>
          <w:sz w:val="18"/>
          <w:szCs w:val="18"/>
          <w:color w:val="auto"/>
        </w:rPr>
        <w:t>In consideration of the Settlement Payment and the assignment of claims to the Trustee and MMAC, we, as well as our former joint ventures, DPTS Marketing, LLC and Dakota Petroleum Transport Solutions, LLC and each of their affiliates (collectively, the “WFS Parties”), will receive the benefit of the global releases and injunctions set forth in the respective bankruptcy plans filed by the Trustee in the U.S. and by MMAC in Canada (the “U.S. Bankruptcy Plan” and the “CCAA Plan” respectively, each a “Plan” and collectively the “Plans”). The effect of these global releases and injunctions will be to bar all claims which may exist now or in the future against the WFS Parties arising out of the Derailment, other than criminal claims which by law may not be released.</w:t>
      </w:r>
    </w:p>
    <w:p>
      <w:pPr>
        <w:spacing w:after="0" w:line="188" w:lineRule="exact"/>
        <w:rPr>
          <w:sz w:val="20"/>
          <w:szCs w:val="20"/>
          <w:color w:val="auto"/>
        </w:rPr>
      </w:pPr>
    </w:p>
    <w:p>
      <w:pPr>
        <w:jc w:val="both"/>
        <w:ind w:left="4" w:right="20" w:firstLine="324"/>
        <w:spacing w:after="0" w:line="261" w:lineRule="auto"/>
        <w:rPr>
          <w:sz w:val="20"/>
          <w:szCs w:val="20"/>
          <w:color w:val="auto"/>
        </w:rPr>
      </w:pPr>
      <w:r>
        <w:rPr>
          <w:rFonts w:ascii="Times New Roman" w:cs="Times New Roman" w:eastAsia="Times New Roman" w:hAnsi="Times New Roman"/>
          <w:sz w:val="18"/>
          <w:szCs w:val="18"/>
          <w:color w:val="auto"/>
        </w:rPr>
        <w:t>Neither the releases and injunctions set forth in the Plans nor our obligation to make the Settlement Payment will be effective unless and until the Plans are approved by creditors in both the U.S. and Canadian bankruptcies, an order sanctioning the CCAA Plan and confirming the U.S. Bankruptcy Plan is issued by the Canadian and U.S. bankruptcy courts, respectively, and each order becomes final and non-appealable (“Final Approval”).</w:t>
      </w:r>
    </w:p>
    <w:p>
      <w:pPr>
        <w:spacing w:after="0" w:line="180" w:lineRule="exact"/>
        <w:rPr>
          <w:sz w:val="20"/>
          <w:szCs w:val="20"/>
          <w:color w:val="auto"/>
        </w:rPr>
      </w:pPr>
    </w:p>
    <w:p>
      <w:pPr>
        <w:jc w:val="both"/>
        <w:ind w:left="4" w:right="20" w:firstLine="436"/>
        <w:spacing w:after="0" w:line="258" w:lineRule="auto"/>
        <w:rPr>
          <w:sz w:val="20"/>
          <w:szCs w:val="20"/>
          <w:color w:val="auto"/>
        </w:rPr>
      </w:pPr>
      <w:r>
        <w:rPr>
          <w:rFonts w:ascii="Times New Roman" w:cs="Times New Roman" w:eastAsia="Times New Roman" w:hAnsi="Times New Roman"/>
          <w:sz w:val="18"/>
          <w:szCs w:val="18"/>
          <w:color w:val="auto"/>
        </w:rPr>
        <w:t>The CCAA Plan has been approved by creditors and by the bankruptcy court in Canada. The court order approving the CCAA Plan remains subject to potential appeal. Creditors in the U.S. bankruptcy have not yet voted on the U.S. Bankruptcy Plan. In addition, the U.S. bankruptcy court has not yet issued a ruling on the U.S. Bankruptcy Plan, which Plan remains subject to challenge by third parties. As a result, Final Approval of the Plans and the related timing remain uncertain. For additional information regarding legal proceedings related to the Derailment, see our 2014 10-K Report and Part II — Item 1 of this 10-Q Report.</w:t>
      </w:r>
    </w:p>
    <w:p>
      <w:pPr>
        <w:spacing w:after="0" w:line="184" w:lineRule="exact"/>
        <w:rPr>
          <w:sz w:val="20"/>
          <w:szCs w:val="20"/>
          <w:color w:val="auto"/>
        </w:rPr>
      </w:pPr>
    </w:p>
    <w:p>
      <w:pPr>
        <w:jc w:val="both"/>
        <w:ind w:left="4" w:firstLine="324"/>
        <w:spacing w:after="0" w:line="256" w:lineRule="auto"/>
        <w:rPr>
          <w:sz w:val="20"/>
          <w:szCs w:val="20"/>
          <w:color w:val="auto"/>
        </w:rPr>
      </w:pPr>
      <w:r>
        <w:rPr>
          <w:rFonts w:ascii="Times New Roman" w:cs="Times New Roman" w:eastAsia="Times New Roman" w:hAnsi="Times New Roman"/>
          <w:sz w:val="18"/>
          <w:szCs w:val="18"/>
          <w:color w:val="auto"/>
        </w:rPr>
        <w:t>Based on anticipated payments under the Settlement Agreement, the value of the tank cars involved in the incident, payments under settlement agreements with certain lessors as well as legal and other costs incurred in connection with the incident, which we believe are probable and for which a reasonable estimate can be made, we have recorded total liabilities of $158.7 million. We believe that a substantial portion of these liabilities is covered by insurance and have recorded total receivables of $155.0 million. As of June 30, 2015, the remaining unpaid liabilities of $129.8 million are included primarily in accrued expenses and other current liabilities and the remaining uncollected receivable of $142.7 million is included in other current assets in the accompanying consolidated balance sheets.</w:t>
      </w:r>
    </w:p>
    <w:p>
      <w:pPr>
        <w:spacing w:after="0" w:line="184"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4"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a theft of fuel product valued at approximately $18.0 million, we recorded an insurance receivable for the full amount of the loss, which is included in other current assets in the accompanying consolidated balance sheets. On July 31, 2014, our insurer, AGCS Marine Insurance Company (“AGCS”), filed a declaratory judgment action against us in the United States District Court for the Southern District of New York seeking a court ruling that the loss is not covered under our policy. During the quarter ended December 31, 2014, we filed an answer to the AGCS complaint and counterclaims against AGCS for declaratory judgment and breach of contract seeking a court ruling that the loss is covered under the policy, an award of damages equal to the full amount of our loss plus interest, as well as fees and costs. We believe AGCS’ position is without merit and we intend to vigorously pursue our rights. However, due to the complexities and uncertainties inherent in litigation, we can provide no assurance that we will recover the full amount of the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7" w:name="page18"/>
    <w:bookmarkEnd w:id="17"/>
    <w:p>
      <w:pPr>
        <w:ind w:left="4"/>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left="4" w:firstLine="324"/>
        <w:spacing w:after="0" w:line="254" w:lineRule="auto"/>
        <w:rPr>
          <w:sz w:val="20"/>
          <w:szCs w:val="20"/>
          <w:color w:val="auto"/>
        </w:rPr>
      </w:pPr>
      <w:r>
        <w:rPr>
          <w:rFonts w:ascii="Times New Roman" w:cs="Times New Roman" w:eastAsia="Times New Roman" w:hAnsi="Times New Roman"/>
          <w:sz w:val="18"/>
          <w:szCs w:val="18"/>
          <w:color w:val="auto"/>
        </w:rPr>
        <w:t>We are a party to various claims, complaints and proceedings arising in the ordinary course of our business including, but not limited to, environmental claims, commercial and governmental contract claims, such as property damage, demurrage, billing and fuel quality claims, as well as bankruptcy preference claims and tax and administrative claims. We have established loss provisions for these ordinary course claims as well as other matters in which losses are probable and can be reasonably estimated. As of June 30, 2015,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89" w:lineRule="exact"/>
        <w:rPr>
          <w:sz w:val="20"/>
          <w:szCs w:val="20"/>
          <w:color w:val="auto"/>
        </w:rPr>
      </w:pPr>
    </w:p>
    <w:p>
      <w:pPr>
        <w:jc w:val="both"/>
        <w:ind w:left="4" w:right="20" w:firstLine="324"/>
        <w:spacing w:after="0" w:line="261" w:lineRule="auto"/>
        <w:rPr>
          <w:sz w:val="20"/>
          <w:szCs w:val="20"/>
          <w:color w:val="auto"/>
        </w:rPr>
      </w:pPr>
      <w:r>
        <w:rPr>
          <w:rFonts w:ascii="Times New Roman" w:cs="Times New Roman" w:eastAsia="Times New Roman" w:hAnsi="Times New Roman"/>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76"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b w:val="1"/>
          <w:bCs w:val="1"/>
          <w:color w:val="auto"/>
        </w:rPr>
        <w:t>Termination of Employment Agreement</w:t>
      </w:r>
    </w:p>
    <w:p>
      <w:pPr>
        <w:spacing w:after="0" w:line="229" w:lineRule="exact"/>
        <w:rPr>
          <w:sz w:val="20"/>
          <w:szCs w:val="20"/>
          <w:color w:val="auto"/>
        </w:rPr>
      </w:pPr>
    </w:p>
    <w:p>
      <w:pPr>
        <w:jc w:val="both"/>
        <w:ind w:left="4" w:right="20" w:firstLine="324"/>
        <w:spacing w:after="0" w:line="258" w:lineRule="auto"/>
        <w:rPr>
          <w:sz w:val="20"/>
          <w:szCs w:val="20"/>
          <w:color w:val="auto"/>
        </w:rPr>
      </w:pPr>
      <w:r>
        <w:rPr>
          <w:rFonts w:ascii="Times New Roman" w:cs="Times New Roman" w:eastAsia="Times New Roman" w:hAnsi="Times New Roman"/>
          <w:sz w:val="18"/>
          <w:szCs w:val="18"/>
          <w:color w:val="auto"/>
        </w:rPr>
        <w:t>On March 13, 2015, we agreed with Mr. Michael S. Clementi that he would retire from his position as Aviation Segment President, effective March 16, 2015. In connection with the termination of his employment agreement, we recorded a charge totaling $3.8 million in March 2015, which included non-cash expenses of $0.8 million related to previously awarded stock compensation. As of June 30, 2015, $0.5 million of the cash portion of the termination of the employment agreement charge was included in accrued expenses and other current liabilities and $1.9 million was included in other long-term liabilities in the accompanying consolidated balance sheets.</w:t>
      </w:r>
    </w:p>
    <w:p>
      <w:pPr>
        <w:spacing w:after="0" w:line="180" w:lineRule="exact"/>
        <w:rPr>
          <w:sz w:val="20"/>
          <w:szCs w:val="20"/>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ind w:left="4" w:right="20" w:firstLine="324"/>
        <w:spacing w:after="0" w:line="261" w:lineRule="auto"/>
        <w:rPr>
          <w:sz w:val="20"/>
          <w:szCs w:val="20"/>
          <w:color w:val="auto"/>
        </w:rPr>
      </w:pPr>
      <w:r>
        <w:rPr>
          <w:rFonts w:ascii="Times New Roman" w:cs="Times New Roman" w:eastAsia="Times New Roman" w:hAnsi="Times New Roman"/>
          <w:sz w:val="18"/>
          <w:szCs w:val="18"/>
          <w:color w:val="auto"/>
        </w:rPr>
        <w:t>In June 2015, our Board of Directors renewed its existing common stock repurchase program by replacing the remainder of the existing program and authorizing the purchase of up to $100.0 million in common stock. The program does not require a minimum number of shares of common stock to be purchased, has no expiration date and may be suspended or discontinued at any time. As of June 30, 2015, we have $100.0 million available to repurchase shares under the share repurchase program.</w:t>
      </w:r>
    </w:p>
    <w:p>
      <w:pPr>
        <w:spacing w:after="0" w:line="176"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b w:val="1"/>
          <w:bCs w:val="1"/>
          <w:color w:val="auto"/>
        </w:rPr>
        <w:t>Other Comprehensive (Loss) Income and Accumulated Other Comprehensive Loss</w:t>
      </w:r>
    </w:p>
    <w:p>
      <w:pPr>
        <w:spacing w:after="0" w:line="229" w:lineRule="exact"/>
        <w:rPr>
          <w:sz w:val="20"/>
          <w:szCs w:val="20"/>
          <w:color w:val="auto"/>
        </w:rPr>
      </w:pPr>
    </w:p>
    <w:p>
      <w:pPr>
        <w:jc w:val="both"/>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Our other comprehensive (loss) income, consisting of foreign currency translation adjustments related to our subsidiaries that have a functional currency other than the U.S. dollar was as follows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other comprehensive income attributable to noncontrolling interest</w:t>
            </w:r>
          </w:p>
        </w:tc>
        <w:tc>
          <w:tcPr>
            <w:tcW w:w="16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June 30, 2015</w:t>
            </w:r>
          </w:p>
        </w:tc>
        <w:tc>
          <w:tcPr>
            <w:tcW w:w="18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June 30, 2014</w:t>
            </w:r>
          </w:p>
        </w:tc>
        <w:tc>
          <w:tcPr>
            <w:tcW w:w="18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 w:right="20" w:firstLine="324"/>
        <w:spacing w:after="0" w:line="266" w:lineRule="auto"/>
        <w:rPr>
          <w:sz w:val="20"/>
          <w:szCs w:val="20"/>
          <w:color w:val="auto"/>
        </w:rPr>
      </w:pPr>
      <w:r>
        <w:rPr>
          <w:rFonts w:ascii="Times New Roman" w:cs="Times New Roman" w:eastAsia="Times New Roman" w:hAnsi="Times New Roman"/>
          <w:sz w:val="18"/>
          <w:szCs w:val="18"/>
          <w:color w:val="auto"/>
        </w:rPr>
        <w:t>The foreign currency translation adjustment losses for the six months ended June 30, 2015 were primarily due to the strengthening of the U.S. dollar as compared to the Brazilian Real. The foreign currency translation adjustment gains for the six months ended June 30, 2014 were primarily due to the strengthening of the Brazilian Real and the British Pound as compared to the U.S dollar.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8" w:name="page19"/>
    <w:bookmarkEnd w:id="18"/>
    <w:p>
      <w:pPr>
        <w:ind w:left="4"/>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Our income tax provision for the periods presented and the respective effective income tax rates for such periods are as follows (in millions, except for income tax rates):</w:t>
      </w: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4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68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21.5</w:t>
            </w: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18.1 %</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15.4 %</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 w:firstLine="324"/>
        <w:spacing w:after="0" w:line="261" w:lineRule="auto"/>
        <w:rPr>
          <w:sz w:val="20"/>
          <w:szCs w:val="20"/>
          <w:color w:val="auto"/>
        </w:rPr>
      </w:pPr>
      <w:r>
        <w:rPr>
          <w:rFonts w:ascii="Times New Roman" w:cs="Times New Roman" w:eastAsia="Times New Roman" w:hAnsi="Times New Roman"/>
          <w:sz w:val="18"/>
          <w:szCs w:val="18"/>
          <w:color w:val="auto"/>
        </w:rPr>
        <w:t>Our provision for income taxes for each of the three-month and six-month periods ended June 30, 2015 and 2014 was calculated based on the estimated annual effective income tax rate for the full 2015 and 2014 fiscal years. The actual effective income tax rate for the full 2015 fiscal year may be materially different as a result of differences between estimated versus actual results and the geographic tax jurisdictions in which the results are earned.</w:t>
      </w:r>
    </w:p>
    <w:p>
      <w:pPr>
        <w:spacing w:after="0" w:line="180" w:lineRule="exact"/>
        <w:rPr>
          <w:sz w:val="20"/>
          <w:szCs w:val="20"/>
          <w:color w:val="auto"/>
        </w:rPr>
      </w:pPr>
    </w:p>
    <w:p>
      <w:pPr>
        <w:jc w:val="both"/>
        <w:ind w:left="4" w:firstLine="324"/>
        <w:spacing w:after="0" w:line="254" w:lineRule="auto"/>
        <w:rPr>
          <w:sz w:val="20"/>
          <w:szCs w:val="20"/>
          <w:color w:val="auto"/>
        </w:rPr>
      </w:pPr>
      <w:r>
        <w:rPr>
          <w:rFonts w:ascii="Times New Roman" w:cs="Times New Roman" w:eastAsia="Times New Roman" w:hAnsi="Times New Roman"/>
          <w:sz w:val="18"/>
          <w:szCs w:val="18"/>
          <w:color w:val="auto"/>
        </w:rPr>
        <w:t>We operated under a special income tax concession in Singapore which began January 1, 2008. Our current five year special income tax concession was effective January 1, 2013.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$0.4 million and $1.9 million for the three months ended June 30, 2015 and 2014, respectively, and by $2.7 million and $3.8 million for the six months ended June 30, 2015 and 2014, respectively. The impact of the income tax concession on basic earnings per common share was $0.01 and $0.03 for the three months ended June 30, 2015 and 2014, respectively, and $0.04 and $0.05 for the six months ended June 30, 2015 and 2014, respectively. On a diluted earnings per common share basis, the impact was $0.01 and $0.03 for the three months ended June 30, 2015 and 2014, respectively, and $0.04 and $0.05 for the six months ended June 30, 2015 and 2014, respectively.</w:t>
      </w:r>
    </w:p>
    <w:p>
      <w:pPr>
        <w:spacing w:after="0" w:line="182" w:lineRule="exact"/>
        <w:rPr>
          <w:sz w:val="20"/>
          <w:szCs w:val="20"/>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Common Share</w:t>
      </w:r>
    </w:p>
    <w:p>
      <w:pPr>
        <w:spacing w:after="0" w:line="229" w:lineRule="exact"/>
        <w:rPr>
          <w:sz w:val="20"/>
          <w:szCs w:val="20"/>
          <w:color w:val="auto"/>
        </w:rPr>
      </w:pPr>
    </w:p>
    <w:p>
      <w:pPr>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periods presented (in millions, except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29.9</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85.5</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common shares for basic earnings per common share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70.7</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70.7</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common share</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71.2</w:t>
            </w: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71.3</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securities which are not included in the calculation of</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 because their impact is anti-dilutive or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their performance conditions have not been met</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9.</w:t>
        <w:tab/>
        <w:t>Business Segments</w:t>
      </w:r>
    </w:p>
    <w:p>
      <w:pPr>
        <w:spacing w:after="0" w:line="229" w:lineRule="exact"/>
        <w:rPr>
          <w:sz w:val="20"/>
          <w:szCs w:val="20"/>
          <w:color w:val="auto"/>
        </w:rPr>
      </w:pPr>
    </w:p>
    <w:p>
      <w:pPr>
        <w:jc w:val="both"/>
        <w:ind w:right="40" w:firstLine="324"/>
        <w:spacing w:after="0" w:line="255" w:lineRule="auto"/>
        <w:rPr>
          <w:sz w:val="20"/>
          <w:szCs w:val="20"/>
          <w:color w:val="auto"/>
        </w:rPr>
      </w:pPr>
      <w:r>
        <w:rPr>
          <w:rFonts w:ascii="Times New Roman" w:cs="Times New Roman" w:eastAsia="Times New Roman" w:hAnsi="Times New Roman"/>
          <w:sz w:val="18"/>
          <w:szCs w:val="18"/>
          <w:color w:val="auto"/>
        </w:rPr>
        <w:t>Based on the nature of operations and quantitative thresholds pursuant to accounting guidance for segment reporting, we have three reportable operating business segments: aviation, marine and land. Corporate expenses are allocated to the segments based on usage, where possible, or on other factors according to the nature of the activity. Our results of operations include (i) the results of the acquisition of all of the outstanding stock of Watson Petroleum in our land segment commencing on March 7, 2014, its acquisition date, and (ii) the results of the acquisition of all of the outstanding stock of Colt International, L.L.C (“Colt”) in our aviation segment commencing on July 29, 2014, its acquisition date. The accounting policies of the reportable operating segments are the same as those described in the Summary of Significant Accounting Policies (see Note 1).</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concerning our revenue, gross profit and income from operations by segment is as follows (in millions):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Aviation segment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3,185.3</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Marine segment</w:t>
            </w:r>
          </w:p>
        </w:tc>
        <w:tc>
          <w:tcPr>
            <w:tcW w:w="17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2,805.4</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 segment</w:t>
            </w:r>
          </w:p>
        </w:tc>
        <w:tc>
          <w:tcPr>
            <w:tcW w:w="17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2,505.7</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4,628.7</w:t>
            </w: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8,496.4</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11,342.5</w:t>
            </w:r>
          </w:p>
        </w:tc>
        <w:tc>
          <w:tcPr>
            <w:tcW w:w="1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r>
              <w:rPr>
                <w:rFonts w:ascii="Times New Roman" w:cs="Times New Roman" w:eastAsia="Times New Roman" w:hAnsi="Times New Roman"/>
                <w:sz w:val="18"/>
                <w:szCs w:val="18"/>
                <w:u w:val="single" w:color="auto"/>
                <w:color w:val="auto"/>
              </w:rPr>
              <w:t>1</w:t>
            </w:r>
          </w:p>
        </w:tc>
        <w:tc>
          <w:tcPr>
            <w:tcW w:w="160" w:type="dxa"/>
            <w:vAlign w:val="bottom"/>
          </w:tcPr>
          <w:p>
            <w:pPr>
              <w:spacing w:after="0"/>
              <w:rPr>
                <w:sz w:val="18"/>
                <w:szCs w:val="18"/>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21,893.</w:t>
            </w:r>
            <w:r>
              <w:rPr>
                <w:rFonts w:ascii="Times New Roman" w:cs="Times New Roman" w:eastAsia="Times New Roman" w:hAnsi="Times New Roman"/>
                <w:sz w:val="18"/>
                <w:szCs w:val="18"/>
                <w:u w:val="single" w:color="auto"/>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Aviation segment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Marine segment</w:t>
            </w:r>
          </w:p>
        </w:tc>
        <w:tc>
          <w:tcPr>
            <w:tcW w:w="17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 segment</w:t>
            </w:r>
          </w:p>
        </w:tc>
        <w:tc>
          <w:tcPr>
            <w:tcW w:w="17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63.6</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190.4</w:t>
            </w: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Aviation segment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Marine segment</w:t>
            </w:r>
          </w:p>
        </w:tc>
        <w:tc>
          <w:tcPr>
            <w:tcW w:w="17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 segment</w:t>
            </w:r>
          </w:p>
        </w:tc>
        <w:tc>
          <w:tcPr>
            <w:tcW w:w="17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56.1</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overhead - unallocated</w:t>
            </w:r>
          </w:p>
        </w:tc>
        <w:tc>
          <w:tcPr>
            <w:tcW w:w="17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Information concerning our accounts receivable, net and total assets by segment is as follows (in millions):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Aviation segment, net of allowance for bad debt of $7.1 and $7.9 as of June 30, 2015 and</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31, 2014, respectively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711.7</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Marine segment, net of allowance for bad debt of $9.5 and $8.4 as of June 30, 2015 and</w:t>
            </w: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2014, respectively</w:t>
            </w: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952.0</w:t>
            </w: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Land segment, net of allowance for bad debt of $8.7 and $9.4 as of June 30, 2015 and</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December 31, 2014, respectively</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694.5</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2,358.2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Aviation segment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1,649.0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Marine segment</w:t>
            </w:r>
          </w:p>
        </w:tc>
        <w:tc>
          <w:tcPr>
            <w:tcW w:w="4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1,521.2</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 segment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1,691.0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241.3</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5,102.5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7260" w:type="dxa"/>
            <w:vAlign w:val="bottom"/>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2014 10-K Report and the consolidated financial statements and related notes in “Item 1 —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1A — Risk Factors” of our 2014 10-K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84"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Examples of forward-looking statements in this 10-Q Report include, but are not limited to, our expectations regarding our business strategy, business prospects, operating results, effectiveness of internal controls to manage risk,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the results and events anticipated or implied by such forward-looking statements include, but are not limited to:</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·customer and counterparty creditworthiness and our ability to collect accounts receivable and settle derivative contracts;</w:t>
      </w:r>
    </w:p>
    <w:p>
      <w:pPr>
        <w:spacing w:after="0" w:line="225" w:lineRule="exact"/>
        <w:rPr>
          <w:sz w:val="20"/>
          <w:szCs w:val="20"/>
          <w:color w:val="auto"/>
        </w:rPr>
      </w:pPr>
    </w:p>
    <w:p>
      <w:pPr>
        <w:ind w:left="320"/>
        <w:spacing w:after="0"/>
        <w:tabs>
          <w:tab w:leader="none" w:pos="500" w:val="left"/>
        </w:tabs>
        <w:rPr>
          <w:sz w:val="20"/>
          <w:szCs w:val="20"/>
          <w:color w:val="auto"/>
        </w:rPr>
      </w:pPr>
      <w:r>
        <w:rPr>
          <w:rFonts w:ascii="Times New Roman" w:cs="Times New Roman" w:eastAsia="Times New Roman" w:hAnsi="Times New Roman"/>
          <w:sz w:val="18"/>
          <w:szCs w:val="18"/>
          <w:color w:val="auto"/>
        </w:rPr>
        <w:t>·</w:t>
        <w:tab/>
        <w:t>changes in the market price of fuel;</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political, economic or regulatory conditions generally and in the markets in which we operate;</w:t>
      </w:r>
    </w:p>
    <w:p>
      <w:pPr>
        <w:spacing w:after="0" w:line="225" w:lineRule="exact"/>
        <w:rPr>
          <w:sz w:val="20"/>
          <w:szCs w:val="20"/>
          <w:color w:val="auto"/>
        </w:rPr>
      </w:pPr>
    </w:p>
    <w:p>
      <w:pPr>
        <w:ind w:left="400" w:hanging="80"/>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effectively hedge certain financial risks and the use of derivatives;</w:t>
      </w:r>
    </w:p>
    <w:p>
      <w:pPr>
        <w:spacing w:after="0" w:line="225" w:lineRule="exact"/>
        <w:rPr>
          <w:rFonts w:ascii="Times New Roman" w:cs="Times New Roman" w:eastAsia="Times New Roman" w:hAnsi="Times New Roman"/>
          <w:sz w:val="18"/>
          <w:szCs w:val="18"/>
          <w:color w:val="auto"/>
        </w:rPr>
      </w:pPr>
    </w:p>
    <w:p>
      <w:pPr>
        <w:ind w:left="420" w:hanging="10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by counterparties or customers to derivative contracts;</w:t>
      </w:r>
    </w:p>
    <w:p>
      <w:pPr>
        <w:spacing w:after="0" w:line="225" w:lineRule="exact"/>
        <w:rPr>
          <w:rFonts w:ascii="Times New Roman" w:cs="Times New Roman" w:eastAsia="Times New Roman" w:hAnsi="Times New Roman"/>
          <w:sz w:val="18"/>
          <w:szCs w:val="18"/>
          <w:color w:val="auto"/>
        </w:rPr>
      </w:pPr>
    </w:p>
    <w:p>
      <w:pPr>
        <w:ind w:left="440" w:hanging="120"/>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credit terms extended to us from our suppliers;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·non-performance of suppliers on their sale commitments and customers on their purchase commitments;</w:t>
      </w:r>
    </w:p>
    <w:p>
      <w:pPr>
        <w:spacing w:after="0" w:line="225" w:lineRule="exact"/>
        <w:rPr>
          <w:sz w:val="20"/>
          <w:szCs w:val="20"/>
          <w:color w:val="auto"/>
        </w:rPr>
      </w:pPr>
    </w:p>
    <w:p>
      <w:pPr>
        <w:ind w:left="420" w:hanging="100"/>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reduced sales to a significant government customer;</w:t>
      </w:r>
    </w:p>
    <w:p>
      <w:pPr>
        <w:spacing w:after="0" w:line="225" w:lineRule="exact"/>
        <w:rPr>
          <w:rFonts w:ascii="Times New Roman" w:cs="Times New Roman" w:eastAsia="Times New Roman" w:hAnsi="Times New Roman"/>
          <w:sz w:val="18"/>
          <w:szCs w:val="18"/>
          <w:color w:val="auto"/>
        </w:rPr>
      </w:pPr>
    </w:p>
    <w:p>
      <w:pPr>
        <w:ind w:left="460" w:hanging="140"/>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of third-party service providers;</w:t>
      </w:r>
    </w:p>
    <w:p>
      <w:pPr>
        <w:spacing w:after="0" w:line="225" w:lineRule="exact"/>
        <w:rPr>
          <w:sz w:val="20"/>
          <w:szCs w:val="20"/>
          <w:color w:val="auto"/>
        </w:rPr>
      </w:pPr>
    </w:p>
    <w:p>
      <w:pPr>
        <w:ind w:left="380" w:right="20" w:hanging="53"/>
        <w:spacing w:after="0" w:line="282" w:lineRule="auto"/>
        <w:rPr>
          <w:sz w:val="20"/>
          <w:szCs w:val="20"/>
          <w:color w:val="auto"/>
        </w:rPr>
      </w:pPr>
      <w:r>
        <w:rPr>
          <w:rFonts w:ascii="Times New Roman" w:cs="Times New Roman" w:eastAsia="Times New Roman" w:hAnsi="Times New Roman"/>
          <w:sz w:val="18"/>
          <w:szCs w:val="18"/>
          <w:color w:val="auto"/>
        </w:rPr>
        <w:t>·adverse conditions in the industries in which our customers operate, including a continuation of the global economic instability and its impact on the airline and shipping industries;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420" w:hanging="100"/>
        <w:spacing w:after="0"/>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cyber and other information security-related incidents;</w:t>
      </w:r>
    </w:p>
    <w:p>
      <w:pPr>
        <w:spacing w:after="0" w:line="225" w:lineRule="exact"/>
        <w:rPr>
          <w:rFonts w:ascii="Times New Roman" w:cs="Times New Roman" w:eastAsia="Times New Roman" w:hAnsi="Times New Roman"/>
          <w:sz w:val="18"/>
          <w:szCs w:val="18"/>
          <w:color w:val="auto"/>
        </w:rPr>
      </w:pPr>
    </w:p>
    <w:p>
      <w:pPr>
        <w:ind w:left="540" w:hanging="220"/>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w:t>
      </w:r>
    </w:p>
    <w:p>
      <w:pPr>
        <w:spacing w:after="0" w:line="225" w:lineRule="exact"/>
        <w:rPr>
          <w:rFonts w:ascii="Times New Roman" w:cs="Times New Roman" w:eastAsia="Times New Roman" w:hAnsi="Times New Roman"/>
          <w:sz w:val="18"/>
          <w:szCs w:val="18"/>
          <w:color w:val="auto"/>
        </w:rPr>
      </w:pPr>
    </w:p>
    <w:p>
      <w:pPr>
        <w:ind w:left="420" w:hanging="100"/>
        <w:spacing w:after="0"/>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fuel and other products we sell to meet specifications;</w:t>
      </w:r>
    </w:p>
    <w:p>
      <w:pPr>
        <w:spacing w:after="0" w:line="225"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w:t>
      </w:r>
    </w:p>
    <w:p>
      <w:pPr>
        <w:spacing w:after="0" w:line="225" w:lineRule="exact"/>
        <w:rPr>
          <w:rFonts w:ascii="Times New Roman" w:cs="Times New Roman" w:eastAsia="Times New Roman" w:hAnsi="Times New Roman"/>
          <w:sz w:val="18"/>
          <w:szCs w:val="18"/>
          <w:color w:val="auto"/>
        </w:rPr>
      </w:pPr>
    </w:p>
    <w:p>
      <w:pPr>
        <w:ind w:left="400" w:hanging="80"/>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integrate and derive benefits from acquired businesses;</w:t>
      </w:r>
    </w:p>
    <w:p>
      <w:pPr>
        <w:spacing w:after="0" w:line="225" w:lineRule="exact"/>
        <w:rPr>
          <w:rFonts w:ascii="Times New Roman" w:cs="Times New Roman" w:eastAsia="Times New Roman" w:hAnsi="Times New Roman"/>
          <w:sz w:val="18"/>
          <w:szCs w:val="18"/>
          <w:color w:val="auto"/>
        </w:rPr>
      </w:pPr>
    </w:p>
    <w:p>
      <w:pPr>
        <w:ind w:left="440" w:hanging="120"/>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disruptions in the availability or supply of fuel;</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·environmental and other risks associated with the storage, transportation and delivery of petroleum products;</w:t>
      </w:r>
    </w:p>
    <w:p>
      <w:pPr>
        <w:spacing w:after="0" w:line="225" w:lineRule="exact"/>
        <w:rPr>
          <w:sz w:val="20"/>
          <w:szCs w:val="20"/>
          <w:color w:val="auto"/>
        </w:rPr>
      </w:pPr>
    </w:p>
    <w:p>
      <w:pPr>
        <w:ind w:left="420" w:hanging="100"/>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Lac-Mégantic derailment and related matters;</w:t>
      </w:r>
    </w:p>
    <w:p>
      <w:pPr>
        <w:spacing w:after="0" w:line="225" w:lineRule="exact"/>
        <w:rPr>
          <w:rFonts w:ascii="Times New Roman" w:cs="Times New Roman" w:eastAsia="Times New Roman" w:hAnsi="Times New Roman"/>
          <w:sz w:val="18"/>
          <w:szCs w:val="18"/>
          <w:color w:val="auto"/>
        </w:rPr>
      </w:pPr>
    </w:p>
    <w:p>
      <w:pPr>
        <w:ind w:left="460" w:hanging="140"/>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high risk locations;</w:t>
      </w:r>
    </w:p>
    <w:p>
      <w:pPr>
        <w:spacing w:after="0" w:line="225" w:lineRule="exact"/>
        <w:rPr>
          <w:rFonts w:ascii="Times New Roman" w:cs="Times New Roman" w:eastAsia="Times New Roman" w:hAnsi="Times New Roman"/>
          <w:sz w:val="18"/>
          <w:szCs w:val="18"/>
          <w:color w:val="auto"/>
        </w:rPr>
      </w:pPr>
    </w:p>
    <w:p>
      <w:pPr>
        <w:ind w:left="720" w:hanging="400"/>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losses;</w:t>
      </w:r>
    </w:p>
    <w:p>
      <w:pPr>
        <w:spacing w:after="0" w:line="225" w:lineRule="exact"/>
        <w:rPr>
          <w:rFonts w:ascii="Times New Roman" w:cs="Times New Roman" w:eastAsia="Times New Roman" w:hAnsi="Times New Roman"/>
          <w:sz w:val="18"/>
          <w:szCs w:val="18"/>
          <w:color w:val="auto"/>
        </w:rPr>
      </w:pPr>
    </w:p>
    <w:p>
      <w:pPr>
        <w:ind w:left="460" w:hanging="140"/>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such as hurricanes;</w:t>
      </w:r>
    </w:p>
    <w:p>
      <w:pPr>
        <w:spacing w:after="0" w:line="225" w:lineRule="exact"/>
        <w:rPr>
          <w:sz w:val="20"/>
          <w:szCs w:val="20"/>
          <w:color w:val="auto"/>
        </w:rPr>
      </w:pPr>
    </w:p>
    <w:p>
      <w:pPr>
        <w:ind w:left="380" w:right="20" w:hanging="53"/>
        <w:spacing w:after="0" w:line="282" w:lineRule="auto"/>
        <w:rPr>
          <w:sz w:val="20"/>
          <w:szCs w:val="20"/>
          <w:color w:val="auto"/>
        </w:rPr>
      </w:pPr>
      <w:r>
        <w:rPr>
          <w:rFonts w:ascii="Times New Roman" w:cs="Times New Roman" w:eastAsia="Times New Roman" w:hAnsi="Times New Roman"/>
          <w:sz w:val="18"/>
          <w:szCs w:val="18"/>
          <w:color w:val="auto"/>
        </w:rPr>
        <w:t>·our failure to comply with restrictions and covenants in our senior revolving credit facility (“Credit Facility”) and our senior term loans (“Term Loans”);</w:t>
      </w:r>
    </w:p>
    <w:p>
      <w:pPr>
        <w:spacing w:after="0" w:line="162" w:lineRule="exact"/>
        <w:rPr>
          <w:sz w:val="20"/>
          <w:szCs w:val="20"/>
          <w:color w:val="auto"/>
        </w:rPr>
      </w:pPr>
    </w:p>
    <w:p>
      <w:pPr>
        <w:ind w:left="420" w:hanging="100"/>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and liquidity of cash equivalents and investments;</w:t>
      </w:r>
    </w:p>
    <w:p>
      <w:pPr>
        <w:spacing w:after="0" w:line="225" w:lineRule="exact"/>
        <w:rPr>
          <w:rFonts w:ascii="Times New Roman" w:cs="Times New Roman" w:eastAsia="Times New Roman" w:hAnsi="Times New Roman"/>
          <w:sz w:val="18"/>
          <w:szCs w:val="18"/>
          <w:color w:val="auto"/>
        </w:rPr>
      </w:pPr>
    </w:p>
    <w:p>
      <w:pPr>
        <w:ind w:left="420" w:hanging="100"/>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senior management and other key employees;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U.S. or foreign tax laws or changes in the mix of taxable income among different tax jurisdictions;</w:t>
      </w:r>
    </w:p>
    <w:p>
      <w:pPr>
        <w:spacing w:after="0" w:line="225" w:lineRule="exact"/>
        <w:rPr>
          <w:sz w:val="20"/>
          <w:szCs w:val="20"/>
          <w:color w:val="auto"/>
        </w:rPr>
      </w:pPr>
    </w:p>
    <w:p>
      <w:pPr>
        <w:ind w:left="380" w:right="20" w:hanging="53"/>
        <w:spacing w:after="0" w:line="282" w:lineRule="auto"/>
        <w:rPr>
          <w:sz w:val="20"/>
          <w:szCs w:val="20"/>
          <w:color w:val="auto"/>
        </w:rPr>
      </w:pPr>
      <w:r>
        <w:rPr>
          <w:rFonts w:ascii="Times New Roman" w:cs="Times New Roman" w:eastAsia="Times New Roman" w:hAnsi="Times New Roman"/>
          <w:sz w:val="18"/>
          <w:szCs w:val="18"/>
          <w:color w:val="auto"/>
        </w:rPr>
        <w:t>·our ability to comply with U.S. and international laws and regulations including those related to anti-corruption, economic sanction programs and environmental matters;</w:t>
      </w:r>
    </w:p>
    <w:p>
      <w:pPr>
        <w:spacing w:after="0" w:line="162" w:lineRule="exact"/>
        <w:rPr>
          <w:sz w:val="20"/>
          <w:szCs w:val="20"/>
          <w:color w:val="auto"/>
        </w:rPr>
      </w:pPr>
    </w:p>
    <w:p>
      <w:pPr>
        <w:ind w:left="540" w:hanging="220"/>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levels of competition;</w:t>
      </w:r>
    </w:p>
    <w:p>
      <w:pPr>
        <w:spacing w:after="0" w:line="225" w:lineRule="exact"/>
        <w:rPr>
          <w:rFonts w:ascii="Times New Roman" w:cs="Times New Roman" w:eastAsia="Times New Roman" w:hAnsi="Times New Roman"/>
          <w:sz w:val="18"/>
          <w:szCs w:val="18"/>
          <w:color w:val="auto"/>
        </w:rPr>
      </w:pPr>
    </w:p>
    <w:p>
      <w:pPr>
        <w:ind w:left="420" w:hanging="100"/>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and the costs associated in defending any actions;</w:t>
      </w:r>
    </w:p>
    <w:p>
      <w:pPr>
        <w:spacing w:after="0" w:line="225" w:lineRule="exact"/>
        <w:rPr>
          <w:rFonts w:ascii="Times New Roman" w:cs="Times New Roman" w:eastAsia="Times New Roman" w:hAnsi="Times New Roman"/>
          <w:sz w:val="18"/>
          <w:szCs w:val="18"/>
          <w:color w:val="auto"/>
        </w:rPr>
      </w:pPr>
    </w:p>
    <w:p>
      <w:pPr>
        <w:ind w:left="400" w:hanging="80"/>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solvency of banks within our Credit Facility and Term Loans;</w:t>
      </w:r>
    </w:p>
    <w:p>
      <w:pPr>
        <w:spacing w:after="0" w:line="225"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and</w:t>
      </w:r>
    </w:p>
    <w:p>
      <w:pPr>
        <w:spacing w:after="0" w:line="225" w:lineRule="exact"/>
        <w:rPr>
          <w:sz w:val="20"/>
          <w:szCs w:val="20"/>
          <w:color w:val="auto"/>
        </w:rPr>
      </w:pPr>
    </w:p>
    <w:p>
      <w:pPr>
        <w:ind w:left="380" w:hanging="53"/>
        <w:spacing w:after="0" w:line="282" w:lineRule="auto"/>
        <w:rPr>
          <w:sz w:val="20"/>
          <w:szCs w:val="20"/>
          <w:color w:val="auto"/>
        </w:rPr>
      </w:pPr>
      <w:r>
        <w:rPr>
          <w:rFonts w:ascii="Times New Roman" w:cs="Times New Roman" w:eastAsia="Times New Roman" w:hAnsi="Times New Roman"/>
          <w:sz w:val="18"/>
          <w:szCs w:val="18"/>
          <w:color w:val="auto"/>
        </w:rPr>
        <w:t>·other risks, including those described in “Item 1A - Risk Factors” in our 2014 10-K Report and those described from time to time in our other filings with the SEC.</w:t>
      </w:r>
    </w:p>
    <w:p>
      <w:pPr>
        <w:spacing w:after="0" w:line="162"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We are a global fuel logistics, transaction management and payment processing company, principally engaged in the distribution of fuel and related products and services in the aviation, marine and land transportation industries. We compete by providing our customers with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added benefits, including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In our aviation segment, we offer fuel and related products and services to major commercial airlines, second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airlines, cargo carriers, regional and low cost carriers, airports, fixed based operators, corporate fleets, fractional operators, private aircraft, military fleets and to the U.S. and foreign governments. In our marine segment, we offer fuel, lubricants and related products and services to a broad base of marine customers, including international container and tanker fleets, commercial cruise lines, yachts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charter operators, the U.S. and foreign governments as well as other fuel suppliers. In our land segment, we offer fuel, lubricants, natural gas, electricity and related products and services to customers including petroleum distributors operating in the land transportation market, retail petroleum operators, and industrial, commercial, residential and government customers as well as engage in crude oil marketing activities. In addition, we offer transaction management services which consist of card payment solutions and merchant processing services to customers in the aviation, marine and land transportation industries.</w:t>
      </w:r>
    </w:p>
    <w:p>
      <w:pPr>
        <w:spacing w:after="0" w:line="19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our aviation and land segments, we primarily purchase and resell fuel and other products, and we do not act as brokers. Profit from our aviation and land segments is primarily determined by the volume and the gross profit achieved on fuel resales and a percentage of card payment and processing revenue. In our marine segment, we primarily purchase and resell fuel and other products, and also act as brokers for others. Profit from our marine segment is determined primarily by the volume and gross profit achieved on fuel resales and by the volume and commission rate of the brokering business. Our profitability in our segments also depends on our operating expenses, which may be significantly affected to the extent that we are required to provide for potential bad debt.</w:t>
      </w:r>
    </w:p>
    <w:p>
      <w:pPr>
        <w:spacing w:after="0" w:line="18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revenue and cost of revenue are significantly impacted by world oil prices, as evidenced in part by our revenue and cost of revenue fluctuations in previous fiscal years, while our gross profit is not necessarily impacted by changes in world oil prices. However, significant movements in fuel prices during any given financial period can have a significant impact on our gross profit, either positively or negatively depending on the direction, volatility and timing of such price movements.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experience decreases in future sales volumes and margins as a result of the ongoing deterioration in the world economy, the decline of the transportation industry, natural disasters and continued conflicts and instability in the Middle East, Eastern Europe,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our 2014 10-K Report.</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three reportable operating segments: aviation, marine and land. Corporate expenses are allocated to each segment based on usage, where possible, or on other factors according to the nature of the activity. We evaluate and manage our business segments using the performance measurement of income from operations. Financial Information with respect to our business segments is provided in Note 9 to the accompanying consolidated financial statements included in this 10-Q Report.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include (i) the results of the acquisition of all of the outstanding stock of Watson Petroleum Limited (now known as WFL (UK) Limited) (“Watson Petroleum”) in our land segment commencing on March 7, 2014, its acquisition date, and (ii) the results of the acquisition of all of the outstanding stock of Colt International, L.L.C (“Colt”) in our aviation segment commencing on July 29, 2014, its acquisition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June 30, 2015 Compared to Three Months Ended June 30, 2014</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revenue for the second quarter of 2015 was $8.5 billion, a decrease of $2.8 billion, or 25.1%, as compared to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2014. Our revenue during these periods was attributable to the following segments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3,185.3</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4,436.5</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284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2,805.4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2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2,505.7</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8,496.4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11,342.5</w:t>
            </w:r>
          </w:p>
        </w:tc>
        <w:tc>
          <w:tcPr>
            <w:tcW w:w="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aviation segment revenue for the second quarter of 2015 was $3.2 billion, a decrease of $1.3 billion, or 28.2%, as compared to the second quarter of 2014. Of the decrease in aviation segment revenue, $1.8 billion was due to a decrease in the average price per gallon sold as a result of lower average jet fuel prices in the second quarter of 2015 as compared to the second quarter of 2014, which was partially offset by $0.5 billion principally due to increased volume attributable to new and existing customers.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marine segment revenue for the second quarter of 2015 was $2.8 billion, a decrease of $0.7 billion, or 20.6%, as compared to the second quarter of 2014. Of the decrease in marine segment revenue, $2.1 billion was due to a decrease in the average price per metric ton sold as a result of lower average marine fuel prices in the second quarter of 2015 as compared to the second quarter of 2014, which was partially offset by $1.4 billion due to increased volume attributable to new and existing customers.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land segment revenue for the second quarter of 2015 was $2.5 billion, a decrease of $0.9 billion, or 25.7%, as compared to the second quarter of 2014. Of the decrease in land segment revenue, $1.2 billion was due to a decrease in the average price per gallon sold as a result of lower average land fuel prices in the second quarter of 2015 as compared to the second quarter of 2014, which was partially offset by $0.3 billion principally due to increased volume attributable to new and existing customers.</w:t>
      </w:r>
    </w:p>
    <w:p>
      <w:pPr>
        <w:spacing w:after="0" w:line="17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gross profit for the second quarter of 2015 was $190.4 million, a decrease of $1.1 million, or 0.6%,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quarter of 2014. Our gross profit during these periods was attributable to the following segments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85.0</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2880" w:type="dxa"/>
            <w:vAlign w:val="bottom"/>
          </w:tcPr>
          <w:p>
            <w:pPr>
              <w:spacing w:after="0"/>
              <w:rPr>
                <w:sz w:val="18"/>
                <w:szCs w:val="18"/>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41.8</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28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63.6</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190.4</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aviation segment gross profit for the second quarter of 2015 was $85.0 million, an increase of $3.2 million, or 3.9%, as compared to the second quarter of 2014. Of the increase in aviation segment gross profit, $9.1 million was due to gross profit from acquired businesses and $9.0 million was due to increased volume attributable to new and existing customers. This increase was partially offset by $14.9 million in lower gross profit per gallon sold due to fluctuations in customer mix.</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marine segment gross profit for the second quarter of 2015 was $41.8 million, a decrease of $7.0 million, or 14.3%, as compared to the second quarter of 2014. Of the decrease in marine segment gross profit, $25.9 million was due to lower gross profit per metric ton sold principally due to limited price volatility in the second quarter of 2015 as compared to the second quarter of 2014, which was partially offset by $18.9 million in increased volume attributable to new and existing customers.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land segment gross profit for the second quarter of 2015 was $63.6 million, an increase of $2.7 million, or 4.4%, as compared to the second quarter of 2014. Of the increase in land segment gross profit, $6.5 million was due to increased volume attributable to new and existing customers, which was partially offset by $3.8 million in lower gross profit per gallon sold due to fluctuations in customer mix.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second quarter of 2015 were $148.8 million, an increase of $17.1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13.0%, as compared to the second quarter of 2014. The following table sets forth our expense categories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87.5</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w:t>
            </w:r>
          </w:p>
        </w:tc>
        <w:tc>
          <w:tcPr>
            <w:tcW w:w="2160" w:type="dxa"/>
            <w:vAlign w:val="bottom"/>
          </w:tcPr>
          <w:p>
            <w:pPr>
              <w:spacing w:after="0"/>
              <w:rPr>
                <w:sz w:val="18"/>
                <w:szCs w:val="18"/>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59.0</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5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148.8</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Of the $10.1 million increase in compensation and employee benefits, $5.8 million was due to the inclusion of expenses from acquired businesses and $4.3 million was due to increased compensation expenses to support our growing global business. Of the $5.9 million increase in general and administrative expenses, $3.8 million was due to the inclusion of expenses from acquired businesses and $2.1 million was due to increased general and administrative expenses to support our growing global business.</w:t>
      </w:r>
    </w:p>
    <w:p>
      <w:pPr>
        <w:spacing w:after="0" w:line="17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Our income from operations for the second quarter of 2015 was $41.6 million, a decrease of $18.2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30.4%, as compared to the second quarter of 2014. Income from operations during these periods was attributable to the following segments (in millions):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18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overhead - unallocated</w:t>
            </w:r>
          </w:p>
        </w:tc>
        <w:tc>
          <w:tcPr>
            <w:tcW w:w="1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aviation segment income from operations for the second quarter of 2015 was $26.0 million, a decrease of $11.2 million, or 30.1%, as compared to the second quarter of 2014. This decrease resulted from a $14.4 million increase in operating expenses, which was partially offset by $3.2 million in higher gross profit. Of the increase in operating expenses, $9.6 million was related to the inclusion of acquired businesses and $4.8 million was principally due to increased general and administrative expenses to support our growing global business.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marine segment income from operations for the second quarter of 2015 was $13.6 million, a decrease of $7.3 million, or 34.9%, as compared to the second quarter of 2014. This decrease resulted from $7.0 million in lower gross profit and a $0.3 million increase in operating expenses.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land segment income from operations for the second quarter of 2015 was $16.5 million, an increase of $2.1 million, or 14.6%, as compared to the second quarter of 2014. This increase resulted from $2.7 million in higher gross profit which was partially offset by a $0.6 million increase in operating expenses.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Corporate overhead costs not charged to the business segments for the second quarter of 2015 were $14.5 million, an increase of $1.8 million, or 14.2%, as compared to the second quarter of 2014.</w:t>
      </w:r>
    </w:p>
    <w:p>
      <w:pPr>
        <w:spacing w:after="0" w:line="16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net. </w:t>
      </w:r>
      <w:r>
        <w:rPr>
          <w:rFonts w:ascii="Times New Roman" w:cs="Times New Roman" w:eastAsia="Times New Roman" w:hAnsi="Times New Roman"/>
          <w:sz w:val="18"/>
          <w:szCs w:val="18"/>
          <w:color w:val="auto"/>
        </w:rPr>
        <w:t>For the second quarter of 2015, we had non-operating expenses, net of $8.0 million, an increase of $4.8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compared to the second quarter of 2014. This increase was principally due to a $2.1 million reduction of equity earnings in the second quarter of 2015 as compared to the second quarter of 2014, a $1.7 million increase in interest expense and other financing costs, net, as a result of higher average borrowings in the second quarter of 2015 as compared to the second quarter of 2014, and a $1.0 million increase in foreign currency exchange losses for the second quarter of 2015 as compared to the second quarter of 2014.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the second quarter of 2015, our effective income tax rate was 15.5% and our income tax provision was $5.2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an effective income tax rate of 18.1% and an income tax provision of $10.2 million for the second quarter of 2014. The lower effective income tax rate for the second quarter of 2015 resulted principally from differences in the results of our subsidiaries in tax jurisdictions with different income tax rates as compared to the second quarter of 2014.</w:t>
      </w:r>
    </w:p>
    <w:p>
      <w:pPr>
        <w:spacing w:after="0" w:line="1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Loss Attributable to Noncontrolling Interest</w:t>
      </w:r>
      <w:r>
        <w:rPr>
          <w:rFonts w:ascii="Times New Roman" w:cs="Times New Roman" w:eastAsia="Times New Roman" w:hAnsi="Times New Roman"/>
          <w:sz w:val="18"/>
          <w:szCs w:val="18"/>
          <w:color w:val="auto"/>
        </w:rPr>
        <w:t>. For the second quarter of 2015, net loss attributable to noncontrolling interest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million, a decrease of $0.3 million as compared to the second quarter of 2014.</w:t>
      </w:r>
    </w:p>
    <w:p>
      <w:pPr>
        <w:spacing w:after="0" w:line="15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Net Income and Diluted Earnings per Common Share</w:t>
      </w:r>
      <w:r>
        <w:rPr>
          <w:rFonts w:ascii="Times New Roman" w:cs="Times New Roman" w:eastAsia="Times New Roman" w:hAnsi="Times New Roman"/>
          <w:sz w:val="18"/>
          <w:szCs w:val="18"/>
          <w:color w:val="auto"/>
        </w:rPr>
        <w:t>. Our net income for the second quarter of 2015 was $29.9 million,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$18.3 million, or 38.0%, as compared to the second quarter of 2014. Diluted earnings per common share for the second quarter of 2015 was $0.42 per common share, a decrease of $0.26 per common share, or 38.2%, as compared to the second quarter of 2014.</w:t>
      </w:r>
    </w:p>
    <w:p>
      <w:pPr>
        <w:spacing w:after="0" w:line="17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Non-GAAP Net Income and Non-GAAP Diluted Earnings per Common Share</w:t>
      </w:r>
      <w:r>
        <w:rPr>
          <w:rFonts w:ascii="Times New Roman" w:cs="Times New Roman" w:eastAsia="Times New Roman" w:hAnsi="Times New Roman"/>
          <w:sz w:val="18"/>
          <w:szCs w:val="18"/>
          <w:color w:val="auto"/>
        </w:rPr>
        <w:t>. Our non-GAAP net income for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was $37.9 million, a decrease of $20.0 million, or 34.5%, as compared to the second quarter of 2014. Non-GAAP diluted earnings per common share for the second quarter of 2015 was $0.53 per common share, a decrease of $0.28 per common share, or 34.6%, as compared to the second quarter of 2014. The following table sets forth the reconciliation between our net income and non-GAAP net income for the second quarter of 2015 and 2014 (in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9"/>
        </w:trPr>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7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29.9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net of income taxes of $1.3 and $0.8 for 2015 and 2014, respectively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 net of income taxes of $1.7 and $2.3 for 2015 and 2014,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non-renewal charge, net of income taxes of $1.8</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7"/>
        </w:trPr>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World Fuel</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37.9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between our diluted earnings per common share and non-GAAP diluted earnings per common share for the second quarter of 2015 and 2014: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9"/>
        </w:trPr>
        <w:tc>
          <w:tcPr>
            <w:tcW w:w="6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60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net of income taxes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 net of income taxes</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non-renewal charge, net of income taxes</w:t>
            </w:r>
          </w:p>
        </w:tc>
        <w:tc>
          <w:tcPr>
            <w:tcW w:w="1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7"/>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common share</w:t>
            </w:r>
          </w:p>
        </w:tc>
        <w:tc>
          <w:tcPr>
            <w:tcW w:w="2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0.53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bl>
    <w:p>
      <w:pPr>
        <w:spacing w:after="0" w:line="19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non-GAAP financial measures exclude costs associated with share-based compensation, amortization of acquired intangible assets and the executive non-renewal charge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and the executive non-renewal charge are useful for purposes of evaluating operating performance of our core operating results and comparing them period over 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 June 30, 2015 Compared to Six Months Ended June 30, 2014</w:t>
      </w:r>
    </w:p>
    <w:p>
      <w:pPr>
        <w:spacing w:after="0" w:line="227"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Our revenue for the first six months of 2015 was $15.8 billion, a decrease of $6.1 billion, or 27.7%, as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of 2014. Our revenue during these periods was attributable to the following segments (in millions):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40" w:type="dxa"/>
            <w:vAlign w:val="bottom"/>
          </w:tcPr>
          <w:p>
            <w:pPr>
              <w:spacing w:after="0"/>
              <w:rPr>
                <w:sz w:val="17"/>
                <w:szCs w:val="17"/>
                <w:color w:val="auto"/>
              </w:rPr>
            </w:pPr>
          </w:p>
        </w:tc>
        <w:tc>
          <w:tcPr>
            <w:tcW w:w="1140" w:type="dxa"/>
            <w:vAlign w:val="bottom"/>
            <w:gridSpan w:val="2"/>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6,082.3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8,686.4</w:t>
            </w:r>
          </w:p>
        </w:tc>
        <w:tc>
          <w:tcPr>
            <w:tcW w:w="7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9"/>
              </w:rPr>
              <w:t>(2,604.1)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5,126.1</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7,013.0</w:t>
            </w:r>
          </w:p>
        </w:tc>
        <w:tc>
          <w:tcPr>
            <w:tcW w:w="740" w:type="dxa"/>
            <w:vAlign w:val="bottom"/>
          </w:tcPr>
          <w:p>
            <w:pPr>
              <w:spacing w:after="0"/>
              <w:rPr>
                <w:sz w:val="18"/>
                <w:szCs w:val="18"/>
                <w:color w:val="auto"/>
              </w:rPr>
            </w:pPr>
          </w:p>
        </w:tc>
        <w:tc>
          <w:tcPr>
            <w:tcW w:w="112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9"/>
              </w:rPr>
              <w:t>(1,886.9)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15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4,628.7</w:t>
            </w: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7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9"/>
              </w:rPr>
              <w:t>(1,565.3)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15,837.1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21,893.4</w:t>
            </w:r>
          </w:p>
        </w:tc>
        <w:tc>
          <w:tcPr>
            <w:tcW w:w="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8"/>
                <w:szCs w:val="18"/>
                <w:color w:val="auto"/>
                <w:w w:val="99"/>
              </w:rPr>
              <w:t>(6,056.3)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aviation segment revenue for the first six months of 2015 was $6.1 billion, a decrease of $2.6 billion, or 30.0%, as compared to the first six months of 2014. Of the decrease in aviation segment revenue, $3.6 billion was due to a decrease in the average price per gallon sold as a result of lower average jet fuel prices in the first six months of 2015 as compared to the first six months of 2014, which was partially offset by $1.0 billion principally due to increased volume attributable to new and existing customers.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marine segment revenue for the first six months of 2015 was $5.1 billion, a decrease of $1.9 billion, or 26.9%, as compared to the first six months of 2014. Of the decrease in marine segment revenue, $4.2 billion was due to a decrease in the average price per metric ton sold as a result of lower average marine fuel prices in the first six months of 2015 as compared to the first six months of 2014, which was partially offset by $2.3 billion due to increased volume attributable to new and existing customers.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land segment revenue for the first six months of 2015 was $4.6 billion, a decrease of $1.6 billion, or 25.3%, as compared to the first six months of 2014. Of the decrease in land segment revenue, $2.2 billion was due to a decrease in the average price per gallon sold as a result of lower average land fuel prices in the first six months of 2015 as compared to the first six months of 2014, which was partially offset by $0.6 billion principally due to revenue from acquired businesses.</w:t>
      </w:r>
    </w:p>
    <w:p>
      <w:pPr>
        <w:spacing w:after="0" w:line="17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gross profit for the first six months of 2015 was $405.8 million, an increase of $26.3 million, or 6.9%,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first six months of 2014. Our gross profit during these periods was attributable to the following segments (in millions):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7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15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142.2</w:t>
            </w: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7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405.8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aviation segment gross profit for the first six months of 2015 was $167.9 million, an increase of $17.2 million, or 11.4%, as compared to the first six months of 2014. Of the increase in aviation segment gross profit, $18.3 million was due to gross profit from acquired businesses and $14.2 million was due to increased volume attributable to new and existing customers. This increase was partially offset by $15.3 million in lower gross profit per gallon sold due to fluctuations in customer mix.</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marine segment gross profit for the first six months of 2015 was $95.7 million, a decrease of $1.0 million, or 1.0%, as compared to the first six months of 2014. Of the decrease in marine segment gross profit, $32.8 million was due to lower gross profit per metric ton sold principally due to limited price volatility in the in the first six months of 2015 as compared to the first six months of 2014, which was partially offset by $31.8 million in increased volume attributable to new and existing customers.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land segment gross profit for the first six months of 2015 was $142.2 million, an increase of $10.1 million, or 7.6%, as compared to the first six months of 2014. Of the increase in land segment gross profit, $16.2 million was due to gross profit from acquired businesses and $6.8 million was due to increased volume attributable to new and existing customers. This increase was partially offset by $12.9 million in lower gross profit per gallon sold due to fluctuations in customer mix.</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first six months of 2015 were $292.8 million, an increase of $37.4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14.6%, as compared to the first six months of 2014. The following table sets forth our expense categories (in millions):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176.2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7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113.0</w:t>
            </w: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7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292.8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$27.8 million increase in compensation and employee benefits, $15.8 million was due to the inclusion of expenses from acquired businesses and $12.0 million was principally due to increased compensation expenses to support our growing global business. The $8.3 million increase in general and administrative expenses was principally due to expenses related to acquired businesses.</w:t>
      </w:r>
    </w:p>
    <w:p>
      <w:pPr>
        <w:spacing w:after="0" w:line="174"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Our income from operations for the first six months of 2015 was $113.0 million, a decrease of $11.1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8.9%, as compared to the first six months of 2014. Income from operations during these periods was attributable to the following segments (in millions):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10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overhead - unallocated</w:t>
            </w:r>
          </w:p>
        </w:tc>
        <w:tc>
          <w:tcPr>
            <w:tcW w:w="10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aviation segment income from operations for the first six months of 2015 was $53.8 million, a decrease of $13.4 million, or 19.9%, as compared to the first six months of 2014. This decrease resulted from a $30.6 million increase in operating expenses, which was partially offset by $17.2 million in higher gross profit. Of the increase in operating expenses, $18.1 million was related to the inclusion of acquired businesses, $3.8 million was related to the termination of the employment agreement of our former Aviation Segment President and $8.7 million was principally due to increased operating expenses to support our growing global business.</w:t>
      </w:r>
    </w:p>
    <w:p>
      <w:pPr>
        <w:spacing w:after="0" w:line="1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marine segment income from operations for the first six months of 2015 was $39.7 million, a decrease of $2.3 million, or 5.5%, as compared to the first six months of 2014. This decrease resulted from $1.0 million in lower gross profit and a $1.3 million increase in operating expenses.</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land segment income from operations for the first six months of 2015 was $48.3 million, an increase of $7.4 million, or 18.1%, as compared to the first six months of 2014. This increase resulted from $10.1 million in higher gross profit, which was partially offset by a $2.7 million increase in operating expenses. The increase in operating expenses was principally due to expenses related to acquired businesses.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Corporate overhead costs not charged to the business segments for the first six months of 2015 were $28.8 million, an increase of $2.8 million, or 10.8%, as compared to the first six months of 2014 principally due to increased compensation expenses to support our growing global business.</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net. </w:t>
      </w:r>
      <w:r>
        <w:rPr>
          <w:rFonts w:ascii="Times New Roman" w:cs="Times New Roman" w:eastAsia="Times New Roman" w:hAnsi="Times New Roman"/>
          <w:sz w:val="18"/>
          <w:szCs w:val="18"/>
          <w:color w:val="auto"/>
        </w:rPr>
        <w:t>For the first six months of 2015, we had non-operating expenses, net of $15.0 million,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$9.3 million as compared to the first six months of 2014. This increase was principally due to a $4.7 million increase in interest expense and other financing costs, net, as a result of higher average borrowings in the first six months of 2015 as compared to the first six months of 2014, a $3.6 million reduction of equity earnings in the first six months of 2015 as compared to the first six months of 2014 and a $1.0 million increase principally due to foreign currency exchange losses for the first six months of 2015 as compared to the first six months of 2014.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the first six months of 2015, our effective income tax rate was 15.4% and our income tax provision was $15.1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compared to an effective income tax rate of 18.2% and an income tax provision of $21.5 million for the first six months of 2014. The lower effective income tax rate for the first six months of 2015 resulted principally from differences in the results of our subsidiaries in tax jurisdictions with different income tax rates as compared to the first six months of 2014.</w:t>
      </w:r>
    </w:p>
    <w:p>
      <w:pPr>
        <w:spacing w:after="0" w:line="1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Loss Attributable to Noncontrolling Interest</w:t>
      </w:r>
      <w:r>
        <w:rPr>
          <w:rFonts w:ascii="Times New Roman" w:cs="Times New Roman" w:eastAsia="Times New Roman" w:hAnsi="Times New Roman"/>
          <w:sz w:val="18"/>
          <w:szCs w:val="18"/>
          <w:color w:val="auto"/>
        </w:rPr>
        <w:t>. For the first six months of 2015, net loss attributable to noncontrolling interest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 million, an increase of $0.5 million as compared to the first six months of 2014.</w:t>
      </w:r>
    </w:p>
    <w:p>
      <w:pPr>
        <w:spacing w:after="0" w:line="15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Net Income and Diluted Earnings per Common Share</w:t>
      </w:r>
      <w:r>
        <w:rPr>
          <w:rFonts w:ascii="Times New Roman" w:cs="Times New Roman" w:eastAsia="Times New Roman" w:hAnsi="Times New Roman"/>
          <w:sz w:val="18"/>
          <w:szCs w:val="18"/>
          <w:color w:val="auto"/>
        </w:rPr>
        <w:t>. Our net income for the first six months of 2015 was $85.5 million,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$13.5 million, or 13.6%, as compared to the first six months of 2014. Diluted earnings per common share for the first six months of 2015 was $1.20 per common share, a decrease of $0.19 per common share, or 13.7%, as compared to the first six months of 2014.</w:t>
      </w:r>
    </w:p>
    <w:p>
      <w:pPr>
        <w:spacing w:after="0" w:line="174"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Non-GAAP Net Income and Non-GAAP Diluted Earnings per Common Share</w:t>
      </w:r>
      <w:r>
        <w:rPr>
          <w:rFonts w:ascii="Times New Roman" w:cs="Times New Roman" w:eastAsia="Times New Roman" w:hAnsi="Times New Roman"/>
          <w:sz w:val="18"/>
          <w:szCs w:val="18"/>
          <w:color w:val="auto"/>
        </w:rPr>
        <w:t>. Our non-GAAP net income for the first six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was $102.9 million, a decrease of $13.4 million, or 11.5%, as compared to the first six months of 2014. Non-GAAP diluted earnings per common share for the first six months of 2015 was $1.44 per common share, an decrease of $0.19 per common share, or -11.7%, as compared to the first six months of 2014. The following table sets forth the reconciliation between our net income and non-GAAP net income for the first six months of 2015 and 2014 (in millions):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9"/>
        </w:trPr>
        <w:tc>
          <w:tcPr>
            <w:tcW w:w="7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7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net of income taxes of $2.4 and $2.1 for 2015 and 2014, respectively</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98"/>
        </w:trPr>
        <w:tc>
          <w:tcPr>
            <w:tcW w:w="7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Intangible asset amortization expense, net of income taxes of $3.4 and $4.3 for 2015 and 2014,</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purchase accounting adjustment, net of income taxes of $0.4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the acquisition of Watson Petroleum</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of employment agreement, net of income taxes of $1.5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non-renewal charge, net of income taxes of $1.8</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7"/>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Non-GAAP net income attributable to World Fuel</w:t>
            </w:r>
          </w:p>
        </w:tc>
        <w:tc>
          <w:tcPr>
            <w:tcW w:w="4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102.9</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between our diluted earnings per common share and non-GAAP diluted earnings per common share for the first six months of 2015 and 2014:</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16"/>
        </w:trPr>
        <w:tc>
          <w:tcPr>
            <w:tcW w:w="6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9"/>
        </w:trPr>
        <w:tc>
          <w:tcPr>
            <w:tcW w:w="65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net of income taxes</w:t>
            </w:r>
          </w:p>
        </w:tc>
        <w:tc>
          <w:tcPr>
            <w:tcW w:w="172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 net of income taxes</w:t>
            </w:r>
          </w:p>
        </w:tc>
        <w:tc>
          <w:tcPr>
            <w:tcW w:w="17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purchase accounting adjustment, net of income taxes</w:t>
            </w:r>
          </w:p>
        </w:tc>
        <w:tc>
          <w:tcPr>
            <w:tcW w:w="172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the acquisition of Watson Petroleum</w:t>
            </w:r>
          </w:p>
        </w:tc>
        <w:tc>
          <w:tcPr>
            <w:tcW w:w="17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Termination of employment agreement, net of income taxes</w:t>
            </w:r>
          </w:p>
        </w:tc>
        <w:tc>
          <w:tcPr>
            <w:tcW w:w="172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non-renewal charge, net of income taxes</w:t>
            </w:r>
          </w:p>
        </w:tc>
        <w:tc>
          <w:tcPr>
            <w:tcW w:w="17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7"/>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Non-GAAP diluted earnings per common share</w:t>
            </w: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non-GAAP financial measures exclude costs associated with share-based compensation, amortization of acquired intangible assets, deferred revenue purchase accounting adjustments, expenses related to the acquisition of Watson Petroleum, the termination of an employment agreement and the executive non-renewal charge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the acquisition of Watson Petroleum, the termination of an employment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and the executive non-renewal charge are useful for purposes of evaluating operating performance of our core operating results and comparing them period over period. In accordance with the fair value provisions applicable to the accounting for business combinations, acquired deferred revenue is often recorded on the opening balance sheet at an amount that is lower than the historical carrying value. Although this acquisition accounting requirement has no impact on our business or cash flows, it adversely impacts our reported GAAP revenue in the reporting periods following an acquisition. We believe that the exclusion of the deferred revenue purchase accounting adjustment is useful to investors as an additional means to reflect trends of our business and provides investors with financial information that facilitates comparison of both historical and future results.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major categories of cash flows for the six months ended June 30, 2015 and 2014 (in millions). For additional details, please see the consolidated statements of cash flows.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9"/>
        </w:trPr>
        <w:tc>
          <w:tcPr>
            <w:tcW w:w="5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1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177.8</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(24.0)</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34.7</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bl>
    <w:p>
      <w:pPr>
        <w:spacing w:after="0" w:line="196"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For the six months ended June 30, 2015, net cash provided by operating activities was $177.8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$102.0 million for the first six months of 2014. The $75.8 million increase in operating cash flows was primarily due to year-over-year changes in assets and liabilities, net of acquisitions.</w:t>
      </w:r>
    </w:p>
    <w:p>
      <w:pPr>
        <w:spacing w:after="0" w:line="174"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For the six months ended June 30, 2015, net cash used in investing activities was $24.0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$206.8 million for the first six months of 2014. The $182.8 million decrease in cash used in investing activities was principally due to the acquisition of Watson Petroleum in 2014.</w:t>
      </w:r>
    </w:p>
    <w:p>
      <w:pPr>
        <w:spacing w:after="0" w:line="17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For the six months ended June 30, 2015, net cash provided by financing activities was $34.7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$208.2 million for the first six months of 2014. The $173.5 million decrease in cash provided by financing activities was principally due to a $136.3 million decrease in net borrowings under our Credit Facility in the first six months of 2015 as compared to the first six months of 2014 and $30.0 million of common stock repurchases in the first six months of 2015.</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Liquidity Measures</w:t>
      </w:r>
    </w:p>
    <w:p>
      <w:pPr>
        <w:spacing w:after="0" w:line="225"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As of June 30, 2015 and December 31, 2014, we had cash and cash equivalents of $489.7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$302.3 million, respectively.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Facility and Term Loans. </w:t>
      </w:r>
      <w:r>
        <w:rPr>
          <w:rFonts w:ascii="Times New Roman" w:cs="Times New Roman" w:eastAsia="Times New Roman" w:hAnsi="Times New Roman"/>
          <w:sz w:val="18"/>
          <w:szCs w:val="18"/>
          <w:color w:val="auto"/>
        </w:rPr>
        <w:t>We have a Credit Facility which permits borrowings up to $1.26 billion. Under the Credit Facility,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to request increases in available borrowings up to an additional $150.0 million, subject to the satisfaction of certain conditions. Additionally, the Credit Facility has a sublimit of $400.0 million for the issuance of letters of credit and bankers’ acceptances and matures in October 2018. We had outstanding borrowings under our Credit Facility totaling $406.0 million and $420.0 million as of June 30, 2015 and December 31, 2014, respectively. Our issued letters of credit under the Credit Facility totaled $14.1 million and $14.8 million as of June 30, 2015 and December 31, 2014, respectively. We also had $337.9 million and $241.3 million in Term Loans outstanding as of June 30, 2015 and December 31, 2014, respectively. As of June 30, 2015 and December 31, 2014, the unused portion of our Credit Facility was $839.9 million and $665.2 million, respectively.</w:t>
      </w:r>
    </w:p>
    <w:p>
      <w:pPr>
        <w:spacing w:after="0" w:line="187"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June 30, 2015, we were in compliance with all financial covenants contained in our Credit Facility and our Term Loans.</w:t>
      </w:r>
    </w:p>
    <w:p>
      <w:pPr>
        <w:spacing w:after="0" w:line="197"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Other Credit Lines and Receivables Purchase Agreements</w:t>
      </w:r>
      <w:r>
        <w:rPr>
          <w:rFonts w:ascii="Times New Roman" w:cs="Times New Roman" w:eastAsia="Times New Roman" w:hAnsi="Times New Roman"/>
          <w:sz w:val="18"/>
          <w:szCs w:val="18"/>
          <w:color w:val="auto"/>
        </w:rPr>
        <w:t>. Additionally, we have other uncommitted credit lines primarily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letters of credit, bank guarantees and bankers’ acceptances. These credit lines are renewable on an annual basis and are subject to fees at market rates. As of June 30, 2015 and December 31, 2014, our outstanding letters of credit and bank guarantees under these credit lines totaled $207.1 million and $211.4 million, respectively. We also have Receivables Purchase Agreements (“RPAs”) that allow for the sale of up to an aggregate of $375.0 million of our accounts receivable. As of June 30, 2015, we had sold accounts receivable of $165.0 million under the RPAs.</w:t>
      </w:r>
    </w:p>
    <w:p>
      <w:pPr>
        <w:spacing w:after="0" w:line="18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Short-Term Debt</w:t>
      </w:r>
      <w:r>
        <w:rPr>
          <w:rFonts w:ascii="Times New Roman" w:cs="Times New Roman" w:eastAsia="Times New Roman" w:hAnsi="Times New Roman"/>
          <w:sz w:val="18"/>
          <w:szCs w:val="18"/>
          <w:color w:val="auto"/>
        </w:rPr>
        <w:t>. As of June 30, 2015, our short-term debt of $22.2 million primarily represents the current maturities (within the next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twelve months) of Term Loan borrowings, certain promissory notes related to acquisitions and capital lease obligations.</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as of June 30, 2015 (of which $97.2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86" w:lineRule="exact"/>
        <w:rPr>
          <w:sz w:val="20"/>
          <w:szCs w:val="20"/>
          <w:color w:val="auto"/>
        </w:rPr>
      </w:pPr>
    </w:p>
    <w:p>
      <w:pPr>
        <w:jc w:val="both"/>
        <w:ind w:right="20" w:firstLine="324"/>
        <w:spacing w:after="0" w:line="277" w:lineRule="auto"/>
        <w:rPr>
          <w:sz w:val="20"/>
          <w:szCs w:val="20"/>
          <w:color w:val="auto"/>
        </w:rPr>
      </w:pPr>
      <w:r>
        <w:rPr>
          <w:rFonts w:ascii="Times New Roman" w:cs="Times New Roman" w:eastAsia="Times New Roman" w:hAnsi="Times New Roman"/>
          <w:sz w:val="17"/>
          <w:szCs w:val="17"/>
          <w:color w:val="auto"/>
        </w:rPr>
        <w:t>In June 2015, our Board of Directors renewed its existing common stock repurchase program by replacing the remainder of the existing program and authorizing the purchase of up to $100.0 million in common stock. The program does not require a minimum number of shares of common stock to be purchased, has no expiration date and may be suspended or discontinued at any time. As of June 30, 2015, we have $100.0 million available to repurchase shares under the share repurchase program. The timing and amount of shares of common stock to be repurchased under the program will depend on market conditions, share price, securities law and other legal requirements and factors.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changes in the contractual obligations and off-balance sheet arrangements described below, there were no other material changes from December 31, 2014 to June 30, 2015. For a discussion of these matters, refer to “Contractual Obligations and Off-Balance Sheet Arrangements” in Item 7 of our 2014 10-K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Derivative Obligations. </w:t>
      </w:r>
      <w:r>
        <w:rPr>
          <w:rFonts w:ascii="Times New Roman" w:cs="Times New Roman" w:eastAsia="Times New Roman" w:hAnsi="Times New Roman"/>
          <w:sz w:val="18"/>
          <w:szCs w:val="18"/>
          <w:color w:val="auto"/>
        </w:rPr>
        <w:t>As of June 30, 2015, our net derivative obligations were $34.0 million, principally due within one year.</w:t>
      </w:r>
    </w:p>
    <w:p>
      <w:pPr>
        <w:spacing w:after="0" w:line="225" w:lineRule="exact"/>
        <w:rPr>
          <w:sz w:val="20"/>
          <w:szCs w:val="20"/>
          <w:color w:val="auto"/>
        </w:rPr>
      </w:pPr>
    </w:p>
    <w:p>
      <w:pPr>
        <w:ind w:left="40" w:firstLine="2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Commitment Obligations. </w:t>
      </w:r>
      <w:r>
        <w:rPr>
          <w:rFonts w:ascii="Times New Roman" w:cs="Times New Roman" w:eastAsia="Times New Roman" w:hAnsi="Times New Roman"/>
          <w:sz w:val="18"/>
          <w:szCs w:val="18"/>
          <w:color w:val="auto"/>
        </w:rPr>
        <w:t>As of June 30, 2015, fixed purchase commitments under our derivative programs amounted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$88.7 million, principally due within one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Letters of Credit and Bank Guarantees. </w:t>
      </w:r>
      <w:r>
        <w:rPr>
          <w:rFonts w:ascii="Times New Roman" w:cs="Times New Roman" w:eastAsia="Times New Roman" w:hAnsi="Times New Roman"/>
          <w:sz w:val="18"/>
          <w:szCs w:val="18"/>
          <w:color w:val="auto"/>
        </w:rPr>
        <w:t>In the normal course of business, we are required to provide letters of credit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A majority of these letters of credit expire within one year from their issuance, and expired letters of credit are renewed as needed. As of June 30, 2015, we had issued letters of credit and bank guarantees totaling $221.2 million under our Credit Facility and other uncommitted credit lines. For additional information on our Credit Facility and other credit lines, see the discussion in “Liquidity and Capital Resources”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recent accounting pronouncements is included in Note 1 - Significant Accounting Policies in the “Notes to the Consolidated Financial Statements” in this 10-Q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describes our derivative classifications:</w:t>
      </w:r>
    </w:p>
    <w:p>
      <w:pPr>
        <w:spacing w:after="0" w:line="142"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Includes certain of our foreign currency forward contracts we enter into in order to mitigate the risk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 fluctuations.</w:t>
      </w:r>
    </w:p>
    <w:p>
      <w:pPr>
        <w:spacing w:after="0" w:line="116"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Fair Value Hedges</w:t>
      </w:r>
      <w:r>
        <w:rPr>
          <w:rFonts w:ascii="Times New Roman" w:cs="Times New Roman" w:eastAsia="Times New Roman" w:hAnsi="Times New Roman"/>
          <w:sz w:val="18"/>
          <w:szCs w:val="18"/>
          <w:color w:val="auto"/>
        </w:rPr>
        <w:t>. Includes derivatives we enter into in order to hedge price risk associated with our inventory and certain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relating to fixed price purchase and sale contracts.</w:t>
      </w:r>
    </w:p>
    <w:p>
      <w:pPr>
        <w:spacing w:after="0" w:line="116" w:lineRule="exact"/>
        <w:rPr>
          <w:sz w:val="20"/>
          <w:szCs w:val="20"/>
          <w:color w:val="auto"/>
        </w:rPr>
      </w:pPr>
    </w:p>
    <w:p>
      <w:pPr>
        <w:jc w:val="both"/>
        <w:ind w:firstLine="324"/>
        <w:spacing w:after="0" w:line="227" w:lineRule="auto"/>
        <w:rPr>
          <w:sz w:val="20"/>
          <w:szCs w:val="20"/>
          <w:color w:val="auto"/>
        </w:rPr>
      </w:pPr>
      <w:r>
        <w:rPr>
          <w:rFonts w:ascii="Times New Roman" w:cs="Times New Roman" w:eastAsia="Times New Roman" w:hAnsi="Times New Roman"/>
          <w:sz w:val="18"/>
          <w:szCs w:val="18"/>
          <w:i w:val="1"/>
          <w:iCs w:val="1"/>
          <w:color w:val="auto"/>
        </w:rPr>
        <w:t>Non-designated Derivatives</w:t>
      </w:r>
      <w:r>
        <w:rPr>
          <w:rFonts w:ascii="Times New Roman" w:cs="Times New Roman" w:eastAsia="Times New Roman" w:hAnsi="Times New Roman"/>
          <w:sz w:val="18"/>
          <w:szCs w:val="18"/>
          <w:color w:val="auto"/>
        </w:rPr>
        <w:t>. Includes derivatives we primarily enter into in order to mitigate the risk of market price fluctuations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aviation, marine and land fuel in the form of swaps or futures as well as certain fixed price purchase and sale contracts and proprietary trading. In addition, non-designated derivatives are also entered into to hedge the risk of currency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12"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As of June 30, 2015, our derivative instruments, at their respective fair value positions were as follows (in millions, except weighted average fixed price and weighted average mark-to-market amount):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Mark-to-</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Hedge Strategy</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3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1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w:t>
            </w:r>
          </w:p>
        </w:tc>
        <w:tc>
          <w:tcPr>
            <w:tcW w:w="22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11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32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Fixed Price</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Hedge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for inventory hedging</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53.090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0.611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6"/>
        </w:trPr>
        <w:tc>
          <w:tcPr>
            <w:tcW w:w="1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3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Commodity contracts for inventory hedging</w:t>
            </w:r>
          </w:p>
        </w:tc>
        <w:tc>
          <w:tcPr>
            <w:tcW w:w="138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82.308</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0"/>
        </w:trPr>
        <w:tc>
          <w:tcPr>
            <w:tcW w:w="1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Non-Designated</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48.561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2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61.486</w:t>
            </w:r>
          </w:p>
        </w:tc>
        <w:tc>
          <w:tcPr>
            <w:tcW w:w="24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3.238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47.520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2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59.020</w:t>
            </w:r>
          </w:p>
        </w:tc>
        <w:tc>
          <w:tcPr>
            <w:tcW w:w="24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1.150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28.350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2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28.570</w:t>
            </w:r>
          </w:p>
        </w:tc>
        <w:tc>
          <w:tcPr>
            <w:tcW w:w="24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1.750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84.000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AUD</w:t>
            </w:r>
          </w:p>
        </w:tc>
        <w:tc>
          <w:tcPr>
            <w:tcW w:w="2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0.774</w:t>
            </w:r>
          </w:p>
        </w:tc>
        <w:tc>
          <w:tcPr>
            <w:tcW w:w="2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(0.005)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1,898.3</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CLP</w:t>
            </w:r>
          </w:p>
        </w:tc>
        <w:tc>
          <w:tcPr>
            <w:tcW w:w="2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626.065</w:t>
            </w:r>
          </w:p>
        </w:tc>
        <w:tc>
          <w:tcPr>
            <w:tcW w:w="24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0.000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40,853.2</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COP</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2,516.788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52.4</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EUR</w:t>
            </w:r>
          </w:p>
        </w:tc>
        <w:tc>
          <w:tcPr>
            <w:tcW w:w="2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1.105</w:t>
            </w:r>
          </w:p>
        </w:tc>
        <w:tc>
          <w:tcPr>
            <w:tcW w:w="2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(0.011)</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137.5</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GBP</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(0.011)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2,372.2</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MXN</w:t>
            </w:r>
          </w:p>
        </w:tc>
        <w:tc>
          <w:tcPr>
            <w:tcW w:w="2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15.371</w:t>
            </w:r>
          </w:p>
        </w:tc>
        <w:tc>
          <w:tcPr>
            <w:tcW w:w="2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(0.000)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33.0</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SEK</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8.566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65.7</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SGD</w:t>
            </w:r>
          </w:p>
        </w:tc>
        <w:tc>
          <w:tcPr>
            <w:tcW w:w="2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1.345</w:t>
            </w:r>
          </w:p>
        </w:tc>
        <w:tc>
          <w:tcPr>
            <w:tcW w:w="2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(0.002)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120.2</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ZAR</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12.201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0.001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3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27.3</w:t>
            </w: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GBP</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1.552</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(0.018)</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7"/>
        </w:trPr>
        <w:tc>
          <w:tcPr>
            <w:tcW w:w="1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exposures to interest rate or foreign currency risk since December 31, 2014. Please refer to our 2014 10-K Report for a complete discussion of our exposure to these risks.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June 30,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June 30, 2015.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Lac-Mégantic, Quebec</w:t>
      </w:r>
    </w:p>
    <w:p>
      <w:pPr>
        <w:spacing w:after="0" w:line="229" w:lineRule="exact"/>
        <w:rPr>
          <w:sz w:val="20"/>
          <w:szCs w:val="20"/>
          <w:color w:val="auto"/>
        </w:rPr>
      </w:pPr>
    </w:p>
    <w:p>
      <w:pPr>
        <w:jc w:val="both"/>
        <w:ind w:right="20" w:firstLine="324"/>
        <w:spacing w:after="0" w:line="254" w:lineRule="auto"/>
        <w:rPr>
          <w:sz w:val="20"/>
          <w:szCs w:val="20"/>
          <w:color w:val="auto"/>
        </w:rPr>
      </w:pPr>
      <w:r>
        <w:rPr>
          <w:rFonts w:ascii="Times New Roman" w:cs="Times New Roman" w:eastAsia="Times New Roman" w:hAnsi="Times New Roman"/>
          <w:sz w:val="18"/>
          <w:szCs w:val="18"/>
          <w:color w:val="auto"/>
        </w:rPr>
        <w:t>We, on behalf of DPTS Marketing, LLC (“DPM”), a crude oil marketing joint venture in which we previously owned a 50% membership interest, purchased crude oil from various producers in the Bakken region of North Dakota. Dakota Petroleum Transport Solutions, LLC (“DPTS”), a crude oil transloading joint venture in which we also previously owned a 50% membership interest, arranged for the transloading of the crude oil for DPM into tank cars at its facility in New Town, North Dakota. We leased the tank cars used in the transloading from a number of third party lessors and subleased these tank cars to DPM. We, on behalf of DPM, contracted with Canadian Pacific Railway (“CPR”) for the transportation of the tank cars and the crude oil from New Town, North Dakota to a customer in New Brunswick, Canada. CPR subcontracted a portion of that route to Montreal, Maine and Atlantic Railway (“MMA”). On July 6, 2013, the freight train operated by MMA with tank cars carrying approximately 50,000 barrels of crude oil derailed in Lac-Mégantic, Quebec (the “Derailment”). The Derailment resulted in significant loss of life, damage to the environment from spilled crude oil and extensive property damage.</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2013, we, certain of our subsidiaries, DPM and DPTS, along with a number of third parties, including MMA and certain of its affiliates, as well as several manufacturers and lessors of tank cars, were named as defendants in twenty complaints filed in the Circuit Court of Cook County, Illinois. The complaints generally allege wrongful death and negligence in the failure to provide for the proper and safe transportation of crude oil and seek economic and compensatory damages, as well as costs. The actions were removed to the United States District Court for the Northern District of Illinois (the “IL District Court”) and subsequently reassigned to a single judge in the IL District Court (other than one action that was remanded to state court prior to reassignment and another that was voluntarily dismissed by the plaintiffs).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plaintiffs subsequently filed a motion to have these actions remanded to state court. We filed a motion in the United States District Court for the District of Maine (the “ME District Court”), where MMA’s bankruptcy is pending, to transfer all of these actions to that court. On March 21, 2014, the ME District Court granted the transfer motion. On April 4, 2014, the plaintiffs filed a motion for reconsideration of the order granting the transfer motion and a motion requesting the ME District Court abstain from exercising jurisdiction over the transferred cases. The motion for reconsideration was denied and the motion for abstention remains pending. On May 1, 2014, the plaintiffs filed a notice stating their intention to appeal the order granting the transfer motion to the First Circuit Court of Appeals. On June 17, 2014, the ME District Court entered a consent order staying proceedings in the transferred cases pending the appeal. On March 23, 2015, the ME District Court entered an amended consent order staying proceedings in the transferred cases pending the appeal but allowing plaintiffs to file additional cases. As a result, in June 2015, we, certain of our subsidiaries, DPM and DPTS, along with numerous third parties were named as defendants in seventeen new complaints filed in the Circuit Court of Cook County, Illinois. The allegations, claims and damages sought against us in these new actions are substantially the same as in the transferred cases. Additionally, in June 2015, we, certain of our subsidiaries, DPM and DPTS, along with numerous third parties were named as defendants in two class actions filed in the District Court of Dallas County, Texas. The class action complaints generally allege wrongful death and negligence in the failure to provide for the proper and safe transportation of crude oil and seek economic, compensatory and punitive damages, as well as costs. As discussed in greater detail below, we expect these new actions will be stayed in conjunction with the Settlement Agreement (as defined below).</w:t>
      </w:r>
    </w:p>
    <w:p>
      <w:pPr>
        <w:spacing w:after="0" w:line="197"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In 2013, we, certain of our subsidiaries, DPM and DPTS, along with a number of other third parties, including CPR, MMA and certain of its affiliates, several manufacturers and lessors of tank cars, as well as the intended purchaser and certain suppliers of the crude oil, were named as defendants in a motion filed in Quebec Superior Court to authorize the bringing of a class-action lawsuit seeking economic, compensatory and punitive damages, as well as costs (the “Quebec Class Action”). The motion generally alleges wrongful death and negligence in the failure to provide for the proper and safe transportation of crude oil. On February 24, 2015, the Superior Court of Quebec issued an order staying the class action proceedings in light of settlement agreements reached by several other defendants with the Trustee and the monitor in MMA’s Canadian bankruptcy (the “Monitor”). On March 20, 2015, by terms of the order dated February 24, 2015, the stay was lifted in respect of all non-settling defendants, including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right="20" w:firstLine="324"/>
        <w:spacing w:after="0" w:line="254" w:lineRule="auto"/>
        <w:rPr>
          <w:sz w:val="20"/>
          <w:szCs w:val="20"/>
          <w:color w:val="auto"/>
        </w:rPr>
      </w:pPr>
      <w:r>
        <w:rPr>
          <w:rFonts w:ascii="Times New Roman" w:cs="Times New Roman" w:eastAsia="Times New Roman" w:hAnsi="Times New Roman"/>
          <w:sz w:val="18"/>
          <w:szCs w:val="18"/>
          <w:color w:val="auto"/>
        </w:rPr>
        <w:t>In 2013, the Quebec Minister for Sustainable Development, Environment, Wildlife and Parks (the “Minister”) issued an order requiring MMA and us to recover the spilled crude oil caused by the incident and to otherwise fully remediate the impact of the incident on the environment. The Minister subsequently issued a modified order, to which CPR was added as a party. The requirements of the modified order with respect to us are not materially different from the initial order (the initial order and modified order are hereinafter collectively referred to as the “Order”). We have filed a contestation of the Order before the Tribunal administratif du Québec, an administrative body responsible for hearing such contestations, that challenges the legality and validity of the Order on various grounds. In July and September of 2014, we voluntarily entered into agreements with the government of Quebec to perform sediment characterization work in Lake Mégantic and the Chaudière River and certain remediation work in the Chaudière River. The associated cost of these activities was not significant and is covered by insurance. These agreements were made without admission of liability and under full reservation of rights.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30, 2014, the Trustee filed an adversary proceeding against us, and certain of our subsidiaries, in the United States Bankruptcy Court for the District of Maine alleging negligence in the failure to provide the proper and safe transportation of crude oil, and seeking economic damages, as well as costs and expenses associated with MMA’s lawsuits arising from the incident. On May 29, 2014, we and our named subsidiaries filed an answer to the Trustee’s complaint. On January 9, 2015, the Trustee filed an amended complaint in the adversary proceeding naming CPR and Irving Oil Limited as defendants, and on May 18, 2015, the Trustee filed a second amended complaint naming SMBC Rail Services, LLC as a defendant. Discovery in the case has commenced.</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to these proceedings, we have received demands for defense and/or indemnification from certain tank car lessors pursuant to our lease agreements with such parties. In connection with these demands, three of our tank car lessors have filed actions against us seeking a declaratory judgment on their indemnification claims and reimbursement for the value of certain leased tank cars that were lost or destroyed in the Derailment. Specifically, on July 28, 2014, The CIT Group/Equipment Financing, Inc. and CIT Group Inc. filed a complaint against us in the United States District Court for the District of Minnesota alleging breach of contract and seeking declaratory relief and economic damages, as well as costs. On September 19, 2014, we filed a motion to dismiss certain counts of the complaint, which has not yet been ruled on by the court. On October 10, 2014, CIT filed a motion for partial summary judgment, which motion is currently pending before the court. On July 9, 2015, we entered into a settlement agreement with CIT resolving all claims between the parties arising out of the Derailment. The settlement is conditioned on upon Final Approval of the Settlement Agreement (as each term is defined and discussed in greater detail below). As a result of our settlement with CIT, on July 21, 2015, CIT filed a motion to dismiss its complaint. Furthermore, on September 5, 2014, General Electric Railcar Services Corporation (“GE”) filed a complaint against us in the United States District Court for the Southern District of Florida alleging breach of contract and seeking declaratory relief and economic damages, as well as costs. On December 5, 2014, GE amended its complaint and on December 22, 2014, we filed a motion to dismiss certain counts of the amended complaint, which the court has not yet decided. Finally, on November 11, 2014, SMBC Rail Services (“SMBC”) filed a complaint against us in the Northern District of Texas alleging breach of contract and seeking declaratory relief and economic damages, costs, and injunctive relief prohibiting us from entering into any settlement agreement that would impair the obligations owed to SMBC under the lease agreement. On November 18, 2014, SMBC filed a motion for a preliminary injunction that sought to prohibit us from continuing settlement negotiations with the Trustee, the Monitor or other parties. We filed an opposition to the preliminary injunction on December 2, 2014, and a motion to dismiss certain counts of the complaint the following day. On December 29, 2014, the court denied SMBC’s motion for a preliminary injunction. On June 18, 2015, the court granted our motion to dismiss and dismissed SMBC’s claims without prejudice.</w:t>
      </w:r>
    </w:p>
    <w:p>
      <w:pPr>
        <w:spacing w:after="0" w:line="191"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June 8, 2015, we entered into a settlement agreement (the “Settlement Agreement”) with the Trustee, Montreal, Maine and Atlantic Canada Co. (“MMAC”), and the monitor (the “Monitor”) in MMAC’s Canadian bankruptcy (collectively, the “MMA Parties”) to resolve all claims arising out of the Derailment. Under the terms of the Settlement Agreement, we will contribute US$110 million (the “Settlement Payment”) to a compensation fund established to compensate parties who suffered losses as a result of the Derailment. As part of the settlement, we will also assign to the Trustee and MMAC certain claims we have against third parties arising out of the Derailment.</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consideration of the Settlement Payment and the assignment of claims to the Trustee and MMAC, we, as well as our former joint ventures, DPM and DPTS and each of their affiliates (collectively, the “WFS Parties”), will receive the benefit of the global releases and injunctions set forth in the respective bankruptcy plans filed by the Trustee in the U.S. and by MMAC in Canada (the “U.S. Bankruptcy Plan” and the “CCAA Plan” respectively, each a “Plan” and collectively the “Plans”). The effect of these global releases and injunctions will be to bar all claims which may exist now or in the future against the WFS Parties arising out of the Derailment, other than criminal claims which by law may not be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Neither the global releases and injunctions set forth in the Plans nor our obligation to pay the Settlement Amount will be effective unless and until the Plans are approved by creditors in both the U.S. and Canadian bankruptcies, an order sanctioning the CCAA Plan and confirming the U.S. Bankruptcy Plan is issued by the Canadian and U.S. bankruptcy courts, respectively, and each order becomes final and non-appealable (“Final Approval”).</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9, 2015, MMAC’s creditors voted to approve the CCAA Plan. In connection with CCAA Plan sanction process, CPR objected to the jurisdiction of the Canadian court and the sanctioning of the CCAA Plan. On July 13, 2015, the bankruptcy court in Canada issued orders overruling CPR’s objections and sanctioning the CCAA Plan, both of which remain subject to appeal. On July 15, 2015, the U.S. bankruptcy court held a hearing to consider approval of the Trustee’s disclosure statement related to the U.S. Bankruptcy Plan. In connection with that hearing, certain parties objected to approval of the disclosure statement, including CPR. At the hearing, the bankruptcy court in the U.S. overruled all of the objections, approved the disclosure statement and established certain dates for the process of confirming the U.S. Bankruptcy Plan, which dates are subject to change. Creditors in the U.S. bankruptcy have not yet voted on the U.S. Bankruptcy Plan and the U.S. bankruptcy court has not yet issued a ruling on the U.S. Bankruptcy Plan, which remains subject to challenge by third parties objecting to the Plan. If an order is issued by the U.S. Bankruptcy Court confirming the Plan, such order would be subject to appeal. As a result, Final Approval of the Plans and the related timing remain uncertain.</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Settlement Agreement, the Trustee and MMAC agreed to move to stay, pursuant to relevant sections of U.S. or Canadian bankruptcy codes, any and all claims or proceedings that are currently pending or subsequently filed against the WFS Parties prior to Final Approval of the Plans. Consequently, on June 26, 2015, upon motion of the Trustee, the U.S. bankruptcy court entered an order staying the Trustee’s adversary proceeding against us. In conjunction with the Settlement Agreement, plaintiffs’ counsel in the Quebec Class Action, plaintiffs’ counsel in the U.S. personal injury cases and counsel for the Province of Quebec agreed, upon execution of the Settlement Agreement by the WFS Parties, to stay the Quebec Class Action, the U.S. personal injury cases and the Order respectively. Consistent with the Settlement Agreement, we expect that the actions pending against us in Maine, Illinois and Texas, the Quebec Class Action, as well as the Order (and related contestation before the TAQ) will all be stayed as to the WFS Parties in due course.</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the claims against us in the Quebec Class Action, the Adversary Proceeding, the cases pending against us in Maine, Illinois and Texas and the claims filed by lessors are without merit. To the extent these actions are not stayed, or if the Plans do not receive Final Approval, we intend to vigorously defend against such claims and pursue any and all defenses available. Similarly, to the extent the Order and related contestation before the TAQ is not stayed or if the Plans do not receive Final Approval, we will continue to challenge both the legality and validity of the Order. If and when the Plans receive Final Approval, the global releases and injunctions set forth in the Plans will act to bar all of these claims.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2014, we sold our 50% interest in DPM and DPTS to certain subsidiaries of Dakota Plains Holdings, Inc. (“DAKP”), our partner in the joint ventures. In connection with the sale transaction, we agreed to indemnify DAKP and certain of its affiliates, including DPM and DPTS, for third party claims for bodily injury or property damage arising from the Derailment. Pursuant to the agreement, we will control the defense of DAKP and the joint ventures for claims associated with the Derailment. In addition, DAKP assigned to us all recoveries from third parties and under applicable insurance policies held by DAKP and the joint ventures for claims arising out of the Derailment. Finally, DAKP also agreed to indemnify us for certain costs and expenses arising out of the Derailment up to $10.0 million. As noted above, under the Settlement Agreement, DAKP and its affiliates are entitled to receive the benefit of the releases and injunctions set forth in the Plans.</w:t>
      </w:r>
    </w:p>
    <w:p>
      <w:pPr>
        <w:spacing w:after="0" w:line="18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 claims, lawsuits, proceedings, investigations and orders may be filed, commenced or issued with respect to the incident, which may involve civil claims for damages or governmental investigative, regulatory or enforcement actions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repurchases of common stock made by us during the quarterly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2015 (in thousands, except average price per share):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74"/>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2880" w:type="dxa"/>
            <w:vAlign w:val="bottom"/>
            <w:gridSpan w:val="2"/>
            <w:vMerge w:val="continue"/>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4/1/2015 - 4/30/2015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5/1/2015 - 5/31/2015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6/1/2015 - 6/30/2015</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5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193040</wp:posOffset>
            </wp:positionV>
            <wp:extent cx="164592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45920" cy="5143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180" w:right="20" w:hanging="188"/>
        <w:spacing w:after="0" w:line="281" w:lineRule="auto"/>
        <w:rPr>
          <w:sz w:val="20"/>
          <w:szCs w:val="20"/>
          <w:color w:val="auto"/>
        </w:rPr>
      </w:pPr>
      <w:r>
        <w:rPr>
          <w:rFonts w:ascii="Times New Roman" w:cs="Times New Roman" w:eastAsia="Times New Roman" w:hAnsi="Times New Roman"/>
          <w:sz w:val="16"/>
          <w:szCs w:val="16"/>
          <w:color w:val="auto"/>
        </w:rPr>
        <w:t>(1)These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78" w:lineRule="exact"/>
        <w:rPr>
          <w:sz w:val="20"/>
          <w:szCs w:val="20"/>
          <w:color w:val="auto"/>
        </w:rPr>
      </w:pPr>
    </w:p>
    <w:p>
      <w:pPr>
        <w:jc w:val="both"/>
        <w:ind w:left="180" w:hanging="188"/>
        <w:spacing w:after="0" w:line="272" w:lineRule="auto"/>
        <w:rPr>
          <w:sz w:val="20"/>
          <w:szCs w:val="20"/>
          <w:color w:val="auto"/>
        </w:rPr>
      </w:pPr>
      <w:r>
        <w:rPr>
          <w:rFonts w:ascii="Times New Roman" w:cs="Times New Roman" w:eastAsia="Times New Roman" w:hAnsi="Times New Roman"/>
          <w:sz w:val="16"/>
          <w:szCs w:val="16"/>
          <w:color w:val="auto"/>
        </w:rPr>
        <w:t>(2)In June 2015, our Board of Directors renewed its existing common stock repurchase program by replacing the remainder of the existing program and authorizing the purchase of up to $100.0 million in common stock (the “Repurchase Program”). The Repurchase Program does not require a minimum number of shares of common stock to be purchased, has no expiration date and may be suspended or discontinued at any time. As of June 30, 2015, $100.0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17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exhibits set forth in the following index of exhibits are filed as part of this 10-Q Report:</w:t>
      </w:r>
    </w:p>
    <w:p>
      <w:pPr>
        <w:spacing w:after="0" w:line="235" w:lineRule="exact"/>
        <w:rPr>
          <w:sz w:val="20"/>
          <w:szCs w:val="20"/>
          <w:color w:val="auto"/>
        </w:rPr>
      </w:pPr>
    </w:p>
    <w:p>
      <w:pPr>
        <w:spacing w:after="0"/>
        <w:tabs>
          <w:tab w:leader="none" w:pos="52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1260" w:right="80" w:hanging="892"/>
        <w:spacing w:after="0" w:line="276" w:lineRule="auto"/>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Form of Named Executive Officer Long-Term Incentive Restricted Stock Unit Grant Agreement under the 2006 Omnibus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6423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147" w:lineRule="exact"/>
        <w:rPr>
          <w:sz w:val="20"/>
          <w:szCs w:val="20"/>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the Chief Executive Officer pursuant to Rule 13a-14(a) or Rule 15d — 14(a).</w:t>
      </w:r>
    </w:p>
    <w:p>
      <w:pPr>
        <w:spacing w:after="0" w:line="225" w:lineRule="exact"/>
        <w:rPr>
          <w:sz w:val="20"/>
          <w:szCs w:val="20"/>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the Chief Financial Officer pursuant to Rule 13a-14(a) or Rule 15d — 14(a).</w:t>
      </w:r>
    </w:p>
    <w:p>
      <w:pPr>
        <w:spacing w:after="0" w:line="225" w:lineRule="exact"/>
        <w:rPr>
          <w:sz w:val="20"/>
          <w:szCs w:val="20"/>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Chief Executive Officer and Chief Financial Officer under Section 906 of the Sarbanes-Oxley Act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2002.</w:t>
      </w:r>
    </w:p>
    <w:p>
      <w:pPr>
        <w:spacing w:after="0" w:line="207" w:lineRule="exact"/>
        <w:rPr>
          <w:sz w:val="20"/>
          <w:szCs w:val="20"/>
          <w:color w:val="auto"/>
        </w:rPr>
      </w:pPr>
    </w:p>
    <w:p>
      <w:pPr>
        <w:ind w:left="1260" w:right="300" w:hanging="865"/>
        <w:spacing w:after="0" w:line="261"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World Fuel Services Corporation’s Quarterly Report on Form 10-Q for the quarter ended June 30, 2015, formatted in XBRL (Extensible Business Reporting Language); (i) Consolidated Balance Sheets,</w:t>
      </w:r>
    </w:p>
    <w:p>
      <w:pPr>
        <w:ind w:left="1260" w:right="5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(ii) Consolidated Statements of Income and Comprehensive Income, (iii) Consolidated Statements of Shareholders’ Equity, (iv) Consolidated Statements of Cash Flows, and (v) Notes to the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1"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July 30, 2015</w:t>
      </w:r>
      <w:r>
        <w:rPr>
          <w:sz w:val="20"/>
          <w:szCs w:val="20"/>
          <w:color w:val="auto"/>
        </w:rPr>
        <w:tab/>
      </w:r>
      <w:r>
        <w:rPr>
          <w:rFonts w:ascii="Times New Roman" w:cs="Times New Roman" w:eastAsia="Times New Roman" w:hAnsi="Times New Roman"/>
          <w:sz w:val="17"/>
          <w:szCs w:val="17"/>
          <w:color w:val="auto"/>
        </w:rPr>
        <w:t>World Fuel Services Corporation</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073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Ira M. Birns</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073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GRANT AGREEMENT</w:t>
      </w:r>
    </w:p>
    <w:p>
      <w:pPr>
        <w:spacing w:after="0" w:line="203" w:lineRule="exact"/>
        <w:rPr>
          <w:sz w:val="20"/>
          <w:szCs w:val="20"/>
          <w:color w:val="auto"/>
        </w:rPr>
      </w:pPr>
    </w:p>
    <w:p>
      <w:pPr>
        <w:jc w:val="both"/>
        <w:ind w:firstLine="1299"/>
        <w:spacing w:after="0" w:line="244" w:lineRule="auto"/>
        <w:tabs>
          <w:tab w:leader="none" w:pos="162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The Compensation Committee (the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of the Board of Directors of World Fuel Services Corporation, a Florida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awarded to</w:t>
      </w:r>
    </w:p>
    <w:p>
      <w:pPr>
        <w:spacing w:after="0" w:line="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effective as of (the “</w:t>
      </w:r>
      <w:r>
        <w:rPr>
          <w:rFonts w:ascii="Times New Roman" w:cs="Times New Roman" w:eastAsia="Times New Roman" w:hAnsi="Times New Roman"/>
          <w:sz w:val="22"/>
          <w:szCs w:val="22"/>
          <w:b w:val="1"/>
          <w:bCs w:val="1"/>
          <w:i w:val="1"/>
          <w:iCs w:val="1"/>
          <w:color w:val="auto"/>
        </w:rPr>
        <w:t>Grant Date</w:t>
      </w:r>
      <w:r>
        <w:rPr>
          <w:rFonts w:ascii="Times New Roman" w:cs="Times New Roman" w:eastAsia="Times New Roman" w:hAnsi="Times New Roman"/>
          <w:sz w:val="22"/>
          <w:szCs w:val="22"/>
          <w:color w:val="auto"/>
        </w:rPr>
        <w:t>”), an award of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corresponding to the same number of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the Company’s common stock, par value US $0.01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The RSUs have been granted under the Company’s 2006 Omnibus Plan, as amended and restated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which is incorporated herein for all purposes, and the grant of 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180" w:lineRule="exact"/>
        <w:rPr>
          <w:sz w:val="20"/>
          <w:szCs w:val="20"/>
          <w:color w:val="auto"/>
        </w:rPr>
      </w:pPr>
    </w:p>
    <w:p>
      <w:pPr>
        <w:jc w:val="both"/>
        <w:ind w:firstLine="1299"/>
        <w:spacing w:after="0" w:line="238" w:lineRule="auto"/>
        <w:tabs>
          <w:tab w:leader="none" w:pos="163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and phrases used in this Agreement shall have the meaning set forth below. Capitalized terms used herein and not defined in this Agreement, shall have the meaning set forth in the Plan. Notwithstanding the foregoing, the definitions of “Cause”, “Disability”, “Good Reason” and “Change of Control”, as used herein, shall have the meanings set forth in the Employment Agreement (as defined in Section 2(b) below).</w:t>
      </w:r>
    </w:p>
    <w:p>
      <w:pPr>
        <w:spacing w:after="0" w:line="171" w:lineRule="exact"/>
        <w:rPr>
          <w:sz w:val="20"/>
          <w:szCs w:val="20"/>
          <w:color w:val="auto"/>
        </w:rPr>
      </w:pPr>
    </w:p>
    <w:p>
      <w:pPr>
        <w:jc w:val="both"/>
        <w:ind w:firstLine="1299"/>
        <w:spacing w:after="0" w:line="247" w:lineRule="auto"/>
        <w:tabs>
          <w:tab w:leader="none" w:pos="164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Determination Date</w:t>
      </w:r>
      <w:r>
        <w:rPr>
          <w:rFonts w:ascii="Times New Roman" w:cs="Times New Roman" w:eastAsia="Times New Roman" w:hAnsi="Times New Roman"/>
          <w:sz w:val="22"/>
          <w:szCs w:val="22"/>
          <w:color w:val="auto"/>
        </w:rPr>
        <w:t>” means the date as soon as reasonably practicable following the completion of the Measurement Period, but in no event later than March 15, 2015, as determined by the Committee, on which the Committee determines whether the Performance Goal has been achieved.</w:t>
      </w:r>
    </w:p>
    <w:p>
      <w:pPr>
        <w:spacing w:after="0" w:line="164" w:lineRule="exact"/>
        <w:rPr>
          <w:rFonts w:ascii="Times New Roman" w:cs="Times New Roman" w:eastAsia="Times New Roman" w:hAnsi="Times New Roman"/>
          <w:sz w:val="22"/>
          <w:szCs w:val="22"/>
          <w:color w:val="auto"/>
        </w:rPr>
      </w:pPr>
    </w:p>
    <w:p>
      <w:pPr>
        <w:jc w:val="both"/>
        <w:ind w:firstLine="1299"/>
        <w:spacing w:after="0" w:line="247" w:lineRule="auto"/>
        <w:tabs>
          <w:tab w:leader="none" w:pos="181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color w:val="auto"/>
        </w:rPr>
        <w:t>” means any employment agreement or individual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executive severance agreement by and between the Company and the Participant, as in effect on the Grant Date.</w:t>
      </w:r>
    </w:p>
    <w:p>
      <w:pPr>
        <w:spacing w:after="0" w:line="164" w:lineRule="exact"/>
        <w:rPr>
          <w:rFonts w:ascii="Times New Roman" w:cs="Times New Roman" w:eastAsia="Times New Roman" w:hAnsi="Times New Roman"/>
          <w:sz w:val="22"/>
          <w:szCs w:val="22"/>
          <w:color w:val="auto"/>
        </w:rPr>
      </w:pPr>
    </w:p>
    <w:p>
      <w:pPr>
        <w:ind w:firstLine="1299"/>
        <w:spacing w:after="0" w:line="264" w:lineRule="auto"/>
        <w:tabs>
          <w:tab w:leader="none" w:pos="165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Measurement Period</w:t>
      </w:r>
      <w:r>
        <w:rPr>
          <w:rFonts w:ascii="Times New Roman" w:cs="Times New Roman" w:eastAsia="Times New Roman" w:hAnsi="Times New Roman"/>
          <w:sz w:val="22"/>
          <w:szCs w:val="22"/>
          <w:color w:val="auto"/>
        </w:rPr>
        <w:t>” means the one (1) year period from January 1, 2014 through December 31, 2014.</w:t>
      </w:r>
    </w:p>
    <w:p>
      <w:pPr>
        <w:spacing w:after="0" w:line="145" w:lineRule="exact"/>
        <w:rPr>
          <w:rFonts w:ascii="Times New Roman" w:cs="Times New Roman" w:eastAsia="Times New Roman" w:hAnsi="Times New Roman"/>
          <w:sz w:val="22"/>
          <w:szCs w:val="22"/>
          <w:color w:val="auto"/>
        </w:rPr>
      </w:pPr>
    </w:p>
    <w:p>
      <w:pPr>
        <w:ind w:left="1660" w:hanging="361"/>
        <w:spacing w:after="0"/>
        <w:tabs>
          <w:tab w:leader="none" w:pos="1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Goal</w:t>
      </w:r>
      <w:r>
        <w:rPr>
          <w:rFonts w:ascii="Times New Roman" w:cs="Times New Roman" w:eastAsia="Times New Roman" w:hAnsi="Times New Roman"/>
          <w:sz w:val="22"/>
          <w:szCs w:val="22"/>
          <w:color w:val="auto"/>
        </w:rPr>
        <w:t xml:space="preserve">” means the goal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00" w:hanging="601"/>
        <w:spacing w:after="0"/>
        <w:tabs>
          <w:tab w:leader="none" w:pos="19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means Section 409A of Code and the Treasury Regulations</w:t>
      </w:r>
    </w:p>
    <w:p>
      <w:pPr>
        <w:spacing w:after="0" w:line="2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thereunder.</w:t>
      </w:r>
    </w:p>
    <w:p>
      <w:pPr>
        <w:spacing w:after="0" w:line="176" w:lineRule="exact"/>
        <w:rPr>
          <w:rFonts w:ascii="Times New Roman" w:cs="Times New Roman" w:eastAsia="Times New Roman" w:hAnsi="Times New Roman"/>
          <w:sz w:val="22"/>
          <w:szCs w:val="22"/>
          <w:color w:val="auto"/>
        </w:rPr>
      </w:pPr>
    </w:p>
    <w:p>
      <w:pPr>
        <w:ind w:firstLine="1299"/>
        <w:spacing w:after="0" w:line="264" w:lineRule="auto"/>
        <w:tabs>
          <w:tab w:leader="none" w:pos="183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on which the Participant is no longer an employee of the Company or any Subsidiary.</w:t>
      </w:r>
    </w:p>
    <w:p>
      <w:pPr>
        <w:spacing w:after="0" w:line="152" w:lineRule="exact"/>
        <w:rPr>
          <w:sz w:val="20"/>
          <w:szCs w:val="20"/>
          <w:color w:val="auto"/>
        </w:rPr>
      </w:pPr>
    </w:p>
    <w:p>
      <w:pPr>
        <w:jc w:val="both"/>
        <w:ind w:firstLine="1297"/>
        <w:spacing w:after="0" w:line="236" w:lineRule="auto"/>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Vesting and Forfeiture of Shares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Performance Goal.</w:t>
      </w:r>
      <w:r>
        <w:rPr>
          <w:rFonts w:ascii="Times New Roman" w:cs="Times New Roman" w:eastAsia="Times New Roman" w:hAnsi="Times New Roman"/>
          <w:sz w:val="22"/>
          <w:szCs w:val="22"/>
          <w:color w:val="auto"/>
        </w:rPr>
        <w:t xml:space="preserve"> (i) On the Determination Date, the Committee shall determine whether the Performance Goal has been achieved. Subject to the provisions of this Section 3, the delivery of Shares with respect to the RSUs is contingent on the attainment of the Performance Goal and, except as otherwise set forth in this Section 3, all outstanding RSUs will be immediately forfeited on the Determination Date unless the Committee determines that the Performance Goal has been satisfied.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480695</wp:posOffset>
            </wp:positionV>
            <wp:extent cx="584835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783" w:right="1379" w:bottom="1440" w:gutter="0" w:footer="0" w:header="0"/>
        </w:sectPr>
      </w:pPr>
    </w:p>
    <w:bookmarkStart w:id="40" w:name="page41"/>
    <w:bookmarkEnd w:id="40"/>
    <w:p>
      <w:pPr>
        <w:spacing w:after="0" w:line="258" w:lineRule="auto"/>
        <w:rPr>
          <w:sz w:val="20"/>
          <w:szCs w:val="20"/>
          <w:color w:val="auto"/>
        </w:rPr>
      </w:pPr>
      <w:r>
        <w:rPr>
          <w:rFonts w:ascii="Times New Roman" w:cs="Times New Roman" w:eastAsia="Times New Roman" w:hAnsi="Times New Roman"/>
          <w:sz w:val="22"/>
          <w:szCs w:val="22"/>
          <w:color w:val="auto"/>
        </w:rPr>
        <w:t>otherwise provided in this Section 3, there shall be no proportionate or partial vesting of the RSUs prior to the applicable Vesting Date (as defined in Section 3(b) below).</w:t>
      </w:r>
    </w:p>
    <w:p>
      <w:pPr>
        <w:spacing w:after="0" w:line="158" w:lineRule="exact"/>
        <w:rPr>
          <w:sz w:val="20"/>
          <w:szCs w:val="20"/>
          <w:color w:val="auto"/>
        </w:rPr>
      </w:pPr>
    </w:p>
    <w:p>
      <w:pPr>
        <w:jc w:val="both"/>
        <w:ind w:left="660" w:firstLine="1287"/>
        <w:spacing w:after="0" w:line="235" w:lineRule="auto"/>
        <w:tabs>
          <w:tab w:leader="none" w:pos="253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are intended to qualify as “qualified performance-based compensation” under Section 162(m) of the Code. The Committee retains the sole and plenary discretion to make any adjustment permitted by Section 3.2 of the Plan or to reduce or eliminate the number of RSUs in accordance with the terms of the Plan for any reason deemed appropriate by the Committee, even if the Performance Goal has been attained and without regard to the Employment Agreement or any similar agreement between the Participant and the Company or any Subsidiary.</w:t>
      </w:r>
    </w:p>
    <w:p>
      <w:pPr>
        <w:spacing w:after="0" w:line="183" w:lineRule="exact"/>
        <w:rPr>
          <w:rFonts w:ascii="Times New Roman" w:cs="Times New Roman" w:eastAsia="Times New Roman" w:hAnsi="Times New Roman"/>
          <w:sz w:val="22"/>
          <w:szCs w:val="22"/>
          <w:color w:val="auto"/>
        </w:rPr>
      </w:pPr>
    </w:p>
    <w:p>
      <w:pPr>
        <w:jc w:val="both"/>
        <w:ind w:firstLine="1299"/>
        <w:spacing w:after="0" w:line="251" w:lineRule="auto"/>
        <w:tabs>
          <w:tab w:leader="none" w:pos="168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Service-Based Vesting.</w:t>
      </w:r>
      <w:r>
        <w:rPr>
          <w:rFonts w:ascii="Times New Roman" w:cs="Times New Roman" w:eastAsia="Times New Roman" w:hAnsi="Times New Roman"/>
          <w:sz w:val="21"/>
          <w:szCs w:val="21"/>
          <w:color w:val="auto"/>
        </w:rPr>
        <w:t xml:space="preserve"> Subject to achievement of the Performance Goal and to the provisions of Section 3(d), 20% of the RSUs shall become vested on each of March 15, 2015, 2016, 2017, 2018 and 2019 (each such date a “</w:t>
      </w:r>
      <w:r>
        <w:rPr>
          <w:rFonts w:ascii="Times New Roman" w:cs="Times New Roman" w:eastAsia="Times New Roman" w:hAnsi="Times New Roman"/>
          <w:sz w:val="21"/>
          <w:szCs w:val="21"/>
          <w:b w:val="1"/>
          <w:bCs w:val="1"/>
          <w:i w:val="1"/>
          <w:iCs w:val="1"/>
          <w:color w:val="auto"/>
        </w:rPr>
        <w:t>Vesting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except as otherwise provided in Section 3(d), the RSUs shall only become vested if the Participant is continuously employed by the Company or any Subsidiary from the Grant Date through and until the applicable Vesting Date.</w:t>
      </w:r>
    </w:p>
    <w:p>
      <w:pPr>
        <w:spacing w:after="0" w:line="168" w:lineRule="exact"/>
        <w:rPr>
          <w:rFonts w:ascii="Times New Roman" w:cs="Times New Roman" w:eastAsia="Times New Roman" w:hAnsi="Times New Roman"/>
          <w:sz w:val="21"/>
          <w:szCs w:val="21"/>
          <w:color w:val="auto"/>
        </w:rPr>
      </w:pPr>
    </w:p>
    <w:p>
      <w:pPr>
        <w:jc w:val="both"/>
        <w:ind w:firstLine="1299"/>
        <w:spacing w:after="0" w:line="244" w:lineRule="auto"/>
        <w:tabs>
          <w:tab w:leader="none" w:pos="176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expressly acknowledges that the terms of this Section 3 shall supersede any inconsistent provision in the Employment Agreement or any similar agreement between the Participant and the Company or any Subsidiary.</w:t>
      </w:r>
    </w:p>
    <w:p>
      <w:pPr>
        <w:spacing w:after="0" w:line="173" w:lineRule="exact"/>
        <w:rPr>
          <w:rFonts w:ascii="Times New Roman" w:cs="Times New Roman" w:eastAsia="Times New Roman" w:hAnsi="Times New Roman"/>
          <w:sz w:val="22"/>
          <w:szCs w:val="22"/>
          <w:color w:val="auto"/>
        </w:rPr>
      </w:pPr>
    </w:p>
    <w:p>
      <w:pPr>
        <w:ind w:left="1660" w:hanging="361"/>
        <w:spacing w:after="0"/>
        <w:tabs>
          <w:tab w:leader="none" w:pos="1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the RSUs shall be subject to this Section 3(d):</w:t>
      </w:r>
    </w:p>
    <w:p>
      <w:pPr>
        <w:spacing w:after="0" w:line="202" w:lineRule="exact"/>
        <w:rPr>
          <w:rFonts w:ascii="Times New Roman" w:cs="Times New Roman" w:eastAsia="Times New Roman" w:hAnsi="Times New Roman"/>
          <w:sz w:val="22"/>
          <w:szCs w:val="22"/>
          <w:color w:val="auto"/>
        </w:rPr>
      </w:pPr>
    </w:p>
    <w:p>
      <w:pPr>
        <w:jc w:val="both"/>
        <w:ind w:left="660" w:firstLine="1287"/>
        <w:spacing w:after="0" w:line="244" w:lineRule="auto"/>
        <w:tabs>
          <w:tab w:leader="none" w:pos="2282"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Change of Control.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Except as otherwise determined by the Committee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set forth in Section 3(d)(i)(B) hereof, in the event that a Change of Control occurs while the Participant is employed by the Company or any Subsidiary, the Participant shall immediately become fully vested upon the Change of Control in a pro-rated portion of any outstanding RSUs determined by multiplying the number of outstanding RSUs that would otherwise have vested on the next Vesting Date following the Change of Control by a fraction, (A) the numerator of which shall be the number of days that have elapsed between the Vesting Date immediately preceding the Change of Control and the Change of Control (or, if the Change of Control occurs before the first Vesting Date, between the Grant Date and the Change of Control), and (B) the denominator of which shall be 365 (such fraction, the “</w:t>
      </w:r>
      <w:r>
        <w:rPr>
          <w:rFonts w:ascii="Times New Roman" w:cs="Times New Roman" w:eastAsia="Times New Roman" w:hAnsi="Times New Roman"/>
          <w:sz w:val="21"/>
          <w:szCs w:val="21"/>
          <w:u w:val="single" w:color="auto"/>
          <w:color w:val="auto"/>
        </w:rPr>
        <w:t>CIC Ratio</w:t>
      </w:r>
      <w:r>
        <w:rPr>
          <w:rFonts w:ascii="Times New Roman" w:cs="Times New Roman" w:eastAsia="Times New Roman" w:hAnsi="Times New Roman"/>
          <w:sz w:val="21"/>
          <w:szCs w:val="21"/>
          <w:color w:val="auto"/>
        </w:rPr>
        <w:t>”) and the portion of the RSUs that do not vest pursuant to this Section 3(d)(i)(A) shall be immediately forfeited. For the avoidance of doubt, in the event the Change of Control occurs prior to the Determination Date and this Section 3(d)(i)(A) is applicable, the Performance Goal shall be deemed satisfied and the Participant shall vest in a pro-rated portion of the RSUs on the Change of Control determined by multiplying the number of RSUs that would otherwise have vested on the first Vesting Date by the CIC Ratio.</w:t>
      </w:r>
    </w:p>
    <w:p>
      <w:pPr>
        <w:spacing w:after="0" w:line="184" w:lineRule="exact"/>
        <w:rPr>
          <w:sz w:val="20"/>
          <w:szCs w:val="20"/>
          <w:color w:val="auto"/>
        </w:rPr>
      </w:pPr>
    </w:p>
    <w:p>
      <w:pPr>
        <w:jc w:val="both"/>
        <w:ind w:left="1300" w:firstLine="647"/>
        <w:spacing w:after="0" w:line="238" w:lineRule="auto"/>
        <w:tabs>
          <w:tab w:leader="none" w:pos="241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3(d)(i)(A) hereof, if in the event of a Change of Control the Committee determines that the successor company shall assume or substitute the RSUs as of the date of the Change of Control, then the vesting of the RSUs that are assumed or substituted shall not be so accelerated as a result of such Change of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Change of Control occurs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584835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787" w:right="1379" w:bottom="1440" w:gutter="0" w:footer="0" w:header="0"/>
        </w:sectPr>
      </w:pPr>
    </w:p>
    <w:bookmarkStart w:id="41" w:name="page42"/>
    <w:bookmarkEnd w:id="41"/>
    <w:p>
      <w:pPr>
        <w:jc w:val="both"/>
        <w:ind w:left="1240"/>
        <w:spacing w:after="0" w:line="231" w:lineRule="auto"/>
        <w:rPr>
          <w:sz w:val="20"/>
          <w:szCs w:val="20"/>
          <w:color w:val="auto"/>
        </w:rPr>
      </w:pPr>
      <w:r>
        <w:rPr>
          <w:rFonts w:ascii="Times New Roman" w:cs="Times New Roman" w:eastAsia="Times New Roman" w:hAnsi="Times New Roman"/>
          <w:sz w:val="22"/>
          <w:szCs w:val="22"/>
          <w:color w:val="auto"/>
        </w:rPr>
        <w:t xml:space="preserve">prior to the Determination Date and the RSUs are so assumed or substituted, the RSUs shall no longer be subject to the Performance Goal. For this purpose, the RSUs shall be considered assumed or substituted only if (1) the RSUs that are assumed or substituted vest at the times that such RSUs would vest pursuant to this Agreement, (2) the economic terms of the RSUs that are assumed or substituted are substantially comparable to the economic terms of the RSUs prior to the Change of Control and (3) immediately following the Change of Control, the RSUs confer the right to receive for each unvested RSU held immediately prior to the Change of Control, the consideration (whether stock, cash or other securities or property) received by holders of Shares in the transaction constituting a Change of Control for each Share held on the effective date of such transaction (and if holders were offered a choice of consideration, the type of consideration chosen by the holders of a majority of the outstanding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consideration received in the transaction constituting a Change of Control is not solely common stock of the successor company or its parent or subsidiary, the Committee may provide that the consideration to be received upon the vesting of any RSU will be solely common stock of the successor company or its parent or subsidiary substantially equal in fair market value (on a per share basis) to the per share consideration received by holders of Shares in the transaction constituting a Change of Control. The determinations of (1) whether the RSUs shall be assumed or substituted in accordance with this Section 3(d)(i)(B) or shall accelerate vesting in accordance with Section 3(d)(i)(A) hereof and (2) in the event that this Section 3(d)(i)(B) is applicable, such substantial equality of value of consideration shall be made by the Committee in its sole discretion and such determinations shall be conclusive and binding. The award resulting from the assumption or substitution of the RSUs by the successor company shall, except as otherwise provided in this Section 3(d), continue to vest after the Change of Control transaction based solely on the Participant’s continued employment with the successor company and its affiliates through the applicable Vesting Date, and shall be referred to hereafter as the “</w:t>
      </w:r>
      <w:r>
        <w:rPr>
          <w:rFonts w:ascii="Times New Roman" w:cs="Times New Roman" w:eastAsia="Times New Roman" w:hAnsi="Times New Roman"/>
          <w:sz w:val="22"/>
          <w:szCs w:val="22"/>
          <w:b w:val="1"/>
          <w:bCs w:val="1"/>
          <w:i w:val="1"/>
          <w:iCs w:val="1"/>
          <w:color w:val="auto"/>
        </w:rPr>
        <w:t>Acquirer RSUs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600" w:firstLine="1287"/>
        <w:spacing w:after="0" w:line="245" w:lineRule="auto"/>
        <w:tabs>
          <w:tab w:leader="none" w:pos="234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Participant’s employment with the Company and its Subsidiaries is terminated prior to an applicable Vesting Date due to the Participant’s death or Disability, regardless of whether such termination occurs prior to, on or after the Determination Date or prior to or after a Change of Control, the Participant shall immediately become fully vested upon the Termination Date in a pro-rated portion of any outstanding RSUs (or, if applicable, Acquirer RSUs) determined by multiplying the number of outstanding RSUs (or, if applicable, Acquirer RSUs) that would otherwise have vested on the next Vesting Date following the Termination Date by a fraction, (A) the numerator of which shall be the number of days that have elapsed between the Vesting Date immediately preceding the Termination Date and the Termination Date (or, if the Termination Date occurs before the first Vesting Date, between the Grant Date and the Termination Date), and (B) the denominator of which shall be 365 (such fraction, the “</w:t>
      </w:r>
      <w:r>
        <w:rPr>
          <w:rFonts w:ascii="Times New Roman" w:cs="Times New Roman" w:eastAsia="Times New Roman" w:hAnsi="Times New Roman"/>
          <w:sz w:val="21"/>
          <w:szCs w:val="21"/>
          <w:u w:val="single" w:color="auto"/>
          <w:color w:val="auto"/>
        </w:rPr>
        <w:t>Pro Rata Ratio</w:t>
      </w:r>
      <w:r>
        <w:rPr>
          <w:rFonts w:ascii="Times New Roman" w:cs="Times New Roman" w:eastAsia="Times New Roman" w:hAnsi="Times New Roman"/>
          <w:sz w:val="21"/>
          <w:szCs w:val="21"/>
          <w:color w:val="auto"/>
        </w:rPr>
        <w:t xml:space="preserve">”) and the portion of the RSUs (or, if applicable, Acquirer RSUs) that do not vest pursuant to this Section 3(d)(ii) shall be immediately forfeited;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67310</wp:posOffset>
            </wp:positionV>
            <wp:extent cx="584835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80"/>
          </w:cols>
          <w:pgMar w:left="1440" w:top="787" w:right="1379" w:bottom="1440" w:gutter="0" w:footer="0" w:header="0"/>
        </w:sectPr>
      </w:pPr>
    </w:p>
    <w:bookmarkStart w:id="42" w:name="page43"/>
    <w:bookmarkEnd w:id="42"/>
    <w:p>
      <w:pPr>
        <w:ind w:left="660"/>
        <w:spacing w:after="0" w:line="258" w:lineRule="auto"/>
        <w:rPr>
          <w:sz w:val="20"/>
          <w:szCs w:val="20"/>
          <w:color w:val="auto"/>
        </w:rPr>
      </w:pP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such termination occurs on or after the Determination Date, the Committee has determined that the Performance Goal has been achieved.</w:t>
      </w:r>
    </w:p>
    <w:p>
      <w:pPr>
        <w:spacing w:after="0" w:line="158" w:lineRule="exact"/>
        <w:rPr>
          <w:sz w:val="20"/>
          <w:szCs w:val="20"/>
          <w:color w:val="auto"/>
        </w:rPr>
      </w:pPr>
    </w:p>
    <w:p>
      <w:pPr>
        <w:jc w:val="both"/>
        <w:ind w:left="660" w:firstLine="1287"/>
        <w:spacing w:after="0" w:line="243" w:lineRule="auto"/>
        <w:tabs>
          <w:tab w:leader="none" w:pos="245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Participant’s employment with the Company and its Subsidiaries is terminated prior to an applicable Vesting Date by the Company and its Subsidiaries without Cause[, due to the Company’s failure to renew the Participant’s employment under Section 1 of the Employment Agreement] or by the Participant for Good Reason, and (A) prior to a Change of Control and prior to the Determination Date, the vesting of the RSUs shall be determined by the Committee following the end of the Measurement Period, subject to the achievement of the Performance Goal and, if the Performance Goal has been achieved, the Participant shall vest in a pro-rated portion of the RSUs on the Determination Date determined by multiplying the number of RSUs that would otherwise have vested on the first Vesting Date by the Pro Rata Ratio;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the foregoing, in the event that a Change of Control occurs following such Termination Date but prior to the Determination Date, the Performance Goal shall be deemed satisfied as of the date of the Change of Control and the pro-rated vesting of the RSUs described in this clause (A) shall nevertheless apply, or (B) on or following the Determination Date and regardless of whether such termination occurs prior to or after a Change of Control, the Participant shall vest in a pro-rated portion of the RSUs (or, if applicable, Acquirer RSUs) on the Termination Date determined by multiplying the number of RSUs (or, if applicable, Acquirer RSUs) that would otherwise have vested on the next Vesting Date following the Termination Date by the Pro Rata Ratio. Any RSUs (and, if applicable, Acquirer RSUs) that do not vest pursuant to this Section 3(d)(iii) shall be immediately forfeited.</w:t>
      </w:r>
    </w:p>
    <w:p>
      <w:pPr>
        <w:spacing w:after="0" w:line="200" w:lineRule="exact"/>
        <w:rPr>
          <w:rFonts w:ascii="Times New Roman" w:cs="Times New Roman" w:eastAsia="Times New Roman" w:hAnsi="Times New Roman"/>
          <w:sz w:val="21"/>
          <w:szCs w:val="21"/>
          <w:color w:val="auto"/>
        </w:rPr>
      </w:pPr>
    </w:p>
    <w:p>
      <w:pPr>
        <w:spacing w:after="0" w:line="232" w:lineRule="exact"/>
        <w:rPr>
          <w:rFonts w:ascii="Times New Roman" w:cs="Times New Roman" w:eastAsia="Times New Roman" w:hAnsi="Times New Roman"/>
          <w:sz w:val="21"/>
          <w:szCs w:val="21"/>
          <w:color w:val="auto"/>
        </w:rPr>
      </w:pPr>
    </w:p>
    <w:p>
      <w:pPr>
        <w:jc w:val="both"/>
        <w:ind w:left="660" w:firstLine="1287"/>
        <w:spacing w:after="0" w:line="235" w:lineRule="auto"/>
        <w:tabs>
          <w:tab w:leader="none" w:pos="24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Participant’s employment with the Company and its Subsidiaries is terminated prior to an applicable Vesting Date for any reason other than the Participant’s death or Disability, a termination without Cause or a termination for Good Reason, then the Participant shall immediately forfeit all of the unvested RSUs (and, if applicable, all unvested Acquirer RSUs) on the Termination Date. Termination of employment with the 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79" w:lineRule="exact"/>
        <w:rPr>
          <w:rFonts w:ascii="Times New Roman" w:cs="Times New Roman" w:eastAsia="Times New Roman" w:hAnsi="Times New Roman"/>
          <w:sz w:val="22"/>
          <w:szCs w:val="22"/>
          <w:color w:val="auto"/>
        </w:rPr>
      </w:pPr>
    </w:p>
    <w:p>
      <w:pPr>
        <w:jc w:val="both"/>
        <w:ind w:firstLine="1299"/>
        <w:spacing w:after="0" w:line="238" w:lineRule="auto"/>
        <w:tabs>
          <w:tab w:leader="none" w:pos="160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w:t>
      </w:r>
      <w:r>
        <w:rPr>
          <w:rFonts w:ascii="Times New Roman" w:cs="Times New Roman" w:eastAsia="Times New Roman" w:hAnsi="Times New Roman"/>
          <w:sz w:val="22"/>
          <w:szCs w:val="22"/>
          <w:color w:val="auto"/>
        </w:rPr>
        <w:t>. The number of RSUs (and, if applicable, Acquirer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177" w:lineRule="exact"/>
        <w:rPr>
          <w:rFonts w:ascii="Times New Roman" w:cs="Times New Roman" w:eastAsia="Times New Roman" w:hAnsi="Times New Roman"/>
          <w:sz w:val="22"/>
          <w:szCs w:val="22"/>
          <w:color w:val="auto"/>
        </w:rPr>
      </w:pPr>
    </w:p>
    <w:p>
      <w:pPr>
        <w:ind w:left="1560" w:hanging="261"/>
        <w:spacing w:after="0"/>
        <w:tabs>
          <w:tab w:leader="none" w:pos="15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9"/>
        <w:spacing w:after="0" w:line="239" w:lineRule="auto"/>
        <w:tabs>
          <w:tab w:leader="none" w:pos="172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w:t>
      </w:r>
      <w:r>
        <w:rPr>
          <w:rFonts w:ascii="Times New Roman" w:cs="Times New Roman" w:eastAsia="Times New Roman" w:hAnsi="Times New Roman"/>
          <w:sz w:val="22"/>
          <w:szCs w:val="22"/>
          <w:color w:val="auto"/>
        </w:rPr>
        <w:t xml:space="preserve">. The Company shall deliver the Shares corresponding to the vested RSUs (and, if applicable, Acquirer RSUs) to the Participant within 30 days following the applicable Vesting Date;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 in the event of the Participant’s termination of employment due to death or Disability, the Company shall deliver the Shares with respect to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584835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787" w:right="1379" w:bottom="1440" w:gutter="0" w:footer="0" w:header="0"/>
        </w:sectPr>
      </w:pPr>
    </w:p>
    <w:bookmarkStart w:id="43" w:name="page44"/>
    <w:bookmarkEnd w:id="43"/>
    <w:p>
      <w:pPr>
        <w:jc w:val="both"/>
        <w:spacing w:after="0" w:line="233" w:lineRule="auto"/>
        <w:rPr>
          <w:sz w:val="20"/>
          <w:szCs w:val="20"/>
          <w:color w:val="auto"/>
        </w:rPr>
      </w:pPr>
      <w:r>
        <w:rPr>
          <w:rFonts w:ascii="Times New Roman" w:cs="Times New Roman" w:eastAsia="Times New Roman" w:hAnsi="Times New Roman"/>
          <w:sz w:val="22"/>
          <w:szCs w:val="22"/>
          <w:color w:val="auto"/>
        </w:rPr>
        <w:t>vested RSUs (and, if applicable, Acquirer RSUs) outstanding on the Termination Date within 30 days following the Termination Date, (ii) in the event of the Participant’s termination of employment without Cause or for Good Reason, the Company shall deliver the Shares with respect to vested RSUs (and, if applicable, consideration corresponding to Acquirer RSUs) (with respect to any RSUs that remain subject to satisfaction of the Performance Goal, only in the event that the Performance Goal is satisfied) outstanding on the Termination Date within 30 days following the Termination Date or if such termination occurs prior to the Determination Date, as soon as practicable following the Determination Date, but in no event later than March 15, 2015, and (iii) in the event of a Change of Control pursuant to which a portion of the RSUs accelerate vesting in accordance with Section 3(d)(i)(A) hereof, the Company shall deliver Shares corresponding to vested RSUs to the Participant within 10 days following such Change of Control. Notwithstanding any provision in this Agreement to the contrary, the RSUs (and, if applicable, Acquirer RSUs) shall be settled no later than March 15 of the calendar year immediately following the year in which they are no longer subject to a substantial risk of forfeiture (within the meaning of Treasury Regulation Section 1.409A-1(d)).</w:t>
      </w:r>
    </w:p>
    <w:p>
      <w:pPr>
        <w:spacing w:after="0" w:line="181" w:lineRule="exact"/>
        <w:rPr>
          <w:sz w:val="20"/>
          <w:szCs w:val="20"/>
          <w:color w:val="auto"/>
        </w:rPr>
      </w:pPr>
    </w:p>
    <w:p>
      <w:pPr>
        <w:jc w:val="both"/>
        <w:ind w:firstLine="1299"/>
        <w:spacing w:after="0" w:line="233" w:lineRule="auto"/>
        <w:tabs>
          <w:tab w:leader="none" w:pos="169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By written notice to the Company’s Secretary, the Participant may designate a beneficiary or beneficiaries to whom any vested RSUs (or, if applicable, Acquirer RSUs) and the Participant’s Cash Account (as defined below) shall be transferred upon the death of the Participant. In the absence of such designation, or if no designated beneficiary survives the Participant, such vested RSUs (or, if applicable, Acquirer RSUs) and the Participant’s Cash Account shall be transferred to the legal representative of the Participant’s estate. No such transfer of the RSUs (or, if applicable, Acquirer RSUs) shall be effective to bind the Company unless the Committee shall have been furnished with (i) written notice thereof, (ii) a copy of the will and/or such evidence as the Committee deems necessary to establish the validity of such transfer or right to convert and (iii) an executed agreement by the transferee, administrator, or executor (as applicable) to (A) comply with all the terms of this Agreement that are or would have been applicable to the Participant and (B) be bound by the acknowledgements made by the Participant in connection with this grant.</w:t>
      </w:r>
    </w:p>
    <w:p>
      <w:pPr>
        <w:spacing w:after="0" w:line="186" w:lineRule="exact"/>
        <w:rPr>
          <w:rFonts w:ascii="Times New Roman" w:cs="Times New Roman" w:eastAsia="Times New Roman" w:hAnsi="Times New Roman"/>
          <w:sz w:val="22"/>
          <w:szCs w:val="22"/>
          <w:color w:val="auto"/>
        </w:rPr>
      </w:pPr>
    </w:p>
    <w:p>
      <w:pPr>
        <w:jc w:val="both"/>
        <w:ind w:firstLine="1299"/>
        <w:spacing w:after="0" w:line="239" w:lineRule="auto"/>
        <w:tabs>
          <w:tab w:leader="none" w:pos="168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Conditioned Upon Satisfaction of Tax Obligations</w:t>
      </w:r>
      <w:r>
        <w:rPr>
          <w:rFonts w:ascii="Times New Roman" w:cs="Times New Roman" w:eastAsia="Times New Roman" w:hAnsi="Times New Roman"/>
          <w:sz w:val="22"/>
          <w:szCs w:val="22"/>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181" w:lineRule="exact"/>
        <w:rPr>
          <w:sz w:val="20"/>
          <w:szCs w:val="20"/>
          <w:color w:val="auto"/>
        </w:rPr>
      </w:pPr>
    </w:p>
    <w:p>
      <w:pPr>
        <w:ind w:left="1560" w:hanging="261"/>
        <w:spacing w:after="0"/>
        <w:tabs>
          <w:tab w:leader="none" w:pos="15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with Respect to Shares Represented by RSUs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9"/>
        <w:spacing w:after="0" w:line="236" w:lineRule="auto"/>
        <w:tabs>
          <w:tab w:leader="none" w:pos="16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Shareholder until Delivery</w:t>
      </w:r>
      <w:r>
        <w:rPr>
          <w:rFonts w:ascii="Times New Roman" w:cs="Times New Roman" w:eastAsia="Times New Roman" w:hAnsi="Times New Roman"/>
          <w:sz w:val="22"/>
          <w:szCs w:val="22"/>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584835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787" w:right="1379" w:bottom="1440" w:gutter="0" w:footer="0" w:header="0"/>
        </w:sectPr>
      </w:pPr>
    </w:p>
    <w:bookmarkStart w:id="44" w:name="page45"/>
    <w:bookmarkEnd w:id="44"/>
    <w:p>
      <w:pPr>
        <w:ind w:left="1660" w:hanging="361"/>
        <w:spacing w:after="0"/>
        <w:tabs>
          <w:tab w:leader="none" w:pos="1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60" w:firstLine="1287"/>
        <w:spacing w:after="0" w:line="233" w:lineRule="auto"/>
        <w:tabs>
          <w:tab w:leader="none" w:pos="228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Dividends</w:t>
      </w:r>
      <w:r>
        <w:rPr>
          <w:rFonts w:ascii="Times New Roman" w:cs="Times New Roman" w:eastAsia="Times New Roman" w:hAnsi="Times New Roman"/>
          <w:sz w:val="22"/>
          <w:szCs w:val="22"/>
          <w:color w:val="auto"/>
        </w:rPr>
        <w:t>. As of each date on which the Company pays a cash dividend with respect to its Shares, the Company shall credit to a bookkeeping account (the “</w:t>
      </w:r>
      <w:r>
        <w:rPr>
          <w:rFonts w:ascii="Times New Roman" w:cs="Times New Roman" w:eastAsia="Times New Roman" w:hAnsi="Times New Roman"/>
          <w:sz w:val="22"/>
          <w:szCs w:val="22"/>
          <w:b w:val="1"/>
          <w:bCs w:val="1"/>
          <w:i w:val="1"/>
          <w:iCs w:val="1"/>
          <w:color w:val="auto"/>
        </w:rPr>
        <w:t>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Account</w:t>
      </w:r>
      <w:r>
        <w:rPr>
          <w:rFonts w:ascii="Times New Roman" w:cs="Times New Roman" w:eastAsia="Times New Roman" w:hAnsi="Times New Roman"/>
          <w:sz w:val="22"/>
          <w:szCs w:val="22"/>
          <w:color w:val="auto"/>
        </w:rPr>
        <w:t>”) for the Participant an amount equal to the cash dividend that would have been payable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 respect to the Shares corresponding to the RSUs (or, if applicable, shares corresponding to Acquirer RSUs), excluding any RSUs (or, if applicable, Acquirer RSUs) which have been forfeited, as if those Shares had been issued and outstanding as of the dividend payment date. Upon the vesting of any RSUs hereunder (or, if applicable, Acquirer RSUs), the Participant shall vest in and have the right to receive that portion of the Cash Account which relates to any such vested RSUs (or, if applicable, Acquirer RSUs). The value of the Participant’s Cash Account shall vest and be distributable to the Participant at the same time as the Shares corresponding to the vested RSUs (or, if applicable, the consideration corresponding to Acquirer RSUs) are distributed to the Participant.</w:t>
      </w:r>
    </w:p>
    <w:p>
      <w:pPr>
        <w:spacing w:after="0" w:line="186" w:lineRule="exact"/>
        <w:rPr>
          <w:rFonts w:ascii="Times New Roman" w:cs="Times New Roman" w:eastAsia="Times New Roman" w:hAnsi="Times New Roman"/>
          <w:sz w:val="22"/>
          <w:szCs w:val="22"/>
          <w:color w:val="auto"/>
        </w:rPr>
      </w:pPr>
    </w:p>
    <w:p>
      <w:pPr>
        <w:jc w:val="both"/>
        <w:ind w:left="660" w:firstLine="1287"/>
        <w:spacing w:after="0" w:line="236" w:lineRule="auto"/>
        <w:tabs>
          <w:tab w:leader="none" w:pos="242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w:t>
      </w:r>
      <w:r>
        <w:rPr>
          <w:rFonts w:ascii="Times New Roman" w:cs="Times New Roman" w:eastAsia="Times New Roman" w:hAnsi="Times New Roman"/>
          <w:sz w:val="22"/>
          <w:szCs w:val="22"/>
          <w:color w:val="auto"/>
        </w:rPr>
        <w:t>. As of each date on which the Company pays a stock dividend with respect to its Shares, the Shares corresponding to the RSUs shall be increased by the stock dividend that would have been payable with respect to the Shares that correspond to the RSUs, and shall be subject to the same vesting requirements as the RSUs to which they relate and, to the extent earned and vested, shall be distributed at the same time as the Shares corresponding to the vested RSUs are distributed.</w:t>
      </w:r>
    </w:p>
    <w:p>
      <w:pPr>
        <w:spacing w:after="0" w:line="182" w:lineRule="exact"/>
        <w:rPr>
          <w:sz w:val="20"/>
          <w:szCs w:val="20"/>
          <w:color w:val="auto"/>
        </w:rPr>
      </w:pPr>
    </w:p>
    <w:p>
      <w:pPr>
        <w:ind w:firstLine="1299"/>
        <w:spacing w:after="0" w:line="258" w:lineRule="auto"/>
        <w:tabs>
          <w:tab w:leader="none" w:pos="162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w:t>
      </w:r>
      <w:r>
        <w:rPr>
          <w:rFonts w:ascii="Times New Roman" w:cs="Times New Roman" w:eastAsia="Times New Roman" w:hAnsi="Times New Roman"/>
          <w:sz w:val="22"/>
          <w:szCs w:val="22"/>
          <w:color w:val="auto"/>
        </w:rPr>
        <w:t>. The Participant may not, directly or indirectly, sell, pledge or otherwise transfer any RSUs or Acquirer RSUs or any rights with respect to the Cash Account.</w:t>
      </w:r>
    </w:p>
    <w:p>
      <w:pPr>
        <w:spacing w:after="0" w:line="158" w:lineRule="exact"/>
        <w:rPr>
          <w:rFonts w:ascii="Times New Roman" w:cs="Times New Roman" w:eastAsia="Times New Roman" w:hAnsi="Times New Roman"/>
          <w:sz w:val="22"/>
          <w:szCs w:val="22"/>
          <w:color w:val="auto"/>
        </w:rPr>
      </w:pPr>
    </w:p>
    <w:p>
      <w:pPr>
        <w:jc w:val="both"/>
        <w:ind w:firstLine="1299"/>
        <w:spacing w:after="0" w:line="235" w:lineRule="auto"/>
        <w:tabs>
          <w:tab w:leader="none" w:pos="160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Participant acknowledges and agrees that the Company has filed a Registration Statement on Form S-8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under the Securities Act of 1933, as amended (the “</w:t>
      </w:r>
      <w:r>
        <w:rPr>
          <w:rFonts w:ascii="Times New Roman" w:cs="Times New Roman" w:eastAsia="Times New Roman" w:hAnsi="Times New Roman"/>
          <w:sz w:val="22"/>
          <w:szCs w:val="22"/>
          <w:b w:val="1"/>
          <w:bCs w:val="1"/>
          <w:i w:val="1"/>
          <w:iCs w:val="1"/>
          <w:color w:val="auto"/>
        </w:rPr>
        <w:t>1933 Act</w:t>
      </w:r>
      <w:r>
        <w:rPr>
          <w:rFonts w:ascii="Times New Roman" w:cs="Times New Roman" w:eastAsia="Times New Roman" w:hAnsi="Times New Roman"/>
          <w:sz w:val="22"/>
          <w:szCs w:val="22"/>
          <w:color w:val="auto"/>
        </w:rPr>
        <w:t>”), to register the Shares under the 1933 Act. The Participant acknowledges receipt of the Prospectus prepared by the Company in connection with the Registration Statement. Prior to conversion of the RSUs into Shares, the Participant shall execute and deliver to the Company such representations in writing as may be requested by the Company in order for it to comply with the applicable requirements of Federal and state securities law.</w:t>
      </w:r>
    </w:p>
    <w:p>
      <w:pPr>
        <w:spacing w:after="0" w:line="183" w:lineRule="exact"/>
        <w:rPr>
          <w:rFonts w:ascii="Times New Roman" w:cs="Times New Roman" w:eastAsia="Times New Roman" w:hAnsi="Times New Roman"/>
          <w:sz w:val="22"/>
          <w:szCs w:val="22"/>
          <w:color w:val="auto"/>
        </w:rPr>
      </w:pPr>
    </w:p>
    <w:p>
      <w:pPr>
        <w:ind w:left="1560" w:hanging="261"/>
        <w:spacing w:after="0"/>
        <w:tabs>
          <w:tab w:leader="none" w:pos="15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Potential Forfeiture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9"/>
        <w:spacing w:after="0" w:line="235" w:lineRule="auto"/>
        <w:tabs>
          <w:tab w:leader="none" w:pos="165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On or prior to the date on which any Shares corresponding to any vested RSUs (or, if applicable, consideration in respect of Acquirer RSUs) are delivered or cash attributable to the Participant’s vested Cash Account is paid, the Participant shall remit to the Company an amount sufficient to satisfy any applicable Federal, state, local and foreign withholding or other taxes. No certificate for any Shares corresponding to any RSUs (or, if applicable, consideration corresponding to Acquirer RSUs) which have vested, uncertificated Shares or any cash attributable to the Participant’s Cash Account, shall be delivered or paid to the Participant until the foregoing obligation has been satisfied.</w:t>
      </w:r>
    </w:p>
    <w:p>
      <w:pPr>
        <w:spacing w:after="0" w:line="179" w:lineRule="exact"/>
        <w:rPr>
          <w:rFonts w:ascii="Times New Roman" w:cs="Times New Roman" w:eastAsia="Times New Roman" w:hAnsi="Times New Roman"/>
          <w:sz w:val="22"/>
          <w:szCs w:val="22"/>
          <w:color w:val="auto"/>
        </w:rPr>
      </w:pPr>
    </w:p>
    <w:p>
      <w:pPr>
        <w:jc w:val="both"/>
        <w:ind w:firstLine="1299"/>
        <w:spacing w:after="0" w:line="244" w:lineRule="auto"/>
        <w:tabs>
          <w:tab w:leader="none" w:pos="165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Alternative Payment Methods and Company Rights</w:t>
      </w:r>
      <w:r>
        <w:rPr>
          <w:rFonts w:ascii="Times New Roman" w:cs="Times New Roman" w:eastAsia="Times New Roman" w:hAnsi="Times New Roman"/>
          <w:sz w:val="22"/>
          <w:szCs w:val="22"/>
          <w:color w:val="auto"/>
        </w:rPr>
        <w:t>. The Company may, at its option, permit the Participant to satisfy his obligations under this Section 9, by tendering to the Company a portion of the Shares (or, if applicable, consideration in respect of Acquirer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584835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787" w:right="1379" w:bottom="1440" w:gutter="0" w:footer="0" w:header="0"/>
        </w:sectPr>
      </w:pPr>
    </w:p>
    <w:bookmarkStart w:id="45" w:name="page46"/>
    <w:bookmarkEnd w:id="45"/>
    <w:p>
      <w:pPr>
        <w:jc w:val="both"/>
        <w:spacing w:after="0" w:line="245" w:lineRule="auto"/>
        <w:rPr>
          <w:sz w:val="20"/>
          <w:szCs w:val="20"/>
          <w:color w:val="auto"/>
        </w:rPr>
      </w:pPr>
      <w:r>
        <w:rPr>
          <w:rFonts w:ascii="Times New Roman" w:cs="Times New Roman" w:eastAsia="Times New Roman" w:hAnsi="Times New Roman"/>
          <w:sz w:val="21"/>
          <w:szCs w:val="21"/>
          <w:color w:val="auto"/>
        </w:rPr>
        <w:t>RSUs) that otherwise would be delivered to the Participant pursuant to the RSU (or, if applicable, Acquirer RSUs).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expense reimbursements), (2) selling all or a portion of the Shares underlying the RSUs (or, if applicable, consideration underlying Acquirer RSUs) in the open market or</w:t>
      </w:r>
    </w:p>
    <w:p>
      <w:pPr>
        <w:jc w:val="both"/>
        <w:ind w:firstLine="2"/>
        <w:spacing w:after="0" w:line="231" w:lineRule="auto"/>
        <w:tabs>
          <w:tab w:leader="none" w:pos="33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and canceling all or a portion of the Shares corresponding to the vested RSUs (or, if applicable, consideration corresponding to Acquirer RSUs). Any acquisition of Shares corresponding to RSUs (or, if applicable, consideration corresponding to Acquirer RSUs) by the Company as contemplated hereby is expressly approved by the Committee as part of the approval of this Agreement. The Participant agrees that the Company shall have the right to satisfy federal, state, local and foreign withholding and other applicable taxes in respect of any distribution from the Participant’s Cash Account by withholding a portion of such Cash Account sufficient to satisfy such obligations. The tax consequences to the Participant (including, without limitation, federal, state, local and foreign income tax consequences) with respect to the RSUs (or, if applicable Acquirer RSUs) (including without limitation the grant, vesting, settlement and/or forfeiture thereof) and the Participant’s Cash Account are the sole responsibility of the Participant.</w:t>
      </w:r>
    </w:p>
    <w:p>
      <w:pPr>
        <w:spacing w:after="0" w:line="187" w:lineRule="exact"/>
        <w:rPr>
          <w:rFonts w:ascii="Times New Roman" w:cs="Times New Roman" w:eastAsia="Times New Roman" w:hAnsi="Times New Roman"/>
          <w:sz w:val="22"/>
          <w:szCs w:val="22"/>
          <w:color w:val="auto"/>
        </w:rPr>
      </w:pPr>
    </w:p>
    <w:p>
      <w:pPr>
        <w:jc w:val="both"/>
        <w:ind w:firstLine="1299"/>
        <w:spacing w:after="0" w:line="235" w:lineRule="auto"/>
        <w:tabs>
          <w:tab w:leader="none" w:pos="16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for Failure to Pay Taxes</w:t>
      </w:r>
      <w:r>
        <w:rPr>
          <w:rFonts w:ascii="Times New Roman" w:cs="Times New Roman" w:eastAsia="Times New Roman" w:hAnsi="Times New Roman"/>
          <w:sz w:val="22"/>
          <w:szCs w:val="22"/>
          <w:color w:val="auto"/>
        </w:rPr>
        <w:t>. If and to the extent that (i) the Participant fails to satisfy his obligations under this Section 9 and (ii) the Company does not exercise its right to satisfy those obligations under Section 9(b) hereof with respect to any RSUs (or, if applicable, Acquirer RSUs) or any portion of the vested Cash Account within 30 days after the date on which the Shares corresponding to the vested RSUs (or, if applicable, the consideration corresponding to vested Acquirer RSUs) or vested Cash Account otherwise would be delivered pursuant to Sections 5 and 6(b) hereof, as applicable, the Participant shall immediately forfeit any rights with respect to the portion of the RSUs (or, if applicable, Acquirer RSUs) or vested Cash Account to which such failure relates.</w:t>
      </w:r>
    </w:p>
    <w:p>
      <w:pPr>
        <w:spacing w:after="0" w:line="179" w:lineRule="exact"/>
        <w:rPr>
          <w:sz w:val="20"/>
          <w:szCs w:val="20"/>
          <w:color w:val="auto"/>
        </w:rPr>
      </w:pPr>
    </w:p>
    <w:p>
      <w:pPr>
        <w:jc w:val="both"/>
        <w:ind w:firstLine="1299"/>
        <w:spacing w:after="0" w:line="234" w:lineRule="auto"/>
        <w:tabs>
          <w:tab w:leader="none" w:pos="178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w:t>
      </w:r>
      <w:r>
        <w:rPr>
          <w:rFonts w:ascii="Times New Roman" w:cs="Times New Roman" w:eastAsia="Times New Roman" w:hAnsi="Times New Roman"/>
          <w:sz w:val="22"/>
          <w:szCs w:val="22"/>
          <w:color w:val="auto"/>
        </w:rPr>
        <w:t>. Except as otherwise provided in the Employment Agreement, the Participant’s employment with the Company and any Subsidiary is at-will. Accordingly, subject to the terms of the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184" w:lineRule="exact"/>
        <w:rPr>
          <w:rFonts w:ascii="Times New Roman" w:cs="Times New Roman" w:eastAsia="Times New Roman" w:hAnsi="Times New Roman"/>
          <w:sz w:val="22"/>
          <w:szCs w:val="22"/>
          <w:color w:val="auto"/>
        </w:rPr>
      </w:pPr>
    </w:p>
    <w:p>
      <w:pPr>
        <w:jc w:val="both"/>
        <w:ind w:firstLine="1299"/>
        <w:spacing w:after="0" w:line="236" w:lineRule="auto"/>
        <w:tabs>
          <w:tab w:leader="none" w:pos="16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Retention Policy</w:t>
      </w:r>
      <w:r>
        <w:rPr>
          <w:rFonts w:ascii="Times New Roman" w:cs="Times New Roman" w:eastAsia="Times New Roman" w:hAnsi="Times New Roman"/>
          <w:sz w:val="22"/>
          <w:szCs w:val="22"/>
          <w:color w:val="auto"/>
        </w:rPr>
        <w:t>. The Participant understands that the Committee has adopted a policy that requires the Participant to retain ownership of one-half (50%) of the Shares underlying the RSUs acquired by the Participant hereunder (net of the number of Shares which would need to be sold to satisfy any applicable taxes owed upon vesting), for a period of three (3) years after vesting of such RSUs (or until the Participant’s employment with, and services for, the Company and its Subsidiaries terminate, if earlier). The Participant agrees to comply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584835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787" w:right="1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color w:val="auto"/>
        </w:rPr>
        <w:t>with such policy and any modifications thereof that may be adopted by the Committee from time to time.</w:t>
      </w:r>
    </w:p>
    <w:p>
      <w:pPr>
        <w:spacing w:after="0" w:line="218" w:lineRule="exact"/>
        <w:rPr>
          <w:sz w:val="20"/>
          <w:szCs w:val="20"/>
          <w:color w:val="auto"/>
        </w:rPr>
      </w:pPr>
    </w:p>
    <w:p>
      <w:pPr>
        <w:jc w:val="both"/>
        <w:ind w:firstLine="1299"/>
        <w:spacing w:after="0" w:line="239" w:lineRule="auto"/>
        <w:tabs>
          <w:tab w:leader="none" w:pos="167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Policy</w:t>
      </w:r>
      <w:r>
        <w:rPr>
          <w:rFonts w:ascii="Times New Roman" w:cs="Times New Roman" w:eastAsia="Times New Roman" w:hAnsi="Times New Roman"/>
          <w:sz w:val="22"/>
          <w:szCs w:val="22"/>
          <w:color w:val="auto"/>
        </w:rPr>
        <w:t>. The Participant understands that the Committee has adopted a policy that requires the Participant to own a multiple of the Participant’s base salary, determined by leadership level, in Common Stock. The Participant agrees to comply with such policy and any modifications thereof that may be adopted by the Committee from time to time.</w:t>
      </w:r>
    </w:p>
    <w:p>
      <w:pPr>
        <w:spacing w:after="0" w:line="180" w:lineRule="exact"/>
        <w:rPr>
          <w:rFonts w:ascii="Times New Roman" w:cs="Times New Roman" w:eastAsia="Times New Roman" w:hAnsi="Times New Roman"/>
          <w:sz w:val="22"/>
          <w:szCs w:val="22"/>
          <w:color w:val="auto"/>
        </w:rPr>
      </w:pPr>
    </w:p>
    <w:p>
      <w:pPr>
        <w:jc w:val="both"/>
        <w:ind w:firstLine="1299"/>
        <w:spacing w:after="0" w:line="239" w:lineRule="auto"/>
        <w:tabs>
          <w:tab w:leader="none" w:pos="167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180" w:lineRule="exact"/>
        <w:rPr>
          <w:rFonts w:ascii="Times New Roman" w:cs="Times New Roman" w:eastAsia="Times New Roman" w:hAnsi="Times New Roman"/>
          <w:sz w:val="22"/>
          <w:szCs w:val="22"/>
          <w:color w:val="auto"/>
        </w:rPr>
      </w:pPr>
    </w:p>
    <w:p>
      <w:pPr>
        <w:ind w:firstLine="1299"/>
        <w:spacing w:after="0" w:line="258" w:lineRule="auto"/>
        <w:tabs>
          <w:tab w:leader="none" w:pos="170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This Agreement shall be binding upon and inure to the benefit of the heirs, legatees, legal representatives, successors and assigns of the parties hereto.</w:t>
      </w:r>
    </w:p>
    <w:p>
      <w:pPr>
        <w:spacing w:after="0" w:line="158" w:lineRule="exact"/>
        <w:rPr>
          <w:rFonts w:ascii="Times New Roman" w:cs="Times New Roman" w:eastAsia="Times New Roman" w:hAnsi="Times New Roman"/>
          <w:sz w:val="22"/>
          <w:szCs w:val="22"/>
          <w:color w:val="auto"/>
        </w:rPr>
      </w:pPr>
    </w:p>
    <w:p>
      <w:pPr>
        <w:jc w:val="both"/>
        <w:ind w:firstLine="1299"/>
        <w:spacing w:after="0" w:line="244" w:lineRule="auto"/>
        <w:tabs>
          <w:tab w:leader="none" w:pos="171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73" w:lineRule="exact"/>
        <w:rPr>
          <w:rFonts w:ascii="Times New Roman" w:cs="Times New Roman" w:eastAsia="Times New Roman" w:hAnsi="Times New Roman"/>
          <w:sz w:val="22"/>
          <w:szCs w:val="22"/>
          <w:color w:val="auto"/>
        </w:rPr>
      </w:pPr>
    </w:p>
    <w:p>
      <w:pPr>
        <w:jc w:val="both"/>
        <w:ind w:firstLine="1299"/>
        <w:spacing w:after="0" w:line="234" w:lineRule="auto"/>
        <w:tabs>
          <w:tab w:leader="none" w:pos="175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Law/Jurisdiction</w:t>
      </w:r>
      <w:r>
        <w:rPr>
          <w:rFonts w:ascii="Times New Roman" w:cs="Times New Roman" w:eastAsia="Times New Roman" w:hAnsi="Times New Roman"/>
          <w:sz w:val="22"/>
          <w:szCs w:val="22"/>
          <w:color w:val="auto"/>
        </w:rPr>
        <w:t>. The validity and effect of this Agreement shall be governed by,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180" w:lineRule="exact"/>
        <w:rPr>
          <w:rFonts w:ascii="Times New Roman" w:cs="Times New Roman" w:eastAsia="Times New Roman" w:hAnsi="Times New Roman"/>
          <w:sz w:val="22"/>
          <w:szCs w:val="22"/>
          <w:color w:val="auto"/>
        </w:rPr>
      </w:pPr>
    </w:p>
    <w:p>
      <w:pPr>
        <w:jc w:val="both"/>
        <w:ind w:firstLine="1299"/>
        <w:spacing w:after="0" w:line="235" w:lineRule="auto"/>
        <w:tabs>
          <w:tab w:leader="none" w:pos="168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183" w:lineRule="exact"/>
        <w:rPr>
          <w:rFonts w:ascii="Times New Roman" w:cs="Times New Roman" w:eastAsia="Times New Roman" w:hAnsi="Times New Roman"/>
          <w:sz w:val="22"/>
          <w:szCs w:val="22"/>
          <w:color w:val="auto"/>
        </w:rPr>
      </w:pPr>
    </w:p>
    <w:p>
      <w:pPr>
        <w:ind w:firstLine="1299"/>
        <w:spacing w:after="0" w:line="258" w:lineRule="auto"/>
        <w:tabs>
          <w:tab w:leader="none" w:pos="167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provided herein are for convenience only and are not to serve as a basis for the interpretation or construction of this Agreement.</w:t>
      </w:r>
    </w:p>
    <w:p>
      <w:pPr>
        <w:spacing w:after="0" w:line="158" w:lineRule="exact"/>
        <w:rPr>
          <w:rFonts w:ascii="Times New Roman" w:cs="Times New Roman" w:eastAsia="Times New Roman" w:hAnsi="Times New Roman"/>
          <w:sz w:val="22"/>
          <w:szCs w:val="22"/>
          <w:color w:val="auto"/>
        </w:rPr>
      </w:pPr>
    </w:p>
    <w:p>
      <w:pPr>
        <w:ind w:firstLine="1299"/>
        <w:spacing w:after="0" w:line="258" w:lineRule="auto"/>
        <w:tabs>
          <w:tab w:leader="none" w:pos="167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Agreement shall be held invalid or unenforceable, such provision shall be severable from, and such invalidity or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584835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787" w:right="1379" w:bottom="1440" w:gutter="0" w:footer="0" w:header="0"/>
        </w:sectPr>
      </w:pPr>
    </w:p>
    <w:bookmarkStart w:id="47" w:name="page48"/>
    <w:bookmarkEnd w:id="47"/>
    <w:p>
      <w:pPr>
        <w:spacing w:after="0" w:line="258" w:lineRule="auto"/>
        <w:rPr>
          <w:sz w:val="20"/>
          <w:szCs w:val="20"/>
          <w:color w:val="auto"/>
        </w:rPr>
      </w:pPr>
      <w:r>
        <w:rPr>
          <w:rFonts w:ascii="Times New Roman" w:cs="Times New Roman" w:eastAsia="Times New Roman" w:hAnsi="Times New Roman"/>
          <w:sz w:val="22"/>
          <w:szCs w:val="22"/>
          <w:color w:val="auto"/>
        </w:rPr>
        <w:t>unenforceability shall not be construed to have any effect on, the remaining provisions of this Agreement.</w:t>
      </w:r>
    </w:p>
    <w:p>
      <w:pPr>
        <w:spacing w:after="0" w:line="158" w:lineRule="exact"/>
        <w:rPr>
          <w:sz w:val="20"/>
          <w:szCs w:val="20"/>
          <w:color w:val="auto"/>
        </w:rPr>
      </w:pPr>
    </w:p>
    <w:p>
      <w:pPr>
        <w:jc w:val="both"/>
        <w:ind w:firstLine="1299"/>
        <w:spacing w:after="0" w:line="234" w:lineRule="auto"/>
        <w:tabs>
          <w:tab w:leader="none" w:pos="168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176" w:lineRule="exact"/>
        <w:rPr>
          <w:rFonts w:ascii="Times New Roman" w:cs="Times New Roman" w:eastAsia="Times New Roman" w:hAnsi="Times New Roman"/>
          <w:sz w:val="22"/>
          <w:szCs w:val="22"/>
          <w:color w:val="auto"/>
        </w:rPr>
      </w:pPr>
    </w:p>
    <w:p>
      <w:pPr>
        <w:ind w:left="1680" w:hanging="381"/>
        <w:spacing w:after="0"/>
        <w:tabs>
          <w:tab w:leader="none" w:pos="16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9"/>
        <w:spacing w:after="0" w:line="234" w:lineRule="auto"/>
        <w:tabs>
          <w:tab w:leader="none" w:pos="173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the RSUs awarded pursuant to this Agreement and the Cash Account be exempt from Section 409A, because it is believed that the Agreement does not provide for a deferral of compensation and accordingly that the Agreement does not constitute a nonqualified deferred compensation plan within the meaning of Section 409A. If and to the extent that the Committee believes that the RSUs (including, if applicable, the Acquirer RSUs) or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Committee, in its sole discretion and without the consent of the Participant, may amend this Agreement (and the provisions of the Plan applicable thereto) if and to the extent that the Committee determines necessary or appropriate to comply with applicable requirements of Section 409A.</w:t>
      </w:r>
    </w:p>
    <w:p>
      <w:pPr>
        <w:spacing w:after="0" w:line="176" w:lineRule="exact"/>
        <w:rPr>
          <w:rFonts w:ascii="Times New Roman" w:cs="Times New Roman" w:eastAsia="Times New Roman" w:hAnsi="Times New Roman"/>
          <w:sz w:val="22"/>
          <w:szCs w:val="22"/>
          <w:color w:val="auto"/>
        </w:rPr>
      </w:pPr>
    </w:p>
    <w:p>
      <w:pPr>
        <w:ind w:left="1660" w:hanging="361"/>
        <w:spacing w:after="0"/>
        <w:tabs>
          <w:tab w:leader="none" w:pos="16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required to comply with Section 409A:</w:t>
      </w:r>
    </w:p>
    <w:p>
      <w:pPr>
        <w:spacing w:after="0" w:line="206" w:lineRule="exact"/>
        <w:rPr>
          <w:rFonts w:ascii="Times New Roman" w:cs="Times New Roman" w:eastAsia="Times New Roman" w:hAnsi="Times New Roman"/>
          <w:sz w:val="22"/>
          <w:szCs w:val="22"/>
          <w:color w:val="auto"/>
        </w:rPr>
      </w:pPr>
    </w:p>
    <w:p>
      <w:pPr>
        <w:jc w:val="both"/>
        <w:ind w:left="660" w:firstLine="1287"/>
        <w:spacing w:after="0" w:line="246" w:lineRule="auto"/>
        <w:tabs>
          <w:tab w:leader="none" w:pos="2309"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or delivery of Shares (or, if applicable, consideration in respect of Acquirer RSUs) or cash in respect of the Participant’s Cash Account under this Agreement may not be made earlier than (u) the Participant’s “separation from service”, (v) the date the Participant becomes “disabled”, (w) the Participant’s death, (x) a “specified time (or pursuant to a fixed schedule)” specified in this Agreement at the date of the deferral of such compensation or</w:t>
      </w:r>
    </w:p>
    <w:p>
      <w:pPr>
        <w:spacing w:after="0" w:line="1" w:lineRule="exact"/>
        <w:rPr>
          <w:rFonts w:ascii="Times New Roman" w:cs="Times New Roman" w:eastAsia="Times New Roman" w:hAnsi="Times New Roman"/>
          <w:sz w:val="21"/>
          <w:szCs w:val="21"/>
          <w:color w:val="auto"/>
        </w:rPr>
      </w:pPr>
    </w:p>
    <w:p>
      <w:pPr>
        <w:ind w:left="660" w:hanging="9"/>
        <w:spacing w:after="0" w:line="237" w:lineRule="auto"/>
        <w:tabs>
          <w:tab w:leader="none" w:pos="97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ownership or effective control” of the corporation, or in the “ownership of a substantial portion of the assets” of the corporation;</w:t>
      </w:r>
    </w:p>
    <w:p>
      <w:pPr>
        <w:spacing w:after="0" w:line="178" w:lineRule="exact"/>
        <w:rPr>
          <w:rFonts w:ascii="Times New Roman" w:cs="Times New Roman" w:eastAsia="Times New Roman" w:hAnsi="Times New Roman"/>
          <w:sz w:val="22"/>
          <w:szCs w:val="22"/>
          <w:color w:val="auto"/>
        </w:rPr>
      </w:pPr>
    </w:p>
    <w:p>
      <w:pPr>
        <w:jc w:val="both"/>
        <w:ind w:left="660" w:firstLine="1287"/>
        <w:spacing w:after="0" w:line="244" w:lineRule="auto"/>
        <w:tabs>
          <w:tab w:leader="none" w:pos="2355"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174" w:lineRule="exact"/>
        <w:rPr>
          <w:sz w:val="20"/>
          <w:szCs w:val="20"/>
          <w:color w:val="auto"/>
        </w:rPr>
      </w:pPr>
    </w:p>
    <w:p>
      <w:pPr>
        <w:ind w:left="660" w:firstLine="1287"/>
        <w:spacing w:after="0" w:line="258" w:lineRule="auto"/>
        <w:tabs>
          <w:tab w:leader="none" w:pos="244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is a “specified employee”, a distribution on account of a “separation from service” may not be made before the date which is six (6) months after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584835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787" w:right="1379" w:bottom="1440" w:gutter="0" w:footer="0" w:header="0"/>
        </w:sectPr>
      </w:pPr>
    </w:p>
    <w:bookmarkStart w:id="48" w:name="page49"/>
    <w:bookmarkEnd w:id="48"/>
    <w:p>
      <w:pPr>
        <w:ind w:left="660"/>
        <w:spacing w:after="0" w:line="258" w:lineRule="auto"/>
        <w:rPr>
          <w:sz w:val="20"/>
          <w:szCs w:val="20"/>
          <w:color w:val="auto"/>
        </w:rPr>
      </w:pPr>
      <w:r>
        <w:rPr>
          <w:rFonts w:ascii="Times New Roman" w:cs="Times New Roman" w:eastAsia="Times New Roman" w:hAnsi="Times New Roman"/>
          <w:sz w:val="22"/>
          <w:szCs w:val="22"/>
          <w:color w:val="auto"/>
        </w:rPr>
        <w:t>the date of the Participant’s “separation from service” (or, if earlier, the date of the Participant’s death).</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181" w:lineRule="exact"/>
        <w:rPr>
          <w:sz w:val="20"/>
          <w:szCs w:val="20"/>
          <w:color w:val="auto"/>
        </w:rPr>
      </w:pPr>
    </w:p>
    <w:p>
      <w:pPr>
        <w:jc w:val="both"/>
        <w:ind w:firstLine="1299"/>
        <w:spacing w:after="0" w:line="235" w:lineRule="auto"/>
        <w:tabs>
          <w:tab w:leader="none" w:pos="165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179" w:lineRule="exact"/>
        <w:rPr>
          <w:sz w:val="20"/>
          <w:szCs w:val="20"/>
          <w:color w:val="auto"/>
        </w:rPr>
      </w:pPr>
    </w:p>
    <w:p>
      <w:pPr>
        <w:jc w:val="both"/>
        <w:ind w:firstLine="1299"/>
        <w:spacing w:after="0" w:line="238" w:lineRule="auto"/>
        <w:tabs>
          <w:tab w:leader="none" w:pos="175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Unfunded Agreement</w:t>
      </w:r>
      <w:r>
        <w:rPr>
          <w:rFonts w:ascii="Times New Roman" w:cs="Times New Roman" w:eastAsia="Times New Roman" w:hAnsi="Times New Roman"/>
          <w:sz w:val="22"/>
          <w:szCs w:val="22"/>
          <w:color w:val="auto"/>
        </w:rPr>
        <w:t>. The rights of the Participant under this Agreement with respect to the Company’s obligation to distribute Shares corresponding to vested RSUs (or, if applicable, consideration in respect of Acquirer RSUs) and the value of the Participant’s vested Cash Account, if any, shall be unfunded and shall not be greater than the rights of an unsecured general creditor of the Company.</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Agreement as of the Grant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7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WORLD FUEL SERVICES CORPORATION</w:t>
      </w:r>
    </w:p>
    <w:p>
      <w:pPr>
        <w:spacing w:after="0" w:line="2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11430</wp:posOffset>
            </wp:positionV>
            <wp:extent cx="21869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11430</wp:posOffset>
            </wp:positionV>
            <wp:extent cx="21869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11430</wp:posOffset>
            </wp:positionV>
            <wp:extent cx="21869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u w:val="single" w:color="auto"/>
          <w:color w:val="auto"/>
        </w:rPr>
        <w:t>PARTICIPANT</w:t>
      </w:r>
    </w:p>
    <w:p>
      <w:pPr>
        <w:spacing w:after="0" w:line="2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11430</wp:posOffset>
            </wp:positionV>
            <wp:extent cx="21869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11430</wp:posOffset>
            </wp:positionV>
            <wp:extent cx="21869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584835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787" w:right="1379" w:bottom="1440" w:gutter="0" w:footer="0" w:header="0"/>
        </w:sectPr>
      </w:pPr>
    </w:p>
    <w:bookmarkStart w:id="49" w:name="page50"/>
    <w:bookmarkEnd w:id="49"/>
    <w:p>
      <w:pPr>
        <w:ind w:left="7740"/>
        <w:spacing w:after="0"/>
        <w:rPr>
          <w:sz w:val="20"/>
          <w:szCs w:val="20"/>
          <w:color w:val="auto"/>
        </w:rPr>
      </w:pPr>
      <w:r>
        <w:rPr>
          <w:rFonts w:ascii="Times New Roman" w:cs="Times New Roman" w:eastAsia="Times New Roman" w:hAnsi="Times New Roman"/>
          <w:sz w:val="21"/>
          <w:szCs w:val="21"/>
          <w:u w:val="single" w:color="auto"/>
          <w:color w:val="auto"/>
        </w:rPr>
        <w:t>SCHEDULE A</w:t>
      </w:r>
    </w:p>
    <w:p>
      <w:pPr>
        <w:spacing w:after="0" w:line="218" w:lineRule="exact"/>
        <w:rPr>
          <w:sz w:val="20"/>
          <w:szCs w:val="20"/>
          <w:color w:val="auto"/>
        </w:rPr>
      </w:pPr>
    </w:p>
    <w:p>
      <w:pPr>
        <w:jc w:val="both"/>
        <w:ind w:left="600" w:right="640"/>
        <w:spacing w:after="0" w:line="244" w:lineRule="auto"/>
        <w:rPr>
          <w:sz w:val="20"/>
          <w:szCs w:val="20"/>
          <w:color w:val="auto"/>
        </w:rPr>
      </w:pPr>
      <w:r>
        <w:rPr>
          <w:rFonts w:ascii="Times New Roman" w:cs="Times New Roman" w:eastAsia="Times New Roman" w:hAnsi="Times New Roman"/>
          <w:sz w:val="22"/>
          <w:szCs w:val="22"/>
          <w:color w:val="auto"/>
        </w:rPr>
        <w:t>World Fuel Services Corporation’s (“</w:t>
      </w:r>
      <w:r>
        <w:rPr>
          <w:rFonts w:ascii="Times New Roman" w:cs="Times New Roman" w:eastAsia="Times New Roman" w:hAnsi="Times New Roman"/>
          <w:sz w:val="22"/>
          <w:szCs w:val="22"/>
          <w:u w:val="single" w:color="auto"/>
          <w:color w:val="auto"/>
        </w:rPr>
        <w:t>WFS</w:t>
      </w:r>
      <w:r>
        <w:rPr>
          <w:rFonts w:ascii="Times New Roman" w:cs="Times New Roman" w:eastAsia="Times New Roman" w:hAnsi="Times New Roman"/>
          <w:sz w:val="22"/>
          <w:szCs w:val="22"/>
          <w:color w:val="auto"/>
        </w:rPr>
        <w:t>”) consolidated net revenues for the 2014 fiscal year must be equal to or greater than 75% of WFS’s consolidated net revenues for the 2013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67310</wp:posOffset>
            </wp:positionV>
            <wp:extent cx="584835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80"/>
          </w:cols>
          <w:pgMar w:left="1440" w:top="787" w:right="137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 — 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Kasbar, certify that:</w:t>
      </w:r>
    </w:p>
    <w:p>
      <w:pPr>
        <w:spacing w:after="0" w:line="252" w:lineRule="exact"/>
        <w:rPr>
          <w:sz w:val="20"/>
          <w:szCs w:val="20"/>
          <w:color w:val="auto"/>
        </w:rPr>
      </w:pPr>
    </w:p>
    <w:p>
      <w:pPr>
        <w:ind w:left="460" w:right="400" w:hanging="134"/>
        <w:spacing w:after="0" w:line="282" w:lineRule="auto"/>
        <w:rPr>
          <w:sz w:val="20"/>
          <w:szCs w:val="20"/>
          <w:color w:val="auto"/>
        </w:rPr>
      </w:pPr>
      <w:r>
        <w:rPr>
          <w:rFonts w:ascii="Times New Roman" w:cs="Times New Roman" w:eastAsia="Times New Roman" w:hAnsi="Times New Roman"/>
          <w:sz w:val="18"/>
          <w:szCs w:val="18"/>
          <w:color w:val="auto"/>
        </w:rPr>
        <w:t>1.I have reviewed this Quarterly Report on Form 10-Q of World Fuel Services Corporation for the quarterly period ended June 30, 2015;</w:t>
      </w:r>
    </w:p>
    <w:p>
      <w:pPr>
        <w:spacing w:after="0" w:line="189" w:lineRule="exact"/>
        <w:rPr>
          <w:sz w:val="20"/>
          <w:szCs w:val="20"/>
          <w:color w:val="auto"/>
        </w:rPr>
      </w:pPr>
    </w:p>
    <w:p>
      <w:pPr>
        <w:ind w:left="460" w:right="8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p>
      <w:pPr>
        <w:ind w:left="460" w:right="40" w:hanging="134"/>
        <w:spacing w:after="0" w:line="26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sz w:val="20"/>
          <w:szCs w:val="20"/>
          <w:color w:val="auto"/>
        </w:rPr>
      </w:pPr>
    </w:p>
    <w:p>
      <w:pPr>
        <w:ind w:left="460" w:righ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203" w:lineRule="exact"/>
        <w:rPr>
          <w:sz w:val="20"/>
          <w:szCs w:val="20"/>
          <w:color w:val="auto"/>
        </w:rPr>
      </w:pPr>
    </w:p>
    <w:p>
      <w:pPr>
        <w:ind w:left="1100" w:right="6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sz w:val="20"/>
          <w:szCs w:val="20"/>
          <w:color w:val="auto"/>
        </w:rPr>
      </w:pPr>
    </w:p>
    <w:p>
      <w:pPr>
        <w:ind w:left="1100" w:right="48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ind w:left="1100" w:right="20" w:hanging="134"/>
        <w:spacing w:after="0" w:line="26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sz w:val="20"/>
          <w:szCs w:val="20"/>
          <w:color w:val="auto"/>
        </w:rPr>
      </w:pPr>
    </w:p>
    <w:p>
      <w:pPr>
        <w:ind w:left="1100" w:right="4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left="460" w:right="28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sz w:val="20"/>
          <w:szCs w:val="20"/>
          <w:color w:val="auto"/>
        </w:rPr>
      </w:pPr>
    </w:p>
    <w:p>
      <w:pPr>
        <w:ind w:left="1100" w:right="280" w:hanging="134"/>
        <w:spacing w:after="0" w:line="26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sz w:val="20"/>
          <w:szCs w:val="20"/>
          <w:color w:val="auto"/>
        </w:rPr>
      </w:pPr>
    </w:p>
    <w:p>
      <w:pPr>
        <w:ind w:left="1100" w:right="66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2015</w:t>
      </w:r>
    </w:p>
    <w:p>
      <w:pPr>
        <w:spacing w:after="0" w:line="2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5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-127635</wp:posOffset>
            </wp:positionV>
            <wp:extent cx="32073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310515</wp:posOffset>
            </wp:positionV>
            <wp:extent cx="646557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 — 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M. Birns, certify that:</w:t>
      </w:r>
    </w:p>
    <w:p>
      <w:pPr>
        <w:spacing w:after="0" w:line="252" w:lineRule="exact"/>
        <w:rPr>
          <w:sz w:val="20"/>
          <w:szCs w:val="20"/>
          <w:color w:val="auto"/>
        </w:rPr>
      </w:pPr>
    </w:p>
    <w:p>
      <w:pPr>
        <w:ind w:left="460" w:right="360" w:hanging="134"/>
        <w:spacing w:after="0" w:line="282" w:lineRule="auto"/>
        <w:rPr>
          <w:sz w:val="20"/>
          <w:szCs w:val="20"/>
          <w:color w:val="auto"/>
        </w:rPr>
      </w:pPr>
      <w:r>
        <w:rPr>
          <w:rFonts w:ascii="Times New Roman" w:cs="Times New Roman" w:eastAsia="Times New Roman" w:hAnsi="Times New Roman"/>
          <w:sz w:val="18"/>
          <w:szCs w:val="18"/>
          <w:color w:val="auto"/>
        </w:rPr>
        <w:t>1.I have reviewed this Quarterly Report on Form 10-Q of World Fuel Services Corporation for the quarterly period ended June 30, 2015;</w:t>
      </w:r>
    </w:p>
    <w:p>
      <w:pPr>
        <w:spacing w:after="0" w:line="189" w:lineRule="exact"/>
        <w:rPr>
          <w:sz w:val="20"/>
          <w:szCs w:val="20"/>
          <w:color w:val="auto"/>
        </w:rPr>
      </w:pPr>
    </w:p>
    <w:p>
      <w:pPr>
        <w:ind w:left="460" w:right="8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p>
      <w:pPr>
        <w:ind w:left="460" w:right="40" w:hanging="134"/>
        <w:spacing w:after="0" w:line="26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sz w:val="20"/>
          <w:szCs w:val="20"/>
          <w:color w:val="auto"/>
        </w:rPr>
      </w:pPr>
    </w:p>
    <w:p>
      <w:pPr>
        <w:ind w:left="460" w:righ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203" w:lineRule="exact"/>
        <w:rPr>
          <w:sz w:val="20"/>
          <w:szCs w:val="20"/>
          <w:color w:val="auto"/>
        </w:rPr>
      </w:pPr>
    </w:p>
    <w:p>
      <w:pPr>
        <w:ind w:left="1100" w:right="6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sz w:val="20"/>
          <w:szCs w:val="20"/>
          <w:color w:val="auto"/>
        </w:rPr>
      </w:pPr>
    </w:p>
    <w:p>
      <w:pPr>
        <w:ind w:left="1100" w:right="48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ind w:left="1100" w:right="20" w:hanging="134"/>
        <w:spacing w:after="0" w:line="26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sz w:val="20"/>
          <w:szCs w:val="20"/>
          <w:color w:val="auto"/>
        </w:rPr>
      </w:pPr>
    </w:p>
    <w:p>
      <w:pPr>
        <w:ind w:left="1100" w:right="4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left="460" w:right="28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sz w:val="20"/>
          <w:szCs w:val="20"/>
          <w:color w:val="auto"/>
        </w:rPr>
      </w:pPr>
    </w:p>
    <w:p>
      <w:pPr>
        <w:ind w:left="1100" w:right="280" w:hanging="134"/>
        <w:spacing w:after="0" w:line="26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sz w:val="20"/>
          <w:szCs w:val="20"/>
          <w:color w:val="auto"/>
        </w:rPr>
      </w:pPr>
    </w:p>
    <w:p>
      <w:pPr>
        <w:ind w:left="1100" w:right="66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2015</w:t>
      </w:r>
    </w:p>
    <w:p>
      <w:pPr>
        <w:spacing w:after="0" w:line="2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Ira M. Birns</w:t>
      </w:r>
    </w:p>
    <w:p>
      <w:pPr>
        <w:spacing w:after="0" w:line="5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-127635</wp:posOffset>
            </wp:positionV>
            <wp:extent cx="32073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310515</wp:posOffset>
            </wp:positionV>
            <wp:extent cx="646557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under Section 906 of the Sarbanes-Oxley Act of 2002 (18 U.S.C. § 1350)</w:t>
      </w:r>
    </w:p>
    <w:p>
      <w:pPr>
        <w:spacing w:after="0" w:line="202"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We, Michael J. Kasbar, the Chairman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203" w:lineRule="exact"/>
        <w:rPr>
          <w:sz w:val="20"/>
          <w:szCs w:val="20"/>
          <w:color w:val="auto"/>
        </w:rPr>
      </w:pPr>
    </w:p>
    <w:p>
      <w:pPr>
        <w:ind w:left="760" w:right="280" w:hanging="271"/>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2015 (the “Report”) fully complies with the requirements of Section 13(a) or 15(d), as applicable, of the Securities Exchange Act of 1934; and</w:t>
      </w:r>
    </w:p>
    <w:p>
      <w:pPr>
        <w:spacing w:after="0" w:line="203" w:lineRule="exact"/>
        <w:rPr>
          <w:rFonts w:ascii="Times New Roman" w:cs="Times New Roman" w:eastAsia="Times New Roman" w:hAnsi="Times New Roman"/>
          <w:sz w:val="18"/>
          <w:szCs w:val="18"/>
          <w:color w:val="auto"/>
        </w:rPr>
      </w:pPr>
    </w:p>
    <w:p>
      <w:pPr>
        <w:ind w:left="820" w:right="160" w:hanging="331"/>
        <w:spacing w:after="0" w:line="282"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2015</w:t>
      </w:r>
    </w:p>
    <w:p>
      <w:pPr>
        <w:spacing w:after="0" w:line="2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-127635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Ira M. Birns</w:t>
      </w:r>
    </w:p>
    <w:p>
      <w:pPr>
        <w:spacing w:after="0" w:line="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-127635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3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269875</wp:posOffset>
            </wp:positionV>
            <wp:extent cx="584835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sectPr>
      <w:pgSz w:w="11900" w:h="16838" w:orient="portrait"/>
      <w:cols w:equalWidth="0" w:num="1">
        <w:col w:w="9140"/>
      </w:cols>
      <w:pgMar w:left="1380" w:top="11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decimal"/>
      <w:start w:val="4"/>
    </w:lvl>
  </w:abstractNum>
  <w:abstractNum w:abstractNumId="5">
    <w:nsid w:val="75A2A8D4"/>
    <w:multiLevelType w:val="hybridMultilevel"/>
    <w:lvl w:ilvl="0">
      <w:lvlJc w:val="left"/>
      <w:lvlText w:val="%1."/>
      <w:numFmt w:val="decimal"/>
      <w:start w:val="5"/>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7"/>
    </w:lvl>
  </w:abstractNum>
  <w:abstractNum w:abstractNumId="8">
    <w:nsid w:val="4353D0CD"/>
    <w:multiLevelType w:val="hybridMultilevel"/>
    <w:lvl w:ilvl="0">
      <w:lvlJc w:val="left"/>
      <w:lvlText w:val="%1."/>
      <w:numFmt w:val="decimal"/>
      <w:start w:val="8"/>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0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2"/>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1"/>
    </w:lvl>
    <w:lvl w:ilvl="1">
      <w:lvlJc w:val="left"/>
      <w:lvlText w:val="(%2)"/>
      <w:numFmt w:val="lowerLetter"/>
      <w:start w:val="35"/>
    </w:lvl>
  </w:abstractNum>
  <w:abstractNum w:abstractNumId="20">
    <w:nsid w:val="737B8DDC"/>
    <w:multiLevelType w:val="hybridMultilevel"/>
    <w:lvl w:ilvl="0">
      <w:lvlJc w:val="left"/>
      <w:lvlText w:val="(%1)"/>
      <w:numFmt w:val="lowerLetter"/>
      <w:start w:val="2"/>
    </w:lvl>
    <w:lvl w:ilvl="1">
      <w:lvlJc w:val="left"/>
      <w:lvlText w:val="(%2)"/>
      <w:numFmt w:val="lowerLetter"/>
      <w:start w:val="9"/>
    </w:lvl>
  </w:abstractNum>
  <w:abstractNum w:abstractNumId="21">
    <w:nsid w:val="6CEAF087"/>
    <w:multiLevelType w:val="hybridMultilevel"/>
    <w:lvl w:ilvl="0">
      <w:lvlJc w:val="left"/>
      <w:lvlText w:val="(%1)"/>
      <w:numFmt w:val="upperLetter"/>
      <w:start w:val="2"/>
    </w:lvl>
  </w:abstractNum>
  <w:abstractNum w:abstractNumId="22">
    <w:nsid w:val="22221A70"/>
    <w:multiLevelType w:val="hybridMultilevel"/>
    <w:lvl w:ilvl="0">
      <w:lvlJc w:val="left"/>
      <w:lvlText w:val="(%1)"/>
      <w:numFmt w:val="lowerRoman"/>
      <w:start w:val="2"/>
    </w:lvl>
  </w:abstractNum>
  <w:abstractNum w:abstractNumId="23">
    <w:nsid w:val="4516DDE9"/>
    <w:multiLevelType w:val="hybridMultilevel"/>
    <w:lvl w:ilvl="0">
      <w:lvlJc w:val="left"/>
      <w:lvlText w:val="%1"/>
      <w:numFmt w:val="decimal"/>
      <w:start w:val="1"/>
    </w:lvl>
    <w:lvl w:ilvl="1">
      <w:lvlJc w:val="left"/>
      <w:lvlText w:val="(%2)"/>
      <w:numFmt w:val="lowerRoman"/>
      <w:start w:val="3"/>
    </w:lvl>
  </w:abstractNum>
  <w:abstractNum w:abstractNumId="24">
    <w:nsid w:val="3006C83E"/>
    <w:multiLevelType w:val="hybridMultilevel"/>
    <w:lvl w:ilvl="0">
      <w:lvlJc w:val="left"/>
      <w:lvlText w:val="%1."/>
      <w:numFmt w:val="decimal"/>
      <w:start w:val="4"/>
    </w:lvl>
    <w:lvl w:ilvl="1">
      <w:lvlJc w:val="left"/>
      <w:lvlText w:val="%2"/>
      <w:numFmt w:val="lowerRoman"/>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2"/>
    </w:lvl>
  </w:abstractNum>
  <w:abstractNum w:abstractNumId="27">
    <w:nsid w:val="5577F8E1"/>
    <w:multiLevelType w:val="hybridMultilevel"/>
    <w:lvl w:ilvl="0">
      <w:lvlJc w:val="left"/>
      <w:lvlText w:val="%1."/>
      <w:numFmt w:val="decimal"/>
      <w:start w:val="6"/>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2"/>
    </w:lvl>
    <w:lvl w:ilvl="1">
      <w:lvlJc w:val="left"/>
      <w:lvlText w:val="(%2)"/>
      <w:numFmt w:val="lowerRoman"/>
      <w:start w:val="1"/>
    </w:lvl>
  </w:abstractNum>
  <w:abstractNum w:abstractNumId="30">
    <w:nsid w:val="3804823E"/>
    <w:multiLevelType w:val="hybridMultilevel"/>
    <w:lvl w:ilvl="0">
      <w:lvlJc w:val="left"/>
      <w:lvlText w:val="%1."/>
      <w:numFmt w:val="decimal"/>
      <w:start w:val="7"/>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decimal"/>
      <w:start w:val="3"/>
    </w:lvl>
    <w:lvl w:ilvl="1">
      <w:lvlJc w:val="left"/>
      <w:lvlText w:val="(%2)"/>
      <w:numFmt w:val="lowerLetter"/>
      <w:start w:val="3"/>
    </w:lvl>
  </w:abstractNum>
  <w:abstractNum w:abstractNumId="33">
    <w:nsid w:val="5C482A97"/>
    <w:multiLevelType w:val="hybridMultilevel"/>
    <w:lvl w:ilvl="0">
      <w:lvlJc w:val="left"/>
      <w:lvlText w:val="%1."/>
      <w:numFmt w:val="decimal"/>
      <w:start w:val="10"/>
    </w:lvl>
  </w:abstractNum>
  <w:abstractNum w:abstractNumId="34">
    <w:nsid w:val="2463B9EA"/>
    <w:multiLevelType w:val="hybridMultilevel"/>
    <w:lvl w:ilvl="0">
      <w:lvlJc w:val="left"/>
      <w:lvlText w:val="%1."/>
      <w:numFmt w:val="decimal"/>
      <w:start w:val="12"/>
    </w:lvl>
  </w:abstractNum>
  <w:abstractNum w:abstractNumId="35">
    <w:nsid w:val="5E884ADC"/>
    <w:multiLevelType w:val="hybridMultilevel"/>
    <w:lvl w:ilvl="0">
      <w:lvlJc w:val="left"/>
      <w:lvlText w:val="%1."/>
      <w:numFmt w:val="decimal"/>
      <w:start w:val="20"/>
    </w:lvl>
  </w:abstractNum>
  <w:abstractNum w:abstractNumId="36">
    <w:nsid w:val="51EAD36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7">
    <w:nsid w:val="2D517796"/>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38">
    <w:nsid w:val="580BD78F"/>
    <w:multiLevelType w:val="hybridMultilevel"/>
    <w:lvl w:ilvl="0">
      <w:lvlJc w:val="left"/>
      <w:lvlText w:val="(%1)"/>
      <w:numFmt w:val="lowerRoman"/>
      <w:start w:val="3"/>
    </w:lvl>
  </w:abstractNum>
  <w:abstractNum w:abstractNumId="39">
    <w:nsid w:val="153EA438"/>
    <w:multiLevelType w:val="hybridMultilevel"/>
    <w:lvl w:ilvl="0">
      <w:lvlJc w:val="left"/>
      <w:lvlText w:val="(%1)"/>
      <w:numFmt w:val="lowerLetter"/>
      <w:start w:val="3"/>
    </w:lvl>
  </w:abstractNum>
  <w:abstractNum w:abstractNumId="40">
    <w:nsid w:val="3855585C"/>
    <w:multiLevelType w:val="hybridMultilevel"/>
    <w:lvl w:ilvl="0">
      <w:lvlJc w:val="left"/>
      <w:lvlText w:val="%1."/>
      <w:numFmt w:val="decimal"/>
      <w:start w:val="22"/>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2019-12-29T15:40:46Z</dcterms:created>
  <dcterms:modified xsi:type="dcterms:W3CDTF">2019-12-29T15:40:46Z</dcterms:modified>
</cp:coreProperties>
</file>