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Velazquez Carlos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5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100"/>
              <w:spacing w:after="0"/>
              <w:rPr>
                <w:sz w:val="20"/>
                <w:szCs w:val="20"/>
                <w:color w:val="auto"/>
              </w:rPr>
            </w:pPr>
            <w:r>
              <w:rPr>
                <w:rFonts w:ascii="Arial" w:cs="Arial" w:eastAsia="Arial" w:hAnsi="Arial"/>
                <w:sz w:val="18"/>
                <w:szCs w:val="18"/>
                <w:color w:val="0000FF"/>
              </w:rPr>
              <w:t>SVP, Chief Accounting Officer</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08/10/2016</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08/10/2016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729</w:t>
            </w:r>
            <w:r>
              <w:rPr>
                <w:rFonts w:ascii="Arial" w:cs="Arial" w:eastAsia="Arial" w:hAnsi="Arial"/>
                <w:sz w:val="22"/>
                <w:szCs w:val="22"/>
                <w:color w:val="00800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45.4</w:t>
            </w:r>
            <w:r>
              <w:rPr>
                <w:rFonts w:ascii="Arial" w:cs="Arial" w:eastAsia="Arial" w:hAnsi="Arial"/>
                <w:sz w:val="22"/>
                <w:szCs w:val="22"/>
                <w:color w:val="008000"/>
                <w:w w:val="92"/>
                <w:vertAlign w:val="superscript"/>
              </w:rPr>
              <w:t>(2)</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7,094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ind w:left="800"/>
              <w:spacing w:after="0"/>
              <w:rPr>
                <w:sz w:val="20"/>
                <w:szCs w:val="20"/>
                <w:color w:val="auto"/>
              </w:rPr>
            </w:pPr>
            <w:r>
              <w:rPr>
                <w:rFonts w:ascii="Arial" w:cs="Arial" w:eastAsia="Arial" w:hAnsi="Arial"/>
                <w:sz w:val="18"/>
                <w:szCs w:val="18"/>
                <w:color w:val="0000FF"/>
              </w:rPr>
              <w:t>08/12/2016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jc w:val="right"/>
              <w:ind w:right="32"/>
              <w:spacing w:after="0"/>
              <w:rPr>
                <w:sz w:val="20"/>
                <w:szCs w:val="20"/>
                <w:color w:val="auto"/>
              </w:rPr>
            </w:pPr>
            <w:r>
              <w:rPr>
                <w:rFonts w:ascii="Arial" w:cs="Arial" w:eastAsia="Arial" w:hAnsi="Arial"/>
                <w:sz w:val="18"/>
                <w:szCs w:val="18"/>
                <w:color w:val="0000FF"/>
              </w:rPr>
              <w:t>599</w:t>
            </w:r>
          </w:p>
        </w:tc>
        <w:tc>
          <w:tcPr>
            <w:tcW w:w="720" w:type="dxa"/>
            <w:vAlign w:val="bottom"/>
          </w:tcPr>
          <w:p>
            <w:pPr>
              <w:ind w:left="380"/>
              <w:spacing w:after="0"/>
              <w:rPr>
                <w:sz w:val="20"/>
                <w:szCs w:val="20"/>
                <w:color w:val="auto"/>
              </w:rPr>
            </w:pPr>
            <w:r>
              <w:rPr>
                <w:rFonts w:ascii="Arial" w:cs="Arial" w:eastAsia="Arial" w:hAnsi="Arial"/>
                <w:sz w:val="18"/>
                <w:szCs w:val="18"/>
                <w:color w:val="0000FF"/>
              </w:rPr>
              <w:t>D</w:t>
            </w:r>
          </w:p>
        </w:tc>
        <w:tc>
          <w:tcPr>
            <w:tcW w:w="66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45.21</w:t>
            </w: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6,495</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2,231 shares of restricted stock held by the reporting person vested and settled on August 10, 2016. The issuer withheld the reported shares to cover the reporting person's tax liability associated with these shares of restricted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shown is the closing price for the issuer's common stock on the NYSE on August 10, 2016.</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Amy A. Quintana,</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08/12/2016</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 Alexander Lake and Amy A. Quintana, signing singly, the undersigned's true and lawful attorney-in-fact to:</w:t>
      </w:r>
    </w:p>
    <w:p>
      <w:pPr>
        <w:spacing w:after="0" w:line="209" w:lineRule="exact"/>
        <w:rPr>
          <w:sz w:val="20"/>
          <w:szCs w:val="20"/>
          <w:color w:val="auto"/>
        </w:rPr>
      </w:pPr>
    </w:p>
    <w:p>
      <w:pPr>
        <w:ind w:right="145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World Fuel Services Corporation (the "Company"), Forms 3, 4, and 5 in accordance with Section 16(a) of the Securities Exchange Act of 1934, as amended, and the rules thereunder, and Form 144 in accordance with Rule 144 promulgated under the Securities Act of 1933, as amended, and any other forms or reports the undersigned may be required to file</w:t>
      </w:r>
    </w:p>
    <w:p>
      <w:pPr>
        <w:spacing w:after="0" w:line="7" w:lineRule="exact"/>
        <w:rPr>
          <w:rFonts w:ascii="Courier New" w:cs="Courier New" w:eastAsia="Courier New" w:hAnsi="Courier New"/>
          <w:sz w:val="18"/>
          <w:szCs w:val="18"/>
          <w:color w:val="auto"/>
        </w:rPr>
      </w:pPr>
    </w:p>
    <w:p>
      <w:pPr>
        <w:ind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the undersigned's ownership, acquisition, or disposition of securities of the Company;</w:t>
      </w:r>
    </w:p>
    <w:p>
      <w:pPr>
        <w:spacing w:after="0" w:line="208" w:lineRule="exact"/>
        <w:rPr>
          <w:rFonts w:ascii="Courier New" w:cs="Courier New" w:eastAsia="Courier New" w:hAnsi="Courier New"/>
          <w:sz w:val="18"/>
          <w:szCs w:val="18"/>
          <w:color w:val="auto"/>
        </w:rPr>
      </w:pPr>
    </w:p>
    <w:p>
      <w:pPr>
        <w:ind w:right="15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 or Rule 144 promulgated under the Securities Act of 1933, as amended.</w:t>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5 and 144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12th day of August, 2016.</w:t>
      </w:r>
    </w:p>
    <w:p>
      <w:pPr>
        <w:spacing w:after="0" w:line="200" w:lineRule="exact"/>
        <w:rPr>
          <w:sz w:val="20"/>
          <w:szCs w:val="20"/>
          <w:color w:val="auto"/>
        </w:rPr>
      </w:pPr>
    </w:p>
    <w:p>
      <w:pPr>
        <w:spacing w:after="0" w:line="205"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 Carlos M. Velazquez</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Carlos M. Velazquez</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85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2019-12-24T03:18:55Z</dcterms:created>
  <dcterms:modified xsi:type="dcterms:W3CDTF">2019-12-24T03:18:55Z</dcterms:modified>
</cp:coreProperties>
</file>