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24,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7"/>
              </w:rPr>
              <w:t>Miami, Florida</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January 8, 2016 to shareholders of record on December 18, 2015.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40" w:type="dxa"/>
            <w:vAlign w:val="bottom"/>
          </w:tcPr>
          <w:p>
            <w:pPr>
              <w:jc w:val="right"/>
              <w:ind w:right="12"/>
              <w:spacing w:after="0"/>
              <w:rPr>
                <w:sz w:val="20"/>
                <w:szCs w:val="20"/>
                <w:color w:val="auto"/>
              </w:rPr>
            </w:pPr>
            <w:r>
              <w:rPr>
                <w:rFonts w:ascii="Arial" w:cs="Arial" w:eastAsia="Arial" w:hAnsi="Arial"/>
                <w:sz w:val="22"/>
                <w:szCs w:val="22"/>
                <w:b w:val="1"/>
                <w:bCs w:val="1"/>
                <w:color w:val="auto"/>
                <w:w w:val="89"/>
              </w:rPr>
              <w:t>Item 9.01.</w:t>
            </w:r>
          </w:p>
        </w:tc>
        <w:tc>
          <w:tcPr>
            <w:tcW w:w="10380" w:type="dxa"/>
            <w:vAlign w:val="bottom"/>
            <w:gridSpan w:val="6"/>
          </w:tcPr>
          <w:p>
            <w:pPr>
              <w:ind w:left="10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59"/>
        </w:trPr>
        <w:tc>
          <w:tcPr>
            <w:tcW w:w="1040" w:type="dxa"/>
            <w:vAlign w:val="bottom"/>
          </w:tcPr>
          <w:p>
            <w:pPr>
              <w:jc w:val="right"/>
              <w:ind w:right="12"/>
              <w:spacing w:after="0"/>
              <w:rPr>
                <w:sz w:val="20"/>
                <w:szCs w:val="20"/>
                <w:color w:val="auto"/>
              </w:rPr>
            </w:pPr>
            <w:r>
              <w:rPr>
                <w:rFonts w:ascii="Arial" w:cs="Arial" w:eastAsia="Arial" w:hAnsi="Arial"/>
                <w:sz w:val="22"/>
                <w:szCs w:val="22"/>
                <w:color w:val="auto"/>
              </w:rPr>
              <w:t>(c)</w:t>
            </w:r>
          </w:p>
        </w:tc>
        <w:tc>
          <w:tcPr>
            <w:tcW w:w="10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409"/>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90"/>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22"/>
                <w:szCs w:val="22"/>
                <w:color w:val="auto"/>
              </w:rPr>
              <w:t>99.1</w:t>
            </w:r>
          </w:p>
        </w:tc>
        <w:tc>
          <w:tcPr>
            <w:tcW w:w="180" w:type="dxa"/>
            <w:vAlign w:val="bottom"/>
          </w:tcPr>
          <w:p>
            <w:pPr>
              <w:spacing w:after="0"/>
              <w:rPr>
                <w:sz w:val="24"/>
                <w:szCs w:val="24"/>
                <w:color w:val="auto"/>
              </w:rPr>
            </w:pPr>
          </w:p>
        </w:tc>
        <w:tc>
          <w:tcPr>
            <w:tcW w:w="9080" w:type="dxa"/>
            <w:vAlign w:val="bottom"/>
            <w:gridSpan w:val="3"/>
          </w:tcPr>
          <w:p>
            <w:pPr>
              <w:ind w:left="180"/>
              <w:spacing w:after="0"/>
              <w:rPr>
                <w:sz w:val="20"/>
                <w:szCs w:val="20"/>
                <w:color w:val="auto"/>
              </w:rPr>
            </w:pPr>
            <w:r>
              <w:rPr>
                <w:rFonts w:ascii="Arial" w:cs="Arial" w:eastAsia="Arial" w:hAnsi="Arial"/>
                <w:sz w:val="22"/>
                <w:szCs w:val="22"/>
                <w:color w:val="auto"/>
              </w:rPr>
              <w:t>Press Release, dated November 24, 2015.</w:t>
            </w:r>
          </w:p>
        </w:tc>
      </w:tr>
      <w:tr>
        <w:trPr>
          <w:trHeight w:val="206"/>
        </w:trPr>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1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November 24,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24, 2015.</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MIAMI--(BUSINESS WIRE)--November 24, 2015--World Fuel Services Corporation (NYSE:INT) announced today that its board of directors has declared a quarterly cash dividend of $0.06 per share payable on January 8, 2016 to shareholders of record on December 18, 2015.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2019-12-05T23:39:36Z</dcterms:created>
  <dcterms:modified xsi:type="dcterms:W3CDTF">2019-12-05T23:39:36Z</dcterms:modified>
</cp:coreProperties>
</file>