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41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6"/>
              </w:rPr>
              <w:t>Florida</w:t>
            </w:r>
          </w:p>
        </w:tc>
        <w:tc>
          <w:tcPr>
            <w:tcW w:w="310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(State or other jurisdiction of</w:t>
            </w:r>
          </w:p>
        </w:tc>
        <w:tc>
          <w:tcPr>
            <w:tcW w:w="800" w:type="dxa"/>
            <w:vAlign w:val="bottom"/>
          </w:tcPr>
          <w:p>
            <w:pPr>
              <w:spacing w:after="0"/>
              <w:rPr>
                <w:sz w:val="19"/>
                <w:szCs w:val="19"/>
                <w:color w:val="auto"/>
              </w:rPr>
            </w:pP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incorporation)</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000" w:type="dxa"/>
            <w:vAlign w:val="bottom"/>
          </w:tcPr>
          <w:p>
            <w:pPr>
              <w:jc w:val="center"/>
              <w:ind w:left="10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000" w:type="dxa"/>
            <w:vAlign w:val="bottom"/>
          </w:tcPr>
          <w:p>
            <w:pPr>
              <w:jc w:val="center"/>
              <w:ind w:left="1110"/>
              <w:spacing w:after="0"/>
              <w:rPr>
                <w:sz w:val="20"/>
                <w:szCs w:val="20"/>
                <w:color w:val="auto"/>
              </w:rPr>
            </w:pPr>
            <w:r>
              <w:rPr>
                <w:rFonts w:ascii="Arial" w:cs="Arial" w:eastAsia="Arial" w:hAnsi="Arial"/>
                <w:sz w:val="18"/>
                <w:szCs w:val="18"/>
                <w:b w:val="1"/>
                <w:bCs w:val="1"/>
                <w:color w:val="auto"/>
                <w:w w:val="95"/>
              </w:rPr>
              <w:t>Miami, Florida</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710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439420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9"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3" w:lineRule="exact"/>
        <w:rPr>
          <w:sz w:val="20"/>
          <w:szCs w:val="20"/>
          <w:color w:val="auto"/>
        </w:rPr>
      </w:pPr>
    </w:p>
    <w:p>
      <w:pPr>
        <w:jc w:val="both"/>
        <w:ind w:firstLine="450"/>
        <w:spacing w:after="0"/>
        <w:rPr>
          <w:sz w:val="20"/>
          <w:szCs w:val="20"/>
          <w:color w:val="auto"/>
        </w:rPr>
      </w:pPr>
      <w:r>
        <w:rPr>
          <w:rFonts w:ascii="Arial" w:cs="Arial" w:eastAsia="Arial" w:hAnsi="Arial"/>
          <w:sz w:val="22"/>
          <w:szCs w:val="22"/>
          <w:color w:val="auto"/>
        </w:rPr>
        <w:t>World Fuel Services Corporation announced today that a wholly-owned subsidiary of the company has signed definitive agreements to acquire two U.S. land fuel distributors, PAPCO, Inc. and Associated Petroleum Products, Inc. A copy of the press release is attached hereto as Exhibit 99.1.</w:t>
      </w:r>
    </w:p>
    <w:p>
      <w:pPr>
        <w:spacing w:after="0" w:line="186" w:lineRule="exact"/>
        <w:rPr>
          <w:sz w:val="20"/>
          <w:szCs w:val="20"/>
          <w:color w:val="auto"/>
        </w:rPr>
      </w:pPr>
    </w:p>
    <w:p>
      <w:pPr>
        <w:jc w:val="both"/>
        <w:ind w:firstLine="343"/>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00" w:type="dxa"/>
            <w:vAlign w:val="bottom"/>
          </w:tcPr>
          <w:p>
            <w:pPr>
              <w:ind w:left="660"/>
              <w:spacing w:after="0"/>
              <w:rPr>
                <w:sz w:val="20"/>
                <w:szCs w:val="20"/>
                <w:color w:val="auto"/>
              </w:rPr>
            </w:pPr>
            <w:r>
              <w:rPr>
                <w:rFonts w:ascii="Arial" w:cs="Arial" w:eastAsia="Arial" w:hAnsi="Arial"/>
                <w:sz w:val="22"/>
                <w:szCs w:val="22"/>
                <w:color w:val="auto"/>
              </w:rPr>
              <w:t>(d)</w:t>
            </w:r>
          </w:p>
        </w:tc>
        <w:tc>
          <w:tcPr>
            <w:tcW w:w="1740" w:type="dxa"/>
            <w:vAlign w:val="bottom"/>
            <w:gridSpan w:val="3"/>
          </w:tcPr>
          <w:p>
            <w:pPr>
              <w:ind w:left="180"/>
              <w:spacing w:after="0"/>
              <w:rPr>
                <w:sz w:val="20"/>
                <w:szCs w:val="20"/>
                <w:color w:val="auto"/>
              </w:rPr>
            </w:pPr>
            <w:r>
              <w:rPr>
                <w:rFonts w:ascii="Arial" w:cs="Arial" w:eastAsia="Arial" w:hAnsi="Arial"/>
                <w:sz w:val="22"/>
                <w:szCs w:val="22"/>
                <w:color w:val="auto"/>
              </w:rPr>
              <w:t>Exhibits</w:t>
            </w:r>
          </w:p>
        </w:tc>
        <w:tc>
          <w:tcPr>
            <w:tcW w:w="1080" w:type="dxa"/>
            <w:vAlign w:val="bottom"/>
          </w:tcPr>
          <w:p>
            <w:pPr>
              <w:spacing w:after="0"/>
              <w:rPr>
                <w:sz w:val="23"/>
                <w:szCs w:val="23"/>
                <w:color w:val="auto"/>
              </w:rPr>
            </w:pPr>
          </w:p>
        </w:tc>
        <w:tc>
          <w:tcPr>
            <w:tcW w:w="7500" w:type="dxa"/>
            <w:vAlign w:val="bottom"/>
          </w:tcPr>
          <w:p>
            <w:pPr>
              <w:spacing w:after="0"/>
              <w:rPr>
                <w:sz w:val="23"/>
                <w:szCs w:val="23"/>
                <w:color w:val="auto"/>
              </w:rPr>
            </w:pPr>
          </w:p>
        </w:tc>
      </w:tr>
      <w:tr>
        <w:trPr>
          <w:trHeight w:val="409"/>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580" w:type="dxa"/>
            <w:vAlign w:val="bottom"/>
            <w:gridSpan w:val="2"/>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74"/>
        </w:trPr>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92"/>
              <w:spacing w:after="0"/>
              <w:rPr>
                <w:sz w:val="20"/>
                <w:szCs w:val="20"/>
                <w:color w:val="auto"/>
              </w:rPr>
            </w:pPr>
            <w:r>
              <w:rPr>
                <w:rFonts w:ascii="Arial" w:cs="Arial" w:eastAsia="Arial" w:hAnsi="Arial"/>
                <w:sz w:val="22"/>
                <w:szCs w:val="22"/>
                <w:color w:val="auto"/>
              </w:rPr>
              <w:t>99.1</w:t>
            </w:r>
          </w:p>
        </w:tc>
        <w:tc>
          <w:tcPr>
            <w:tcW w:w="480" w:type="dxa"/>
            <w:vAlign w:val="bottom"/>
          </w:tcPr>
          <w:p>
            <w:pPr>
              <w:spacing w:after="0"/>
              <w:rPr>
                <w:sz w:val="23"/>
                <w:szCs w:val="23"/>
                <w:color w:val="auto"/>
              </w:rPr>
            </w:pPr>
          </w:p>
        </w:tc>
        <w:tc>
          <w:tcPr>
            <w:tcW w:w="8580" w:type="dxa"/>
            <w:vAlign w:val="bottom"/>
            <w:gridSpan w:val="2"/>
          </w:tcPr>
          <w:p>
            <w:pPr>
              <w:ind w:left="40"/>
              <w:spacing w:after="0"/>
              <w:rPr>
                <w:sz w:val="20"/>
                <w:szCs w:val="20"/>
                <w:color w:val="auto"/>
              </w:rPr>
            </w:pPr>
            <w:r>
              <w:rPr>
                <w:rFonts w:ascii="Arial" w:cs="Arial" w:eastAsia="Arial" w:hAnsi="Arial"/>
                <w:sz w:val="22"/>
                <w:szCs w:val="22"/>
                <w:color w:val="auto"/>
              </w:rPr>
              <w:t>Press Release, dated June 23, 2016.</w:t>
            </w:r>
          </w:p>
        </w:tc>
      </w:tr>
      <w:tr>
        <w:trPr>
          <w:trHeight w:val="206"/>
        </w:trPr>
        <w:tc>
          <w:tcPr>
            <w:tcW w:w="11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7500" w:type="dxa"/>
            <w:vAlign w:val="bottom"/>
            <w:tcBorders>
              <w:bottom w:val="single" w:sz="8" w:color="9A9A9A"/>
            </w:tcBorders>
          </w:tcPr>
          <w:p>
            <w:pPr>
              <w:spacing w:after="0"/>
              <w:rPr>
                <w:sz w:val="17"/>
                <w:szCs w:val="17"/>
                <w:color w:val="auto"/>
              </w:rPr>
            </w:pPr>
          </w:p>
        </w:tc>
      </w:tr>
      <w:tr>
        <w:trPr>
          <w:trHeight w:val="21"/>
        </w:trPr>
        <w:tc>
          <w:tcPr>
            <w:tcW w:w="1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75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June 23, 2016</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June 23, 2016.</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World Fuel Services Corporation to Acquire PAPCO, Inc. and Associated Petroleum Products, Inc.</w:t>
      </w:r>
    </w:p>
    <w:p>
      <w:pPr>
        <w:spacing w:after="0" w:line="206"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auto"/>
        </w:rPr>
        <w:t>Will Expand Commercial and Industrial Distribution Platform in the Land Segment</w:t>
      </w:r>
    </w:p>
    <w:p>
      <w:pPr>
        <w:spacing w:after="0" w:line="212" w:lineRule="exact"/>
        <w:rPr>
          <w:sz w:val="20"/>
          <w:szCs w:val="20"/>
          <w:color w:val="auto"/>
        </w:rPr>
      </w:pPr>
    </w:p>
    <w:p>
      <w:pPr>
        <w:ind w:right="140"/>
        <w:spacing w:after="0" w:line="247" w:lineRule="auto"/>
        <w:rPr>
          <w:sz w:val="20"/>
          <w:szCs w:val="20"/>
          <w:color w:val="auto"/>
        </w:rPr>
      </w:pPr>
      <w:r>
        <w:rPr>
          <w:rFonts w:ascii="Arial" w:cs="Arial" w:eastAsia="Arial" w:hAnsi="Arial"/>
          <w:sz w:val="21"/>
          <w:szCs w:val="21"/>
          <w:color w:val="auto"/>
        </w:rPr>
        <w:t>MIAMI--(BUSINESS WIRE)--June 23, 2016--World Fuel Services Corporation (NYSE: INT), today announced that a wholly-owned subsidiary of the company has signed definitive agreements to acquire two U.S. land fuel distributors: PAPCO, Inc. (“PAPCO”), which services retail, commercial and industrial customers with fuel, price-risk management products, and fleet card solutions throughout the Mid-Atlantic region of the United States and Associated Petroleum Products, Inc. (“APP”), which provides fuel and related services to agricultural, automotive, construction, and commercial and industrial customers in the Pacific Northwest. The aggregate purchase price for both companies will be approximately $230 million and will be funded through the company’s existing credit facilities.</w:t>
      </w:r>
    </w:p>
    <w:p>
      <w:pPr>
        <w:spacing w:after="0" w:line="178"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PAPCO is headquartered in Virginia Beach, VA, with 150 employees and 2015 revenue of $1 billion and APP is headquartered in Tacoma, WA, with 275 employees and 2015 revenue of $600 million. Both are leading distributors of gasoline, diesel, lubricants, propane and related services in their respective regions.</w:t>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acquisitions of PAPCO and APP significantly expand our geographic reach and supply and distribution capabilities, while further strengthening our commercial and industrial distribution platform in the United States,” stated Michael J. Kasbar, chairman and chief executive officer of World Fuel Services Corporation. “We look forward to welcoming the PAPCO and APP teams to the World Fuel Services organization.”</w:t>
      </w:r>
    </w:p>
    <w:p>
      <w:pPr>
        <w:spacing w:after="0" w:line="185"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color w:val="auto"/>
        </w:rPr>
        <w:t>“We are pleased to have these two industry-leading companies, established management teams and enthusiastic employees, join World Fuel. This transaction expands our extensive supply relationships and product offerings as we continue to grow our diversified business,” said Michael Crosby, executive vice president, global land for World Fuel Services Corporation.</w:t>
      </w:r>
    </w:p>
    <w:p>
      <w:pPr>
        <w:spacing w:after="0" w:line="134"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Excluding the impact of one-time acquisition related expenses and amortization of acquired intangible assets of approximately $4 million and $9 million respectively, the transactions are expected to be $0.22 to $0.26 accretive to earnings on a Non-GAAP basis in the first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The transactions are subject to customary closing conditions and are expected to be completed within the next 45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Specifically, we have used non-GAAP accretion to earnings per share, which excludes one-time acquisition-related expenses and amortization of acquired intangible assets, primarily because we do not believe they are reflective of the company’s core operating results. We believe that this non-GAAP financial measure, when considered in conjunction with our financial information prepared in accordance with GAAP, is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accretion may not be comparable to the presentation of such metric by other companies. Investors are encouraged to review the reconciliation of this non-GAAP measure to its most directly comparable GAAP financial measure contained in this press release.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the effect of the acquisitions on our land segment, our geographic reach and distribution capabilities, the expansion of supply relationships and product offerings and the effect of the transaction on our earnings, as well as our expectations about the timing for closing and funding of the purchase price. These forward-looking statements are qualified in their entirety by cautionary statements and risk factor disclosures contained in the company’s Securities and Exchange Commission (“SEC”) filings, including the company’s Annual Report on Form 10-K filed with the SEC on February 16, 2016. Actual results may differ materially from any forward-looking statements due to risks and uncertainties, including, but not limited to: our ability to obtain required consents and satisfy closing conditions, our ability to effectively integrate and derive benefits from the acquisitions, our ability to capitalize on new market opportunities, potential liabilities, limited indemnities and the extent of any insurance coverage, the outcome of pending litigation and other proceedings, the impact of quarterly fluctuations in results, the creditworthiness of our customers and counterparties and our ability to collect accounts receivable, environmental and other risks associated with the storage, transportation and delivery of petroleum products, our failure to effectively hedge certain financial risks associated with the use of derivatives, non-performance by counterparties or customers on derivatives contracts, loss of, or reduced sales, to a significant government customer, uninsured losses, the failure of fuel and other products we sell to meet specifications, fluctuations in world oil prices or foreign currency, changes in political, economic, regulatory, or environmental conditions, adverse conditions in the markets or industries in which we or our customers and suppliers operate,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2019-12-05T18:30:02Z</dcterms:created>
  <dcterms:modified xsi:type="dcterms:W3CDTF">2019-12-05T18:30:02Z</dcterms:modified>
</cp:coreProperties>
</file>