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2882265</wp:posOffset>
            </wp:positionH>
            <wp:positionV relativeFrom="paragraph">
              <wp:posOffset>120650</wp:posOffset>
            </wp:positionV>
            <wp:extent cx="149161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42545"/>
                    </a:xfrm>
                    <a:prstGeom prst="rect">
                      <a:avLst/>
                    </a:prstGeom>
                    <a:noFill/>
                  </pic:spPr>
                </pic:pic>
              </a:graphicData>
            </a:graphic>
          </wp:anchor>
        </w:drawing>
      </w:r>
    </w:p>
    <w:p>
      <w:pPr>
        <w:spacing w:after="0" w:line="38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2882265</wp:posOffset>
            </wp:positionH>
            <wp:positionV relativeFrom="paragraph">
              <wp:posOffset>152400</wp:posOffset>
            </wp:positionV>
            <wp:extent cx="149161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4254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3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23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24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July 30,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2882265</wp:posOffset>
            </wp:positionH>
            <wp:positionV relativeFrom="paragraph">
              <wp:posOffset>144780</wp:posOffset>
            </wp:positionV>
            <wp:extent cx="149161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161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6"/>
          <w:szCs w:val="36"/>
          <w:b w:val="1"/>
          <w:bCs w:val="1"/>
          <w:color w:val="auto"/>
        </w:rPr>
        <w:t>WORLD FUEL SERVICES CORPORATION</w:t>
      </w:r>
    </w:p>
    <w:p>
      <w:pPr>
        <w:spacing w:after="0" w:line="51" w:lineRule="exact"/>
        <w:rPr>
          <w:sz w:val="24"/>
          <w:szCs w:val="24"/>
          <w:color w:val="auto"/>
        </w:rPr>
      </w:pPr>
    </w:p>
    <w:tbl>
      <w:tblPr>
        <w:tblLayout w:type="fixed"/>
        <w:tblInd w:w="76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p>
        </w:tc>
        <w:tc>
          <w:tcPr>
            <w:tcW w:w="410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2380" w:type="dxa"/>
            <w:vAlign w:val="bottom"/>
          </w:tcPr>
          <w:p>
            <w:pPr>
              <w:spacing w:after="0"/>
              <w:rPr>
                <w:sz w:val="20"/>
                <w:szCs w:val="20"/>
                <w:color w:val="auto"/>
              </w:rPr>
            </w:pPr>
          </w:p>
        </w:tc>
      </w:tr>
      <w:tr>
        <w:trPr>
          <w:trHeight w:val="203"/>
        </w:trPr>
        <w:tc>
          <w:tcPr>
            <w:tcW w:w="30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300" w:type="dxa"/>
            <w:vAlign w:val="bottom"/>
            <w:tcBorders>
              <w:bottom w:val="single" w:sz="8" w:color="9A9A9A"/>
            </w:tcBorders>
          </w:tcPr>
          <w:p>
            <w:pPr>
              <w:spacing w:after="0"/>
              <w:rPr>
                <w:sz w:val="17"/>
                <w:szCs w:val="17"/>
                <w:color w:val="auto"/>
              </w:rPr>
            </w:pPr>
          </w:p>
        </w:tc>
        <w:tc>
          <w:tcPr>
            <w:tcW w:w="1000" w:type="dxa"/>
            <w:vAlign w:val="bottom"/>
          </w:tcPr>
          <w:p>
            <w:pPr>
              <w:spacing w:after="0"/>
              <w:rPr>
                <w:sz w:val="17"/>
                <w:szCs w:val="17"/>
                <w:color w:val="auto"/>
              </w:rPr>
            </w:pPr>
          </w:p>
        </w:tc>
        <w:tc>
          <w:tcPr>
            <w:tcW w:w="2380" w:type="dxa"/>
            <w:vAlign w:val="bottom"/>
          </w:tcPr>
          <w:p>
            <w:pPr>
              <w:spacing w:after="0"/>
              <w:rPr>
                <w:sz w:val="17"/>
                <w:szCs w:val="17"/>
                <w:color w:val="auto"/>
              </w:rPr>
            </w:pPr>
          </w:p>
        </w:tc>
      </w:tr>
      <w:tr>
        <w:trPr>
          <w:trHeight w:val="446"/>
        </w:trPr>
        <w:tc>
          <w:tcPr>
            <w:tcW w:w="3000" w:type="dxa"/>
            <w:vAlign w:val="bottom"/>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rPr>
              <w:t>Florida</w:t>
            </w:r>
          </w:p>
        </w:tc>
        <w:tc>
          <w:tcPr>
            <w:tcW w:w="3100" w:type="dxa"/>
            <w:vAlign w:val="bottom"/>
            <w:gridSpan w:val="2"/>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rPr>
              <w:t>1-9533</w:t>
            </w:r>
          </w:p>
        </w:tc>
        <w:tc>
          <w:tcPr>
            <w:tcW w:w="1000" w:type="dxa"/>
            <w:vAlign w:val="bottom"/>
          </w:tcPr>
          <w:p>
            <w:pPr>
              <w:spacing w:after="0"/>
              <w:rPr>
                <w:sz w:val="24"/>
                <w:szCs w:val="24"/>
                <w:color w:val="auto"/>
              </w:rPr>
            </w:pPr>
          </w:p>
        </w:tc>
        <w:tc>
          <w:tcPr>
            <w:tcW w:w="2380" w:type="dxa"/>
            <w:vAlign w:val="bottom"/>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rPr>
              <w:t>59-2459427</w:t>
            </w:r>
          </w:p>
        </w:tc>
      </w:tr>
      <w:tr>
        <w:trPr>
          <w:trHeight w:val="221"/>
        </w:trPr>
        <w:tc>
          <w:tcPr>
            <w:tcW w:w="3000" w:type="dxa"/>
            <w:vAlign w:val="bottom"/>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tc>
        <w:tc>
          <w:tcPr>
            <w:tcW w:w="800" w:type="dxa"/>
            <w:vAlign w:val="bottom"/>
          </w:tcPr>
          <w:p>
            <w:pPr>
              <w:spacing w:after="0"/>
              <w:rPr>
                <w:sz w:val="19"/>
                <w:szCs w:val="19"/>
                <w:color w:val="auto"/>
              </w:rPr>
            </w:pPr>
          </w:p>
        </w:tc>
        <w:tc>
          <w:tcPr>
            <w:tcW w:w="3300" w:type="dxa"/>
            <w:vAlign w:val="bottom"/>
            <w:gridSpan w:val="2"/>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(Commission File Number)</w:t>
            </w:r>
          </w:p>
        </w:tc>
        <w:tc>
          <w:tcPr>
            <w:tcW w:w="2380" w:type="dxa"/>
            <w:vAlign w:val="bottom"/>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000" w:type="dxa"/>
            <w:vAlign w:val="bottom"/>
          </w:tcPr>
          <w:p>
            <w:pPr>
              <w:jc w:val="center"/>
              <w:ind w:right="670"/>
              <w:spacing w:after="0"/>
              <w:rPr>
                <w:sz w:val="20"/>
                <w:szCs w:val="20"/>
                <w:color w:val="auto"/>
              </w:rPr>
            </w:pPr>
            <w:r>
              <w:rPr>
                <w:rFonts w:ascii="Times New Roman" w:cs="Times New Roman" w:eastAsia="Times New Roman" w:hAnsi="Times New Roman"/>
                <w:sz w:val="18"/>
                <w:szCs w:val="18"/>
                <w:b w:val="1"/>
                <w:bCs w:val="1"/>
                <w:color w:val="auto"/>
                <w:w w:val="99"/>
              </w:rPr>
              <w:t>incorporation)</w:t>
            </w:r>
          </w:p>
        </w:tc>
        <w:tc>
          <w:tcPr>
            <w:tcW w:w="8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380" w:type="dxa"/>
            <w:vAlign w:val="bottom"/>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937"/>
        </w:trPr>
        <w:tc>
          <w:tcPr>
            <w:tcW w:w="3000" w:type="dxa"/>
            <w:vAlign w:val="bottom"/>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w w:val="96"/>
              </w:rPr>
              <w:t>9800 N.W. 41</w:t>
            </w:r>
            <w:r>
              <w:rPr>
                <w:rFonts w:ascii="Times New Roman" w:cs="Times New Roman" w:eastAsia="Times New Roman" w:hAnsi="Times New Roman"/>
                <w:sz w:val="30"/>
                <w:szCs w:val="30"/>
                <w:b w:val="1"/>
                <w:bCs w:val="1"/>
                <w:color w:val="auto"/>
                <w:w w:val="96"/>
                <w:vertAlign w:val="superscript"/>
              </w:rPr>
              <w:t>st</w:t>
            </w:r>
            <w:r>
              <w:rPr>
                <w:rFonts w:ascii="Times New Roman" w:cs="Times New Roman" w:eastAsia="Times New Roman" w:hAnsi="Times New Roman"/>
                <w:sz w:val="18"/>
                <w:szCs w:val="18"/>
                <w:b w:val="1"/>
                <w:bCs w:val="1"/>
                <w:color w:val="auto"/>
                <w:w w:val="96"/>
              </w:rPr>
              <w:t xml:space="preserve"> Street</w:t>
            </w:r>
          </w:p>
        </w:tc>
        <w:tc>
          <w:tcPr>
            <w:tcW w:w="8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238"/>
        </w:trPr>
        <w:tc>
          <w:tcPr>
            <w:tcW w:w="3000" w:type="dxa"/>
            <w:vAlign w:val="bottom"/>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w w:val="99"/>
              </w:rPr>
              <w:t>Miami, Florida</w:t>
            </w:r>
          </w:p>
        </w:tc>
        <w:tc>
          <w:tcPr>
            <w:tcW w:w="8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380" w:type="dxa"/>
            <w:vAlign w:val="bottom"/>
          </w:tcPr>
          <w:p>
            <w:pPr>
              <w:jc w:val="right"/>
              <w:ind w:right="1350"/>
              <w:spacing w:after="0"/>
              <w:rPr>
                <w:sz w:val="20"/>
                <w:szCs w:val="20"/>
                <w:color w:val="auto"/>
              </w:rPr>
            </w:pPr>
            <w:r>
              <w:rPr>
                <w:rFonts w:ascii="Times New Roman" w:cs="Times New Roman" w:eastAsia="Times New Roman" w:hAnsi="Times New Roman"/>
                <w:sz w:val="18"/>
                <w:szCs w:val="18"/>
                <w:b w:val="1"/>
                <w:bCs w:val="1"/>
                <w:color w:val="auto"/>
              </w:rPr>
              <w:t>33178</w:t>
            </w:r>
          </w:p>
        </w:tc>
      </w:tr>
      <w:tr>
        <w:trPr>
          <w:trHeight w:val="243"/>
        </w:trPr>
        <w:tc>
          <w:tcPr>
            <w:tcW w:w="7100" w:type="dxa"/>
            <w:vAlign w:val="bottom"/>
            <w:gridSpan w:val="4"/>
          </w:tcPr>
          <w:p>
            <w:pPr>
              <w:jc w:val="center"/>
              <w:ind w:right="292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2380" w:type="dxa"/>
            <w:vAlign w:val="bottom"/>
          </w:tcPr>
          <w:p>
            <w:pPr>
              <w:jc w:val="center"/>
              <w:ind w:right="89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4340225</wp:posOffset>
            </wp:positionH>
            <wp:positionV relativeFrom="paragraph">
              <wp:posOffset>-1504315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2882265</wp:posOffset>
            </wp:positionH>
            <wp:positionV relativeFrom="paragraph">
              <wp:posOffset>-1504315</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(305) 428-8000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2882265</wp:posOffset>
            </wp:positionH>
            <wp:positionV relativeFrom="paragraph">
              <wp:posOffset>144780</wp:posOffset>
            </wp:positionV>
            <wp:extent cx="149161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91615" cy="4254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21" w:lineRule="exact"/>
        <w:rPr>
          <w:sz w:val="24"/>
          <w:szCs w:val="24"/>
          <w:color w:val="auto"/>
        </w:rPr>
      </w:pPr>
    </w:p>
    <w:p>
      <w:pPr>
        <w:ind w:left="160"/>
        <w:spacing w:after="0"/>
        <w:rPr>
          <w:sz w:val="20"/>
          <w:szCs w:val="20"/>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98" w:lineRule="exact"/>
        <w:rPr>
          <w:sz w:val="24"/>
          <w:szCs w:val="24"/>
          <w:color w:val="auto"/>
        </w:rPr>
      </w:pPr>
    </w:p>
    <w:p>
      <w:pPr>
        <w:ind w:left="160"/>
        <w:spacing w:after="0"/>
        <w:rPr>
          <w:sz w:val="20"/>
          <w:szCs w:val="20"/>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85" w:lineRule="exact"/>
        <w:rPr>
          <w:sz w:val="24"/>
          <w:szCs w:val="24"/>
          <w:color w:val="auto"/>
        </w:rPr>
      </w:pPr>
    </w:p>
    <w:p>
      <w:pPr>
        <w:ind w:left="160"/>
        <w:spacing w:after="0"/>
        <w:rPr>
          <w:sz w:val="20"/>
          <w:szCs w:val="20"/>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85" w:lineRule="exact"/>
        <w:rPr>
          <w:sz w:val="24"/>
          <w:szCs w:val="24"/>
          <w:color w:val="auto"/>
        </w:rPr>
      </w:pPr>
    </w:p>
    <w:p>
      <w:pPr>
        <w:ind w:left="160"/>
        <w:spacing w:after="0"/>
        <w:rPr>
          <w:sz w:val="20"/>
          <w:szCs w:val="20"/>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309245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441960</wp:posOffset>
            </wp:positionV>
            <wp:extent cx="7272020" cy="596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943"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b w:val="1"/>
          <w:bCs w:val="1"/>
          <w:color w:val="auto"/>
        </w:rPr>
        <w:t>Item 2.02. Results of Operations and Financial Condition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7.01. Regulation FD Disclosure</w:t>
      </w:r>
    </w:p>
    <w:p>
      <w:pPr>
        <w:spacing w:after="0" w:line="219" w:lineRule="exact"/>
        <w:rPr>
          <w:sz w:val="20"/>
          <w:szCs w:val="20"/>
          <w:color w:val="auto"/>
        </w:rPr>
      </w:pPr>
    </w:p>
    <w:p>
      <w:pPr>
        <w:ind w:right="680" w:firstLine="405"/>
        <w:spacing w:after="0" w:line="282" w:lineRule="auto"/>
        <w:rPr>
          <w:sz w:val="20"/>
          <w:szCs w:val="20"/>
          <w:color w:val="auto"/>
        </w:rPr>
      </w:pPr>
      <w:r>
        <w:rPr>
          <w:rFonts w:ascii="Times New Roman" w:cs="Times New Roman" w:eastAsia="Times New Roman" w:hAnsi="Times New Roman"/>
          <w:sz w:val="18"/>
          <w:szCs w:val="18"/>
          <w:color w:val="auto"/>
        </w:rPr>
        <w:t>The following information is provided pursuant to Item 7.01 of Form 8-K, “Regulation FD Disclosure” and Item 2.02 of Form 8-K, “Results of Operations and Financial Condition.”</w:t>
      </w:r>
    </w:p>
    <w:p>
      <w:pPr>
        <w:spacing w:after="0" w:line="121" w:lineRule="exact"/>
        <w:rPr>
          <w:sz w:val="20"/>
          <w:szCs w:val="20"/>
          <w:color w:val="auto"/>
        </w:rPr>
      </w:pPr>
    </w:p>
    <w:p>
      <w:pPr>
        <w:ind w:right="200" w:firstLine="405"/>
        <w:spacing w:after="0" w:line="282" w:lineRule="auto"/>
        <w:rPr>
          <w:sz w:val="20"/>
          <w:szCs w:val="20"/>
          <w:color w:val="auto"/>
        </w:rPr>
      </w:pPr>
      <w:r>
        <w:rPr>
          <w:rFonts w:ascii="Times New Roman" w:cs="Times New Roman" w:eastAsia="Times New Roman" w:hAnsi="Times New Roman"/>
          <w:sz w:val="18"/>
          <w:szCs w:val="18"/>
          <w:color w:val="auto"/>
        </w:rPr>
        <w:t>On July 30, 2015, World Fuel Services Corporation issued a press release reporting its financial results for the second quarter ended June 30, 2015. A copy of the press release is attached hereto as Exhibit 99.1.</w:t>
      </w:r>
    </w:p>
    <w:p>
      <w:pPr>
        <w:spacing w:after="0" w:line="135"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This information and the information contained in Exhibit 99.1 shall not be deemed “filed” for purposes of Section 18 of the Securities Exchange Act of 1934, as amended (the “Exchange Act”), or incorporated by reference in any filing under the Securities Act of 1933, as amended, or the Exchange Act, except as may be expressly set forth by specific reference in any such filing.</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9.01. Financial Statements and Exhibits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w:t>
            </w: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20" w:type="dxa"/>
            <w:vAlign w:val="bottom"/>
          </w:tcPr>
          <w:p>
            <w:pPr>
              <w:spacing w:after="0"/>
              <w:rPr>
                <w:sz w:val="20"/>
                <w:szCs w:val="20"/>
                <w:color w:val="auto"/>
              </w:rPr>
            </w:pPr>
          </w:p>
        </w:tc>
      </w:tr>
      <w:tr>
        <w:trPr>
          <w:trHeight w:val="446"/>
        </w:trPr>
        <w:tc>
          <w:tcPr>
            <w:tcW w:w="116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1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r>
      <w:tr>
        <w:trPr>
          <w:trHeight w:val="264"/>
        </w:trPr>
        <w:tc>
          <w:tcPr>
            <w:tcW w:w="1160" w:type="dxa"/>
            <w:vAlign w:val="bottom"/>
          </w:tcPr>
          <w:p>
            <w:pPr>
              <w:spacing w:after="0"/>
              <w:rPr>
                <w:sz w:val="22"/>
                <w:szCs w:val="22"/>
                <w:color w:val="auto"/>
              </w:rPr>
            </w:pPr>
          </w:p>
        </w:tc>
        <w:tc>
          <w:tcPr>
            <w:tcW w:w="8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99.1</w:t>
            </w: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Press Release, dated July 30, 2015.</w:t>
            </w:r>
          </w:p>
        </w:tc>
      </w:tr>
      <w:tr>
        <w:trPr>
          <w:trHeight w:val="230"/>
        </w:trPr>
        <w:tc>
          <w:tcPr>
            <w:tcW w:w="1160" w:type="dxa"/>
            <w:vAlign w:val="bottom"/>
            <w:tcBorders>
              <w:bottom w:val="single" w:sz="8" w:color="9A9A9A"/>
            </w:tcBorders>
          </w:tcPr>
          <w:p>
            <w:pPr>
              <w:spacing w:after="0"/>
              <w:rPr>
                <w:sz w:val="19"/>
                <w:szCs w:val="19"/>
                <w:color w:val="auto"/>
              </w:rPr>
            </w:pPr>
          </w:p>
        </w:tc>
        <w:tc>
          <w:tcPr>
            <w:tcW w:w="880" w:type="dxa"/>
            <w:vAlign w:val="bottom"/>
            <w:tcBorders>
              <w:bottom w:val="single" w:sz="8" w:color="9A9A9A"/>
            </w:tcBorders>
          </w:tcPr>
          <w:p>
            <w:pPr>
              <w:spacing w:after="0"/>
              <w:rPr>
                <w:sz w:val="19"/>
                <w:szCs w:val="19"/>
                <w:color w:val="auto"/>
              </w:rPr>
            </w:pPr>
          </w:p>
        </w:tc>
        <w:tc>
          <w:tcPr>
            <w:tcW w:w="240" w:type="dxa"/>
            <w:vAlign w:val="bottom"/>
            <w:tcBorders>
              <w:bottom w:val="single" w:sz="8" w:color="9A9A9A"/>
            </w:tcBorders>
          </w:tcPr>
          <w:p>
            <w:pPr>
              <w:spacing w:after="0"/>
              <w:rPr>
                <w:sz w:val="19"/>
                <w:szCs w:val="19"/>
                <w:color w:val="auto"/>
              </w:rPr>
            </w:pPr>
          </w:p>
        </w:tc>
        <w:tc>
          <w:tcPr>
            <w:tcW w:w="240" w:type="dxa"/>
            <w:vAlign w:val="bottom"/>
            <w:tcBorders>
              <w:bottom w:val="single" w:sz="8" w:color="9A9A9A"/>
            </w:tcBorders>
          </w:tcPr>
          <w:p>
            <w:pPr>
              <w:spacing w:after="0"/>
              <w:rPr>
                <w:sz w:val="19"/>
                <w:szCs w:val="19"/>
                <w:color w:val="auto"/>
              </w:rPr>
            </w:pPr>
          </w:p>
        </w:tc>
        <w:tc>
          <w:tcPr>
            <w:tcW w:w="880" w:type="dxa"/>
            <w:vAlign w:val="bottom"/>
            <w:tcBorders>
              <w:bottom w:val="single" w:sz="8" w:color="9A9A9A"/>
            </w:tcBorders>
          </w:tcPr>
          <w:p>
            <w:pPr>
              <w:spacing w:after="0"/>
              <w:rPr>
                <w:sz w:val="19"/>
                <w:szCs w:val="19"/>
                <w:color w:val="auto"/>
              </w:rPr>
            </w:pPr>
          </w:p>
        </w:tc>
        <w:tc>
          <w:tcPr>
            <w:tcW w:w="8020" w:type="dxa"/>
            <w:vAlign w:val="bottom"/>
            <w:tcBorders>
              <w:bottom w:val="single" w:sz="8" w:color="9A9A9A"/>
            </w:tcBorders>
          </w:tcPr>
          <w:p>
            <w:pPr>
              <w:spacing w:after="0"/>
              <w:rPr>
                <w:sz w:val="19"/>
                <w:szCs w:val="19"/>
                <w:color w:val="auto"/>
              </w:rPr>
            </w:pPr>
          </w:p>
        </w:tc>
      </w:tr>
      <w:tr>
        <w:trPr>
          <w:trHeight w:val="21"/>
        </w:trPr>
        <w:tc>
          <w:tcPr>
            <w:tcW w:w="1160" w:type="dxa"/>
            <w:vAlign w:val="bottom"/>
            <w:tcBorders>
              <w:bottom w:val="single" w:sz="8" w:color="EEEEEE"/>
            </w:tcBorders>
          </w:tcPr>
          <w:p>
            <w:pPr>
              <w:spacing w:after="0" w:line="20" w:lineRule="exact"/>
              <w:rPr>
                <w:sz w:val="1"/>
                <w:szCs w:val="1"/>
                <w:color w:val="auto"/>
              </w:rPr>
            </w:pPr>
          </w:p>
        </w:tc>
        <w:tc>
          <w:tcPr>
            <w:tcW w:w="88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880" w:type="dxa"/>
            <w:vAlign w:val="bottom"/>
            <w:tcBorders>
              <w:bottom w:val="single" w:sz="8" w:color="EEEEEE"/>
            </w:tcBorders>
          </w:tcPr>
          <w:p>
            <w:pPr>
              <w:spacing w:after="0" w:line="20" w:lineRule="exact"/>
              <w:rPr>
                <w:sz w:val="1"/>
                <w:szCs w:val="1"/>
                <w:color w:val="auto"/>
              </w:rPr>
            </w:pPr>
          </w:p>
        </w:tc>
        <w:tc>
          <w:tcPr>
            <w:tcW w:w="80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2" w:name="page3"/>
    <w:bookmarkEnd w:id="2"/>
    <w:p>
      <w:pPr>
        <w:jc w:val="center"/>
        <w:ind w:right="-7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1" w:lineRule="exact"/>
        <w:rPr>
          <w:sz w:val="20"/>
          <w:szCs w:val="20"/>
          <w:color w:val="auto"/>
        </w:rPr>
      </w:pPr>
    </w:p>
    <w:p>
      <w:pPr>
        <w:spacing w:after="0"/>
        <w:tabs>
          <w:tab w:leader="none" w:pos="560" w:val="left"/>
          <w:tab w:leader="none" w:pos="5020" w:val="left"/>
        </w:tabs>
        <w:rPr>
          <w:sz w:val="20"/>
          <w:szCs w:val="20"/>
          <w:color w:val="auto"/>
        </w:rPr>
      </w:pPr>
      <w:r>
        <w:rPr>
          <w:rFonts w:ascii="Times New Roman" w:cs="Times New Roman" w:eastAsia="Times New Roman" w:hAnsi="Times New Roman"/>
          <w:sz w:val="18"/>
          <w:szCs w:val="18"/>
          <w:color w:val="auto"/>
        </w:rPr>
        <w:t>Date:</w:t>
        <w:tab/>
        <w:t>July 30, 2015</w:t>
      </w:r>
      <w:r>
        <w:rPr>
          <w:sz w:val="20"/>
          <w:szCs w:val="20"/>
          <w:color w:val="auto"/>
        </w:rPr>
        <w:tab/>
      </w:r>
      <w:r>
        <w:rPr>
          <w:rFonts w:ascii="Times New Roman" w:cs="Times New Roman" w:eastAsia="Times New Roman" w:hAnsi="Times New Roman"/>
          <w:sz w:val="17"/>
          <w:szCs w:val="17"/>
          <w:b w:val="1"/>
          <w:bCs w:val="1"/>
          <w:color w:val="auto"/>
        </w:rPr>
        <w:t>World Fuel Services Corporation</w:t>
      </w:r>
    </w:p>
    <w:p>
      <w:pPr>
        <w:spacing w:after="0" w:line="28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26035</wp:posOffset>
            </wp:positionV>
            <wp:extent cx="28987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Ira M. Birns</w:t>
      </w:r>
    </w:p>
    <w:p>
      <w:pPr>
        <w:spacing w:after="0" w:line="3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272020" cy="596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0700"/>
          </w:cols>
          <w:pgMar w:left="240" w:top="117" w:right="9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2"/>
          <w:szCs w:val="22"/>
          <w:color w:val="auto"/>
        </w:rPr>
        <w:t>EXHIBIT INDEX</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Exhibit</w:t>
            </w:r>
          </w:p>
        </w:tc>
        <w:tc>
          <w:tcPr>
            <w:tcW w:w="1160" w:type="dxa"/>
            <w:vAlign w:val="bottom"/>
          </w:tcPr>
          <w:p>
            <w:pPr>
              <w:spacing w:after="0"/>
              <w:rPr>
                <w:sz w:val="20"/>
                <w:szCs w:val="20"/>
                <w:color w:val="auto"/>
              </w:rPr>
            </w:pPr>
          </w:p>
        </w:tc>
        <w:tc>
          <w:tcPr>
            <w:tcW w:w="8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34"/>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160" w:type="dxa"/>
            <w:vAlign w:val="bottom"/>
          </w:tcPr>
          <w:p>
            <w:pPr>
              <w:spacing w:after="0"/>
              <w:rPr>
                <w:sz w:val="20"/>
                <w:szCs w:val="20"/>
                <w:color w:val="auto"/>
              </w:rPr>
            </w:pPr>
          </w:p>
        </w:tc>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Press Release, dated July 30, 2015.</w:t>
            </w:r>
          </w:p>
        </w:tc>
      </w:tr>
    </w:tbl>
    <w:p>
      <w:pPr>
        <w:sectPr>
          <w:pgSz w:w="11900" w:h="16838" w:orient="portrait"/>
          <w:cols w:equalWidth="0" w:num="1">
            <w:col w:w="11420"/>
          </w:cols>
          <w:pgMar w:left="240" w:top="112" w:right="2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World Fuel Services Corporation Reports Second Quarter Earnings</w:t>
      </w:r>
    </w:p>
    <w:p>
      <w:pPr>
        <w:spacing w:after="0" w:line="210"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22"/>
          <w:szCs w:val="22"/>
          <w:color w:val="auto"/>
        </w:rPr>
        <w:t>MIAMI--(BUSINESS WIRE)--July 30, 2015--World Fuel Services Corporation (NYSE: INT) today reported second quarter net income of $29.9 million or $0.42 diluted earnings per share compared to $48.2 million or $0.68 diluted earnings per share in the second quarter of 2014. Non-GAAP net income and diluted earnings per share for the second quarter, excluding share-based compensation and amortization of acquired intangible assets were $37.9 million and $0.53, respectively, compared to $57.9 million and $0.81 in 2014, which also excluded an executive non-renewal charge.</w:t>
      </w:r>
    </w:p>
    <w:p>
      <w:pPr>
        <w:spacing w:after="0" w:line="177"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“While we posted record volumes in all segments, seasonality in Watson Fuels and low prices coupled with reduced volatility in marine, significantly impacted profitability,” stated Michael J. Kasbar, chairman and chief executive officer of World Fuel Services Corporation. “We expect a significant rebound in our results in the second half of the year and remain optimistic about our long-term growth prospects.”</w:t>
      </w:r>
    </w:p>
    <w:p>
      <w:pPr>
        <w:spacing w:after="0" w:line="181" w:lineRule="exact"/>
        <w:rPr>
          <w:sz w:val="20"/>
          <w:szCs w:val="20"/>
          <w:color w:val="auto"/>
        </w:rPr>
      </w:pPr>
    </w:p>
    <w:p>
      <w:pPr>
        <w:jc w:val="both"/>
        <w:ind w:right="200"/>
        <w:spacing w:after="0" w:line="239" w:lineRule="auto"/>
        <w:rPr>
          <w:sz w:val="20"/>
          <w:szCs w:val="20"/>
          <w:color w:val="auto"/>
        </w:rPr>
      </w:pPr>
      <w:r>
        <w:rPr>
          <w:rFonts w:ascii="Times New Roman" w:cs="Times New Roman" w:eastAsia="Times New Roman" w:hAnsi="Times New Roman"/>
          <w:sz w:val="22"/>
          <w:szCs w:val="22"/>
          <w:color w:val="auto"/>
        </w:rPr>
        <w:t>The company’s aviation segment generated gross profit of $85.0 million, an increase of $2.1 million or 3% sequentially and $3.2 million or 4% year-over-year. The company’s marine segment generated gross profit of $41.8 million, a decrease of $12.1 million or 23% sequentially and $7.0 million or 14% year-over-year. The company’s land segment posted gross profit of $63.6 million, a decrease of $15.0 million or 19% sequentially, but an increase of $2.7 million or 4% year-over-year.</w:t>
      </w:r>
    </w:p>
    <w:p>
      <w:pPr>
        <w:spacing w:after="0" w:line="181" w:lineRule="exact"/>
        <w:rPr>
          <w:sz w:val="20"/>
          <w:szCs w:val="20"/>
          <w:color w:val="auto"/>
        </w:rPr>
      </w:pPr>
    </w:p>
    <w:p>
      <w:pPr>
        <w:ind w:right="80"/>
        <w:spacing w:after="0" w:line="238" w:lineRule="auto"/>
        <w:rPr>
          <w:sz w:val="20"/>
          <w:szCs w:val="20"/>
          <w:color w:val="auto"/>
        </w:rPr>
      </w:pPr>
      <w:r>
        <w:rPr>
          <w:rFonts w:ascii="Times New Roman" w:cs="Times New Roman" w:eastAsia="Times New Roman" w:hAnsi="Times New Roman"/>
          <w:sz w:val="22"/>
          <w:szCs w:val="22"/>
          <w:color w:val="auto"/>
        </w:rPr>
        <w:t>“Despite the decline in consolidated earnings this quarter, our balance sheet has strengthened and we generated $71 million of cash flow from operations, marking the twelfth consecutive quarter of positive cash flow, totaling nearly $800 million over that period,” said Ira M. Birns, executive vice president and chief financial officer. “Our cash balance increased to nearly $500 million this quarter, reducing our net debt-to-EBITDA to 0.8x. Our solid financial profile will serve us well as we deploy capital resources to fund organic growth initiatives and strategic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117475</wp:posOffset>
            </wp:positionV>
            <wp:extent cx="7272020" cy="596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u w:val="single" w:color="auto"/>
          <w:color w:val="auto"/>
        </w:rPr>
        <w:t>Non-GAAP Financial Measures</w:t>
      </w:r>
    </w:p>
    <w:p>
      <w:pPr>
        <w:spacing w:after="0" w:line="207"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22"/>
          <w:szCs w:val="22"/>
          <w:color w:val="auto"/>
        </w:rPr>
        <w:t>The non-GAAP financial measures exclude costs associated with share-based compensation, amortization of acquired intangible assets, deferred revenue purchase accounting adjustments, expenses related to the acquisition of Watson Petroleum Limited (now known as WFL (UK) Limited) (“Watson Petroleum”), the termination of an employment agreement and the executive non-renewal charge primarily because we do not believe they are reflective of the Company’s core operating results. We believe the exclusion of share-based compensation from operating expenses is useful given the variation in expense that can result from changes in the fair value of our common stock, the effect of which is unrelated to the operational conditions that give rise to variations in the components of our operating costs. Also, we believe the exclusion of the amortization of acquired intangible assets, the expenses related to the acquisition of Watson Petroleum, the termination of an employment agreement and the executive non-renewal charge are useful for purposes of evaluating operating performance of our core operating results and comparing them period over period. In accordance with the fair value provisions applicable to the accounting for business combinations, acquired deferred revenue is often recorded on the opening balance sheet at an amount that is lower than the historical carrying value. Although this acquisition accounting requirement has no impact on our business or cash flows, it adversely impacts our reported GAAP revenue in the reporting periods following an acquisition. We believe that the exclusion of the deferred revenue purchase accounting adjustment is useful to investors as an additional means to reflect trends of our business and provides investors with financial information that facilitates comparison of both historical and future results. We believe that these non-GAAP financial measures, when considered in conjunction with our financial information prepared in accordance with GAAP, are useful to investors to further aid in evaluating the ongoing financial performance of the Company and to provide greater transparency as supplemental information to our GAAP results.</w:t>
      </w:r>
    </w:p>
    <w:p>
      <w:pPr>
        <w:spacing w:after="0" w:line="19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color w:val="auto"/>
        </w:rPr>
        <w:t>Non-GAAP financial measures should not be considered in isolation from, or as a substitute for, financial information prepared in accordance with GAAP. In addition, our presentation of non-GAAP net income and non-GAAP diluted earnings per common share may not be comparable to the presentation of such metrics by other companies. Non-GAAP diluted earnings per common share is computed by dividing non-GAAP net income attributable to World Fuel and available to common shareholders by the sum of the weighted average number of shares of common stock, stock units, restricted stock entitled to dividends not subject to forfeiture and vested RSUs outstanding during the period and the number of additional shares of common stock that would have been outstanding if our outstanding potentially dilutive securities had been issued. Investors are encouraged to review the reconciliation of these non-GAAP measures to their most directly comparable GAAP financial measures.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Information Relating to Forward-Looking Statements</w:t>
      </w:r>
    </w:p>
    <w:p>
      <w:pPr>
        <w:spacing w:after="0" w:line="206"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1"/>
          <w:szCs w:val="21"/>
          <w:color w:val="auto"/>
        </w:rPr>
        <w:t>This release includes forward-looking statements within the meaning of the Private Securities Litigation Reform Act of 1995, including statements regarding our expectations about our performance during the second half of the year and our growth prospects, initiatives and strategy. These forward-looking statements are qualified in their entirety by cautionary statements and risk factor disclosures contained in the company’s Securities and Exchange Commission (“SEC”) filings, including the company’s Annual Report on Form 10-K filed with the SEC on February 12, 2015. Actual results may differ materially from any forward-looking statements due to risks and uncertainties, including, but not limited to: our ability to effectively integrate and derive benefits from acquired businesses, our ability to capitalize on new market opportunities, potential liabilities and the extent of any insurance coverage, the outcome of pending litigation and other proceedings, the impact of quarterly fluctuations in results, the creditworthiness of our customers and counterparties and our ability to collect accounts receivable, fluctuations in world oil prices or foreign currency, changes in political, economic, regulatory, or environmental conditions, adverse conditions in the markets or industries in which we or our customers and suppliers operate, our failure to effectively hedge certain financial risks associated with the use of derivatives, non-performance by counterparties or customers on derivatives contracts, loss of, or reduced sales, to a significant government customer, uninsured losses, the impact of natural disasters, adverse results in legal disputes, unanticipated tax liabilities, our ability to retain and attract senior management and other key employees and other risks detailed from time to time in the company’s SEC filings. New risks emerge from time to time and it is not possible for management to predict all such risk factors or to assess the impact of such risks on our business. Accordingly, we undertake no obligation to publicly update or revise any forward-looking statements, whether as a result of new information, changes in expectations,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272020" cy="596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00"/>
          </w:cols>
          <w:pgMar w:left="240" w:top="111" w:right="2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u w:val="single" w:color="auto"/>
          <w:color w:val="auto"/>
        </w:rPr>
        <w:t>About World Fuel Services Corporation</w:t>
      </w:r>
    </w:p>
    <w:p>
      <w:pPr>
        <w:spacing w:after="0" w:line="207"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Headquartered in Miami, Florida, World Fuel Services is a global fuel logistics, transaction management and payment processing company, principally engaged in the distribution of fuel and related products and services in the aviation, marine and land transportation industries. World Fuel Services sells fuel and delivers services to its clients at more than 8,000 locations in more than 200 countries and territories worldwide.</w:t>
      </w:r>
    </w:p>
    <w:p>
      <w:pPr>
        <w:spacing w:after="0" w:line="181" w:lineRule="exact"/>
        <w:rPr>
          <w:sz w:val="20"/>
          <w:szCs w:val="20"/>
          <w:color w:val="auto"/>
        </w:rPr>
      </w:pPr>
    </w:p>
    <w:p>
      <w:pPr>
        <w:ind w:right="40"/>
        <w:spacing w:after="0" w:line="235" w:lineRule="auto"/>
        <w:rPr>
          <w:sz w:val="20"/>
          <w:szCs w:val="20"/>
          <w:color w:val="auto"/>
        </w:rPr>
      </w:pPr>
      <w:r>
        <w:rPr>
          <w:rFonts w:ascii="Times New Roman" w:cs="Times New Roman" w:eastAsia="Times New Roman" w:hAnsi="Times New Roman"/>
          <w:sz w:val="22"/>
          <w:szCs w:val="22"/>
          <w:color w:val="auto"/>
        </w:rPr>
        <w:t xml:space="preserve">The company's global team of market makers provides deep domain expertise in all aspects of aviation, marine and land fuel management. Aviation customers include commercial airlines, cargo carriers, private aircraft and fixed base operators (FBOs), as well as the United States and foreign governments. World Fuel Services' marine customers include international container and tanker fleets, cruise lines and time-charter operators, as well as the United States and foreign governments. Land customers include petroleum distributors, retail petroleum operators, and industrial, commercial, residential and government accounts. The company also offers transaction management services which consist of card payment solutions and merchant processing services to customers in the aviation, marine and land transportation industries. For more information, call 305-428-8000 or visit </w:t>
      </w:r>
      <w:r>
        <w:rPr>
          <w:rFonts w:ascii="Times New Roman" w:cs="Times New Roman" w:eastAsia="Times New Roman" w:hAnsi="Times New Roman"/>
          <w:sz w:val="22"/>
          <w:szCs w:val="22"/>
          <w:u w:val="single" w:color="auto"/>
          <w:color w:val="auto"/>
        </w:rPr>
        <w:t>www.wfscorp.com</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118745</wp:posOffset>
            </wp:positionV>
            <wp:extent cx="7272020" cy="596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00"/>
          </w:cols>
          <w:pgMar w:left="240" w:top="111" w:right="25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4"/>
          <w:szCs w:val="14"/>
          <w:b w:val="1"/>
          <w:bCs w:val="1"/>
          <w:color w:val="auto"/>
        </w:rPr>
        <w:t>WORLD FUEL SERVICES CORPORATION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(UNAUDITED - IN MILLIONS)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As of</w:t>
            </w:r>
          </w:p>
        </w:tc>
        <w:tc>
          <w:tcPr>
            <w:tcW w:w="14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8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gridSpan w:val="2"/>
          </w:tcPr>
          <w:p>
            <w:pPr>
              <w:jc w:val="right"/>
              <w:ind w:right="480"/>
              <w:spacing w:after="0" w:line="160" w:lineRule="exact"/>
              <w:rPr>
                <w:sz w:val="20"/>
                <w:szCs w:val="20"/>
                <w:color w:val="auto"/>
              </w:rPr>
            </w:pPr>
            <w:r>
              <w:rPr>
                <w:rFonts w:ascii="Times New Roman" w:cs="Times New Roman" w:eastAsia="Times New Roman" w:hAnsi="Times New Roman"/>
                <w:sz w:val="14"/>
                <w:szCs w:val="14"/>
                <w:color w:val="auto"/>
              </w:rPr>
              <w:t>June 30,</w:t>
            </w:r>
          </w:p>
        </w:tc>
        <w:tc>
          <w:tcPr>
            <w:tcW w:w="500" w:type="dxa"/>
            <w:vAlign w:val="bottom"/>
          </w:tcPr>
          <w:p>
            <w:pPr>
              <w:spacing w:after="0"/>
              <w:rPr>
                <w:sz w:val="13"/>
                <w:szCs w:val="13"/>
                <w:color w:val="auto"/>
              </w:rPr>
            </w:pPr>
          </w:p>
        </w:tc>
        <w:tc>
          <w:tcPr>
            <w:tcW w:w="1400" w:type="dxa"/>
            <w:vAlign w:val="bottom"/>
          </w:tcPr>
          <w:p>
            <w:pPr>
              <w:jc w:val="right"/>
              <w:ind w:right="468"/>
              <w:spacing w:after="0" w:line="160" w:lineRule="exact"/>
              <w:rPr>
                <w:sz w:val="20"/>
                <w:szCs w:val="20"/>
                <w:color w:val="auto"/>
              </w:rPr>
            </w:pPr>
            <w:r>
              <w:rPr>
                <w:rFonts w:ascii="Times New Roman" w:cs="Times New Roman" w:eastAsia="Times New Roman" w:hAnsi="Times New Roman"/>
                <w:sz w:val="14"/>
                <w:szCs w:val="14"/>
                <w:color w:val="auto"/>
              </w:rPr>
              <w:t>December 31,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8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color w:val="auto"/>
              </w:rPr>
              <w:t>2015</w:t>
            </w:r>
          </w:p>
        </w:tc>
        <w:tc>
          <w:tcPr>
            <w:tcW w:w="14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728"/>
              <w:spacing w:after="0"/>
              <w:rPr>
                <w:sz w:val="20"/>
                <w:szCs w:val="20"/>
                <w:color w:val="auto"/>
              </w:rPr>
            </w:pPr>
            <w:r>
              <w:rPr>
                <w:rFonts w:ascii="Times New Roman" w:cs="Times New Roman" w:eastAsia="Times New Roman" w:hAnsi="Times New Roman"/>
                <w:sz w:val="14"/>
                <w:szCs w:val="14"/>
                <w:color w:val="auto"/>
              </w:rPr>
              <w:t>2014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5"/>
        </w:trPr>
        <w:tc>
          <w:tcPr>
            <w:tcW w:w="8220" w:type="dxa"/>
            <w:vAlign w:val="bottom"/>
          </w:tcPr>
          <w:p>
            <w:pPr>
              <w:spacing w:after="0"/>
              <w:rPr>
                <w:sz w:val="20"/>
                <w:szCs w:val="20"/>
                <w:color w:val="auto"/>
              </w:rPr>
            </w:pPr>
            <w:r>
              <w:rPr>
                <w:rFonts w:ascii="Times New Roman" w:cs="Times New Roman" w:eastAsia="Times New Roman" w:hAnsi="Times New Roman"/>
                <w:sz w:val="14"/>
                <w:szCs w:val="14"/>
                <w:color w:val="auto"/>
              </w:rPr>
              <w:t>Assets: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8220" w:type="dxa"/>
            <w:vAlign w:val="bottom"/>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2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489.7</w:t>
            </w:r>
          </w:p>
        </w:tc>
        <w:tc>
          <w:tcPr>
            <w:tcW w:w="5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302.3</w:t>
            </w:r>
          </w:p>
        </w:tc>
        <w:tc>
          <w:tcPr>
            <w:tcW w:w="0" w:type="dxa"/>
            <w:vAlign w:val="bottom"/>
          </w:tcPr>
          <w:p>
            <w:pPr>
              <w:spacing w:after="0"/>
              <w:rPr>
                <w:sz w:val="1"/>
                <w:szCs w:val="1"/>
                <w:color w:val="auto"/>
              </w:rPr>
            </w:pPr>
          </w:p>
        </w:tc>
      </w:tr>
      <w:tr>
        <w:trPr>
          <w:trHeight w:val="176"/>
        </w:trPr>
        <w:tc>
          <w:tcPr>
            <w:tcW w:w="82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Accounts receivable, net</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2,358.2</w:t>
            </w: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2,307.4</w:t>
            </w:r>
          </w:p>
        </w:tc>
        <w:tc>
          <w:tcPr>
            <w:tcW w:w="0" w:type="dxa"/>
            <w:vAlign w:val="bottom"/>
          </w:tcPr>
          <w:p>
            <w:pPr>
              <w:spacing w:after="0"/>
              <w:rPr>
                <w:sz w:val="1"/>
                <w:szCs w:val="1"/>
                <w:color w:val="auto"/>
              </w:rPr>
            </w:pPr>
          </w:p>
        </w:tc>
      </w:tr>
      <w:tr>
        <w:trPr>
          <w:trHeight w:val="176"/>
        </w:trPr>
        <w:tc>
          <w:tcPr>
            <w:tcW w:w="82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Inventories</w:t>
            </w:r>
          </w:p>
        </w:tc>
        <w:tc>
          <w:tcPr>
            <w:tcW w:w="26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450.8</w:t>
            </w:r>
          </w:p>
        </w:tc>
        <w:tc>
          <w:tcPr>
            <w:tcW w:w="500" w:type="dxa"/>
            <w:vAlign w:val="bottom"/>
          </w:tcPr>
          <w:p>
            <w:pPr>
              <w:spacing w:after="0"/>
              <w:rPr>
                <w:sz w:val="15"/>
                <w:szCs w:val="15"/>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437.6</w:t>
            </w:r>
          </w:p>
        </w:tc>
        <w:tc>
          <w:tcPr>
            <w:tcW w:w="0" w:type="dxa"/>
            <w:vAlign w:val="bottom"/>
          </w:tcPr>
          <w:p>
            <w:pPr>
              <w:spacing w:after="0"/>
              <w:rPr>
                <w:sz w:val="1"/>
                <w:szCs w:val="1"/>
                <w:color w:val="auto"/>
              </w:rPr>
            </w:pPr>
          </w:p>
        </w:tc>
      </w:tr>
      <w:tr>
        <w:trPr>
          <w:trHeight w:val="185"/>
        </w:trPr>
        <w:tc>
          <w:tcPr>
            <w:tcW w:w="82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6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583.8</w:t>
            </w:r>
          </w:p>
        </w:tc>
        <w:tc>
          <w:tcPr>
            <w:tcW w:w="500" w:type="dxa"/>
            <w:vAlign w:val="bottom"/>
          </w:tcPr>
          <w:p>
            <w:pPr>
              <w:spacing w:after="0"/>
              <w:rPr>
                <w:sz w:val="16"/>
                <w:szCs w:val="16"/>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627.1</w:t>
            </w:r>
          </w:p>
        </w:tc>
        <w:tc>
          <w:tcPr>
            <w:tcW w:w="0" w:type="dxa"/>
            <w:vAlign w:val="bottom"/>
          </w:tcPr>
          <w:p>
            <w:pPr>
              <w:spacing w:after="0"/>
              <w:rPr>
                <w:sz w:val="1"/>
                <w:szCs w:val="1"/>
                <w:color w:val="auto"/>
              </w:rPr>
            </w:pPr>
          </w:p>
        </w:tc>
      </w:tr>
      <w:tr>
        <w:trPr>
          <w:trHeight w:val="348"/>
        </w:trPr>
        <w:tc>
          <w:tcPr>
            <w:tcW w:w="82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Total current assets</w:t>
            </w:r>
          </w:p>
        </w:tc>
        <w:tc>
          <w:tcPr>
            <w:tcW w:w="2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3,882.5</w:t>
            </w:r>
          </w:p>
        </w:tc>
        <w:tc>
          <w:tcPr>
            <w:tcW w:w="14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3,674.4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8220" w:type="dxa"/>
            <w:vAlign w:val="bottom"/>
          </w:tcPr>
          <w:p>
            <w:pPr>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260" w:type="dxa"/>
            <w:vAlign w:val="bottom"/>
          </w:tcPr>
          <w:p>
            <w:pPr>
              <w:spacing w:after="0"/>
              <w:rPr>
                <w:sz w:val="24"/>
                <w:szCs w:val="2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212.4</w:t>
            </w:r>
          </w:p>
        </w:tc>
        <w:tc>
          <w:tcPr>
            <w:tcW w:w="500" w:type="dxa"/>
            <w:vAlign w:val="bottom"/>
          </w:tcPr>
          <w:p>
            <w:pPr>
              <w:spacing w:after="0"/>
              <w:rPr>
                <w:sz w:val="24"/>
                <w:szCs w:val="24"/>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203.4</w:t>
            </w:r>
          </w:p>
        </w:tc>
        <w:tc>
          <w:tcPr>
            <w:tcW w:w="0" w:type="dxa"/>
            <w:vAlign w:val="bottom"/>
          </w:tcPr>
          <w:p>
            <w:pPr>
              <w:spacing w:after="0"/>
              <w:rPr>
                <w:sz w:val="1"/>
                <w:szCs w:val="1"/>
                <w:color w:val="auto"/>
              </w:rPr>
            </w:pPr>
          </w:p>
        </w:tc>
      </w:tr>
      <w:tr>
        <w:trPr>
          <w:trHeight w:val="348"/>
        </w:trPr>
        <w:tc>
          <w:tcPr>
            <w:tcW w:w="8220" w:type="dxa"/>
            <w:vAlign w:val="bottom"/>
          </w:tcPr>
          <w:p>
            <w:pPr>
              <w:spacing w:after="0"/>
              <w:rPr>
                <w:sz w:val="20"/>
                <w:szCs w:val="20"/>
                <w:color w:val="auto"/>
              </w:rPr>
            </w:pPr>
            <w:r>
              <w:rPr>
                <w:rFonts w:ascii="Times New Roman" w:cs="Times New Roman" w:eastAsia="Times New Roman" w:hAnsi="Times New Roman"/>
                <w:sz w:val="14"/>
                <w:szCs w:val="14"/>
                <w:color w:val="auto"/>
              </w:rPr>
              <w:t>Goodwill, identifiable intangible and other non-current assets</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1,007.6</w:t>
            </w:r>
          </w:p>
        </w:tc>
        <w:tc>
          <w:tcPr>
            <w:tcW w:w="14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1,002.3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822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Total assets</w:t>
            </w:r>
          </w:p>
        </w:tc>
        <w:tc>
          <w:tcPr>
            <w:tcW w:w="2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5,102.5</w:t>
            </w:r>
          </w:p>
        </w:tc>
        <w:tc>
          <w:tcPr>
            <w:tcW w:w="140" w:type="dxa"/>
            <w:vAlign w:val="bottom"/>
          </w:tcPr>
          <w:p>
            <w:pPr>
              <w:spacing w:after="0"/>
              <w:rPr>
                <w:sz w:val="24"/>
                <w:szCs w:val="24"/>
                <w:color w:val="auto"/>
              </w:rPr>
            </w:pPr>
          </w:p>
        </w:tc>
        <w:tc>
          <w:tcPr>
            <w:tcW w:w="5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4,880.1</w:t>
            </w:r>
          </w:p>
        </w:tc>
        <w:tc>
          <w:tcPr>
            <w:tcW w:w="0" w:type="dxa"/>
            <w:vAlign w:val="bottom"/>
          </w:tcPr>
          <w:p>
            <w:pPr>
              <w:spacing w:after="0"/>
              <w:rPr>
                <w:sz w:val="1"/>
                <w:szCs w:val="1"/>
                <w:color w:val="auto"/>
              </w:rPr>
            </w:pPr>
          </w:p>
        </w:tc>
      </w:tr>
      <w:tr>
        <w:trPr>
          <w:trHeight w:val="20"/>
        </w:trPr>
        <w:tc>
          <w:tcPr>
            <w:tcW w:w="82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Liabilities and equity:</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82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8220" w:type="dxa"/>
            <w:vAlign w:val="bottom"/>
          </w:tcPr>
          <w:p>
            <w:pPr>
              <w:spacing w:after="0"/>
              <w:rPr>
                <w:sz w:val="20"/>
                <w:szCs w:val="20"/>
                <w:color w:val="auto"/>
              </w:rPr>
            </w:pPr>
            <w:r>
              <w:rPr>
                <w:rFonts w:ascii="Times New Roman" w:cs="Times New Roman" w:eastAsia="Times New Roman" w:hAnsi="Times New Roman"/>
                <w:sz w:val="14"/>
                <w:szCs w:val="14"/>
                <w:color w:val="auto"/>
              </w:rPr>
              <w:t>Liabilities:</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220" w:type="dxa"/>
            <w:vAlign w:val="bottom"/>
          </w:tcPr>
          <w:p>
            <w:pPr>
              <w:spacing w:after="0"/>
              <w:rPr>
                <w:sz w:val="20"/>
                <w:szCs w:val="20"/>
                <w:color w:val="auto"/>
              </w:rPr>
            </w:pPr>
            <w:r>
              <w:rPr>
                <w:rFonts w:ascii="Times New Roman" w:cs="Times New Roman" w:eastAsia="Times New Roman" w:hAnsi="Times New Roman"/>
                <w:sz w:val="14"/>
                <w:szCs w:val="14"/>
                <w:color w:val="auto"/>
              </w:rPr>
              <w:t>Current liabilities:</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2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Short-term debt</w:t>
            </w:r>
          </w:p>
        </w:tc>
        <w:tc>
          <w:tcPr>
            <w:tcW w:w="2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22.2</w:t>
            </w:r>
          </w:p>
        </w:tc>
        <w:tc>
          <w:tcPr>
            <w:tcW w:w="5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17.9</w:t>
            </w:r>
          </w:p>
        </w:tc>
        <w:tc>
          <w:tcPr>
            <w:tcW w:w="0" w:type="dxa"/>
            <w:vAlign w:val="bottom"/>
          </w:tcPr>
          <w:p>
            <w:pPr>
              <w:spacing w:after="0"/>
              <w:rPr>
                <w:sz w:val="1"/>
                <w:szCs w:val="1"/>
                <w:color w:val="auto"/>
              </w:rPr>
            </w:pPr>
          </w:p>
        </w:tc>
      </w:tr>
      <w:tr>
        <w:trPr>
          <w:trHeight w:val="176"/>
        </w:trPr>
        <w:tc>
          <w:tcPr>
            <w:tcW w:w="82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Accounts payable</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1,897.4</w:t>
            </w: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1,850.1</w:t>
            </w:r>
          </w:p>
        </w:tc>
        <w:tc>
          <w:tcPr>
            <w:tcW w:w="0" w:type="dxa"/>
            <w:vAlign w:val="bottom"/>
          </w:tcPr>
          <w:p>
            <w:pPr>
              <w:spacing w:after="0"/>
              <w:rPr>
                <w:sz w:val="1"/>
                <w:szCs w:val="1"/>
                <w:color w:val="auto"/>
              </w:rPr>
            </w:pPr>
          </w:p>
        </w:tc>
      </w:tr>
      <w:tr>
        <w:trPr>
          <w:trHeight w:val="185"/>
        </w:trPr>
        <w:tc>
          <w:tcPr>
            <w:tcW w:w="82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26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396.5</w:t>
            </w:r>
          </w:p>
        </w:tc>
        <w:tc>
          <w:tcPr>
            <w:tcW w:w="500" w:type="dxa"/>
            <w:vAlign w:val="bottom"/>
          </w:tcPr>
          <w:p>
            <w:pPr>
              <w:spacing w:after="0"/>
              <w:rPr>
                <w:sz w:val="16"/>
                <w:szCs w:val="16"/>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371.4</w:t>
            </w:r>
          </w:p>
        </w:tc>
        <w:tc>
          <w:tcPr>
            <w:tcW w:w="0" w:type="dxa"/>
            <w:vAlign w:val="bottom"/>
          </w:tcPr>
          <w:p>
            <w:pPr>
              <w:spacing w:after="0"/>
              <w:rPr>
                <w:sz w:val="1"/>
                <w:szCs w:val="1"/>
                <w:color w:val="auto"/>
              </w:rPr>
            </w:pPr>
          </w:p>
        </w:tc>
      </w:tr>
      <w:tr>
        <w:trPr>
          <w:trHeight w:val="348"/>
        </w:trPr>
        <w:tc>
          <w:tcPr>
            <w:tcW w:w="82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2,316.1</w:t>
            </w:r>
          </w:p>
        </w:tc>
        <w:tc>
          <w:tcPr>
            <w:tcW w:w="14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2,239.4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220" w:type="dxa"/>
            <w:vAlign w:val="bottom"/>
          </w:tcPr>
          <w:p>
            <w:pPr>
              <w:spacing w:after="0"/>
              <w:rPr>
                <w:sz w:val="20"/>
                <w:szCs w:val="20"/>
                <w:color w:val="auto"/>
              </w:rPr>
            </w:pPr>
            <w:r>
              <w:rPr>
                <w:rFonts w:ascii="Times New Roman" w:cs="Times New Roman" w:eastAsia="Times New Roman" w:hAnsi="Times New Roman"/>
                <w:sz w:val="14"/>
                <w:szCs w:val="14"/>
                <w:color w:val="auto"/>
              </w:rPr>
              <w:t>Long-term debt</w:t>
            </w:r>
          </w:p>
        </w:tc>
        <w:tc>
          <w:tcPr>
            <w:tcW w:w="260" w:type="dxa"/>
            <w:vAlign w:val="bottom"/>
          </w:tcPr>
          <w:p>
            <w:pPr>
              <w:spacing w:after="0"/>
              <w:rPr>
                <w:sz w:val="24"/>
                <w:szCs w:val="2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751.6</w:t>
            </w:r>
          </w:p>
        </w:tc>
        <w:tc>
          <w:tcPr>
            <w:tcW w:w="500" w:type="dxa"/>
            <w:vAlign w:val="bottom"/>
          </w:tcPr>
          <w:p>
            <w:pPr>
              <w:spacing w:after="0"/>
              <w:rPr>
                <w:sz w:val="24"/>
                <w:szCs w:val="24"/>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672.0</w:t>
            </w:r>
          </w:p>
        </w:tc>
        <w:tc>
          <w:tcPr>
            <w:tcW w:w="0" w:type="dxa"/>
            <w:vAlign w:val="bottom"/>
          </w:tcPr>
          <w:p>
            <w:pPr>
              <w:spacing w:after="0"/>
              <w:rPr>
                <w:sz w:val="1"/>
                <w:szCs w:val="1"/>
                <w:color w:val="auto"/>
              </w:rPr>
            </w:pPr>
          </w:p>
        </w:tc>
      </w:tr>
      <w:tr>
        <w:trPr>
          <w:trHeight w:val="185"/>
        </w:trPr>
        <w:tc>
          <w:tcPr>
            <w:tcW w:w="8220" w:type="dxa"/>
            <w:vAlign w:val="bottom"/>
          </w:tcPr>
          <w:p>
            <w:pPr>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26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134.7</w:t>
            </w:r>
          </w:p>
        </w:tc>
        <w:tc>
          <w:tcPr>
            <w:tcW w:w="500" w:type="dxa"/>
            <w:vAlign w:val="bottom"/>
          </w:tcPr>
          <w:p>
            <w:pPr>
              <w:spacing w:after="0"/>
              <w:rPr>
                <w:sz w:val="16"/>
                <w:szCs w:val="16"/>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103.8</w:t>
            </w:r>
          </w:p>
        </w:tc>
        <w:tc>
          <w:tcPr>
            <w:tcW w:w="0" w:type="dxa"/>
            <w:vAlign w:val="bottom"/>
          </w:tcPr>
          <w:p>
            <w:pPr>
              <w:spacing w:after="0"/>
              <w:rPr>
                <w:sz w:val="1"/>
                <w:szCs w:val="1"/>
                <w:color w:val="auto"/>
              </w:rPr>
            </w:pPr>
          </w:p>
        </w:tc>
      </w:tr>
      <w:tr>
        <w:trPr>
          <w:trHeight w:val="169"/>
        </w:trPr>
        <w:tc>
          <w:tcPr>
            <w:tcW w:w="822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Total liabilities</w:t>
            </w:r>
          </w:p>
        </w:tc>
        <w:tc>
          <w:tcPr>
            <w:tcW w:w="2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3,202.4</w:t>
            </w:r>
          </w:p>
        </w:tc>
        <w:tc>
          <w:tcPr>
            <w:tcW w:w="140" w:type="dxa"/>
            <w:vAlign w:val="bottom"/>
          </w:tcPr>
          <w:p>
            <w:pPr>
              <w:spacing w:after="0"/>
              <w:rPr>
                <w:sz w:val="14"/>
                <w:szCs w:val="14"/>
                <w:color w:val="auto"/>
              </w:rPr>
            </w:pPr>
          </w:p>
        </w:tc>
        <w:tc>
          <w:tcPr>
            <w:tcW w:w="500" w:type="dxa"/>
            <w:vAlign w:val="bottom"/>
            <w:tcBorders>
              <w:top w:val="single" w:sz="8" w:color="auto"/>
              <w:bottom w:val="single" w:sz="8" w:color="auto"/>
            </w:tcBorders>
          </w:tcPr>
          <w:p>
            <w:pPr>
              <w:spacing w:after="0"/>
              <w:rPr>
                <w:sz w:val="14"/>
                <w:szCs w:val="14"/>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3,015.2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5"/>
        </w:trPr>
        <w:tc>
          <w:tcPr>
            <w:tcW w:w="8220" w:type="dxa"/>
            <w:vAlign w:val="bottom"/>
          </w:tcPr>
          <w:p>
            <w:pPr>
              <w:spacing w:after="0"/>
              <w:rPr>
                <w:sz w:val="20"/>
                <w:szCs w:val="20"/>
                <w:color w:val="auto"/>
              </w:rPr>
            </w:pPr>
            <w:r>
              <w:rPr>
                <w:rFonts w:ascii="Times New Roman" w:cs="Times New Roman" w:eastAsia="Times New Roman" w:hAnsi="Times New Roman"/>
                <w:sz w:val="14"/>
                <w:szCs w:val="14"/>
                <w:color w:val="auto"/>
              </w:rPr>
              <w:t>Equity:</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82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World Fuel shareholders' equity</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1,890.6</w:t>
            </w: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1,855.4</w:t>
            </w:r>
          </w:p>
        </w:tc>
        <w:tc>
          <w:tcPr>
            <w:tcW w:w="0" w:type="dxa"/>
            <w:vAlign w:val="bottom"/>
          </w:tcPr>
          <w:p>
            <w:pPr>
              <w:spacing w:after="0"/>
              <w:rPr>
                <w:sz w:val="1"/>
                <w:szCs w:val="1"/>
                <w:color w:val="auto"/>
              </w:rPr>
            </w:pPr>
          </w:p>
        </w:tc>
      </w:tr>
      <w:tr>
        <w:trPr>
          <w:trHeight w:val="185"/>
        </w:trPr>
        <w:tc>
          <w:tcPr>
            <w:tcW w:w="82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Noncontrolling interest equity</w:t>
            </w:r>
          </w:p>
        </w:tc>
        <w:tc>
          <w:tcPr>
            <w:tcW w:w="26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9.5</w:t>
            </w:r>
          </w:p>
        </w:tc>
        <w:tc>
          <w:tcPr>
            <w:tcW w:w="500" w:type="dxa"/>
            <w:vAlign w:val="bottom"/>
          </w:tcPr>
          <w:p>
            <w:pPr>
              <w:spacing w:after="0"/>
              <w:rPr>
                <w:sz w:val="16"/>
                <w:szCs w:val="16"/>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9.5</w:t>
            </w:r>
          </w:p>
        </w:tc>
        <w:tc>
          <w:tcPr>
            <w:tcW w:w="0" w:type="dxa"/>
            <w:vAlign w:val="bottom"/>
          </w:tcPr>
          <w:p>
            <w:pPr>
              <w:spacing w:after="0"/>
              <w:rPr>
                <w:sz w:val="1"/>
                <w:szCs w:val="1"/>
                <w:color w:val="auto"/>
              </w:rPr>
            </w:pPr>
          </w:p>
        </w:tc>
      </w:tr>
      <w:tr>
        <w:trPr>
          <w:trHeight w:val="169"/>
        </w:trPr>
        <w:tc>
          <w:tcPr>
            <w:tcW w:w="822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Total equity</w:t>
            </w:r>
          </w:p>
        </w:tc>
        <w:tc>
          <w:tcPr>
            <w:tcW w:w="2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1,900.1</w:t>
            </w:r>
          </w:p>
        </w:tc>
        <w:tc>
          <w:tcPr>
            <w:tcW w:w="140" w:type="dxa"/>
            <w:vAlign w:val="bottom"/>
          </w:tcPr>
          <w:p>
            <w:pPr>
              <w:spacing w:after="0"/>
              <w:rPr>
                <w:sz w:val="14"/>
                <w:szCs w:val="14"/>
                <w:color w:val="auto"/>
              </w:rPr>
            </w:pPr>
          </w:p>
        </w:tc>
        <w:tc>
          <w:tcPr>
            <w:tcW w:w="500" w:type="dxa"/>
            <w:vAlign w:val="bottom"/>
            <w:tcBorders>
              <w:top w:val="single" w:sz="8" w:color="auto"/>
              <w:bottom w:val="single" w:sz="8" w:color="auto"/>
            </w:tcBorders>
          </w:tcPr>
          <w:p>
            <w:pPr>
              <w:spacing w:after="0"/>
              <w:rPr>
                <w:sz w:val="14"/>
                <w:szCs w:val="14"/>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1,864.9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5"/>
        </w:trPr>
        <w:tc>
          <w:tcPr>
            <w:tcW w:w="822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Total liabilities and equity</w:t>
            </w:r>
          </w:p>
        </w:tc>
        <w:tc>
          <w:tcPr>
            <w:tcW w:w="2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5,102.5</w:t>
            </w:r>
          </w:p>
        </w:tc>
        <w:tc>
          <w:tcPr>
            <w:tcW w:w="140" w:type="dxa"/>
            <w:vAlign w:val="bottom"/>
          </w:tcPr>
          <w:p>
            <w:pPr>
              <w:spacing w:after="0"/>
              <w:rPr>
                <w:sz w:val="24"/>
                <w:szCs w:val="24"/>
                <w:color w:val="auto"/>
              </w:rPr>
            </w:pPr>
          </w:p>
        </w:tc>
        <w:tc>
          <w:tcPr>
            <w:tcW w:w="5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4,880.1</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82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22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90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500" w:type="dxa"/>
            <w:vAlign w:val="bottom"/>
            <w:tcBorders>
              <w:bottom w:val="single" w:sz="8" w:color="EEEEEE"/>
            </w:tcBorders>
          </w:tcPr>
          <w:p>
            <w:pPr>
              <w:spacing w:after="0" w:line="20" w:lineRule="exact"/>
              <w:rPr>
                <w:sz w:val="1"/>
                <w:szCs w:val="1"/>
                <w:color w:val="auto"/>
              </w:rPr>
            </w:pPr>
          </w:p>
        </w:tc>
        <w:tc>
          <w:tcPr>
            <w:tcW w:w="1400" w:type="dxa"/>
            <w:vAlign w:val="bottom"/>
            <w:tcBorders>
              <w:bottom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304" w:right="2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4"/>
          <w:szCs w:val="14"/>
          <w:b w:val="1"/>
          <w:bCs w:val="1"/>
          <w:color w:val="auto"/>
        </w:rPr>
        <w:t>WORLD FUEL SERVICES CORPORATION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INCOME</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(UNAUDITED - IN MILLIONS, EXCEPT EARNINGS PER SHARE DATA)</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740" w:type="dxa"/>
            <w:vAlign w:val="bottom"/>
            <w:gridSpan w:val="5"/>
          </w:tcPr>
          <w:p>
            <w:pPr>
              <w:jc w:val="right"/>
              <w:ind w:right="648"/>
              <w:spacing w:after="0"/>
              <w:rPr>
                <w:sz w:val="20"/>
                <w:szCs w:val="20"/>
                <w:color w:val="auto"/>
              </w:rPr>
            </w:pPr>
            <w:r>
              <w:rPr>
                <w:rFonts w:ascii="Times New Roman" w:cs="Times New Roman" w:eastAsia="Times New Roman" w:hAnsi="Times New Roman"/>
                <w:sz w:val="14"/>
                <w:szCs w:val="14"/>
                <w:color w:val="auto"/>
              </w:rPr>
              <w:t>For the Three Months ended</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560" w:type="dxa"/>
            <w:vAlign w:val="bottom"/>
            <w:gridSpan w:val="4"/>
          </w:tcPr>
          <w:p>
            <w:pPr>
              <w:jc w:val="right"/>
              <w:ind w:right="628"/>
              <w:spacing w:after="0"/>
              <w:rPr>
                <w:sz w:val="20"/>
                <w:szCs w:val="20"/>
                <w:color w:val="auto"/>
              </w:rPr>
            </w:pPr>
            <w:r>
              <w:rPr>
                <w:rFonts w:ascii="Times New Roman" w:cs="Times New Roman" w:eastAsia="Times New Roman" w:hAnsi="Times New Roman"/>
                <w:sz w:val="14"/>
                <w:szCs w:val="14"/>
                <w:color w:val="auto"/>
              </w:rPr>
              <w:t>For the Six Months ended</w:t>
            </w:r>
          </w:p>
        </w:tc>
      </w:tr>
      <w:tr>
        <w:trPr>
          <w:trHeight w:val="185"/>
        </w:trPr>
        <w:tc>
          <w:tcPr>
            <w:tcW w:w="52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3"/>
          </w:tcPr>
          <w:p>
            <w:pPr>
              <w:jc w:val="right"/>
              <w:ind w:right="108"/>
              <w:spacing w:after="0"/>
              <w:rPr>
                <w:sz w:val="20"/>
                <w:szCs w:val="20"/>
                <w:color w:val="auto"/>
              </w:rPr>
            </w:pPr>
            <w:r>
              <w:rPr>
                <w:rFonts w:ascii="Times New Roman" w:cs="Times New Roman" w:eastAsia="Times New Roman" w:hAnsi="Times New Roman"/>
                <w:sz w:val="14"/>
                <w:szCs w:val="14"/>
                <w:color w:val="auto"/>
              </w:rPr>
              <w:t>June 30,</w:t>
            </w:r>
          </w:p>
        </w:tc>
        <w:tc>
          <w:tcPr>
            <w:tcW w:w="11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108"/>
              <w:spacing w:after="0"/>
              <w:rPr>
                <w:sz w:val="20"/>
                <w:szCs w:val="20"/>
                <w:color w:val="auto"/>
              </w:rPr>
            </w:pPr>
            <w:r>
              <w:rPr>
                <w:rFonts w:ascii="Times New Roman" w:cs="Times New Roman" w:eastAsia="Times New Roman" w:hAnsi="Times New Roman"/>
                <w:sz w:val="14"/>
                <w:szCs w:val="14"/>
                <w:color w:val="auto"/>
              </w:rPr>
              <w:t>June 30,</w:t>
            </w:r>
          </w:p>
        </w:tc>
        <w:tc>
          <w:tcPr>
            <w:tcW w:w="1040" w:type="dxa"/>
            <w:vAlign w:val="bottom"/>
            <w:tcBorders>
              <w:bottom w:val="single" w:sz="8" w:color="auto"/>
            </w:tcBorders>
          </w:tcPr>
          <w:p>
            <w:pPr>
              <w:spacing w:after="0"/>
              <w:rPr>
                <w:sz w:val="16"/>
                <w:szCs w:val="16"/>
                <w:color w:val="auto"/>
              </w:rPr>
            </w:pPr>
          </w:p>
        </w:tc>
      </w:tr>
      <w:tr>
        <w:trPr>
          <w:trHeight w:val="169"/>
        </w:trPr>
        <w:tc>
          <w:tcPr>
            <w:tcW w:w="52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color w:val="auto"/>
              </w:rPr>
              <w:t>2015</w:t>
            </w:r>
          </w:p>
        </w:tc>
        <w:tc>
          <w:tcPr>
            <w:tcW w:w="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88"/>
              <w:spacing w:after="0"/>
              <w:rPr>
                <w:sz w:val="20"/>
                <w:szCs w:val="20"/>
                <w:color w:val="auto"/>
              </w:rPr>
            </w:pPr>
            <w:r>
              <w:rPr>
                <w:rFonts w:ascii="Times New Roman" w:cs="Times New Roman" w:eastAsia="Times New Roman" w:hAnsi="Times New Roman"/>
                <w:sz w:val="14"/>
                <w:szCs w:val="14"/>
                <w:color w:val="auto"/>
              </w:rPr>
              <w:t>2014</w:t>
            </w:r>
          </w:p>
        </w:tc>
        <w:tc>
          <w:tcPr>
            <w:tcW w:w="2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color w:val="auto"/>
              </w:rPr>
              <w:t>2015</w:t>
            </w:r>
          </w:p>
        </w:tc>
        <w:tc>
          <w:tcPr>
            <w:tcW w:w="1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color w:val="auto"/>
              </w:rPr>
              <w:t>2014</w:t>
            </w:r>
          </w:p>
        </w:tc>
      </w:tr>
      <w:tr>
        <w:trPr>
          <w:trHeight w:val="511"/>
        </w:trPr>
        <w:tc>
          <w:tcPr>
            <w:tcW w:w="5200" w:type="dxa"/>
            <w:vAlign w:val="bottom"/>
          </w:tcPr>
          <w:p>
            <w:pPr>
              <w:spacing w:after="0"/>
              <w:rPr>
                <w:sz w:val="20"/>
                <w:szCs w:val="20"/>
                <w:color w:val="auto"/>
              </w:rPr>
            </w:pPr>
            <w:r>
              <w:rPr>
                <w:rFonts w:ascii="Times New Roman" w:cs="Times New Roman" w:eastAsia="Times New Roman" w:hAnsi="Times New Roman"/>
                <w:sz w:val="14"/>
                <w:szCs w:val="14"/>
                <w:color w:val="auto"/>
              </w:rPr>
              <w:t>Revenue</w:t>
            </w:r>
          </w:p>
        </w:tc>
        <w:tc>
          <w:tcPr>
            <w:tcW w:w="3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8,496.4</w:t>
            </w:r>
          </w:p>
        </w:tc>
        <w:tc>
          <w:tcPr>
            <w:tcW w:w="700" w:type="dxa"/>
            <w:vAlign w:val="bottom"/>
            <w:gridSpan w:val="3"/>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11,342.5</w:t>
            </w:r>
          </w:p>
        </w:tc>
        <w:tc>
          <w:tcPr>
            <w:tcW w:w="58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15,837.1</w:t>
            </w:r>
          </w:p>
        </w:tc>
        <w:tc>
          <w:tcPr>
            <w:tcW w:w="52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21,893.4</w:t>
            </w:r>
          </w:p>
        </w:tc>
      </w:tr>
      <w:tr>
        <w:trPr>
          <w:trHeight w:val="185"/>
        </w:trPr>
        <w:tc>
          <w:tcPr>
            <w:tcW w:w="5200" w:type="dxa"/>
            <w:vAlign w:val="bottom"/>
          </w:tcPr>
          <w:p>
            <w:pPr>
              <w:spacing w:after="0"/>
              <w:rPr>
                <w:sz w:val="20"/>
                <w:szCs w:val="20"/>
                <w:color w:val="auto"/>
              </w:rPr>
            </w:pPr>
            <w:r>
              <w:rPr>
                <w:rFonts w:ascii="Times New Roman" w:cs="Times New Roman" w:eastAsia="Times New Roman" w:hAnsi="Times New Roman"/>
                <w:sz w:val="14"/>
                <w:szCs w:val="14"/>
                <w:color w:val="auto"/>
              </w:rPr>
              <w:t>Cost of revenue</w:t>
            </w: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8,306.0</w:t>
            </w:r>
          </w:p>
        </w:tc>
        <w:tc>
          <w:tcPr>
            <w:tcW w:w="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11,151.0</w:t>
            </w:r>
          </w:p>
        </w:tc>
        <w:tc>
          <w:tcPr>
            <w:tcW w:w="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15,431.3</w:t>
            </w: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21,513.9</w:t>
            </w:r>
          </w:p>
        </w:tc>
      </w:tr>
      <w:tr>
        <w:trPr>
          <w:trHeight w:val="345"/>
        </w:trPr>
        <w:tc>
          <w:tcPr>
            <w:tcW w:w="5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Gross profit</w:t>
            </w: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190.4</w:t>
            </w:r>
          </w:p>
        </w:tc>
        <w:tc>
          <w:tcPr>
            <w:tcW w:w="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191.5</w:t>
            </w:r>
          </w:p>
        </w:tc>
        <w:tc>
          <w:tcPr>
            <w:tcW w:w="2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405.8</w:t>
            </w: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379.5</w:t>
            </w:r>
          </w:p>
        </w:tc>
      </w:tr>
      <w:tr>
        <w:trPr>
          <w:trHeight w:val="335"/>
        </w:trPr>
        <w:tc>
          <w:tcPr>
            <w:tcW w:w="5200" w:type="dxa"/>
            <w:vAlign w:val="bottom"/>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6"/>
        </w:trPr>
        <w:tc>
          <w:tcPr>
            <w:tcW w:w="5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Compensation and employee benefits</w:t>
            </w:r>
          </w:p>
        </w:tc>
        <w:tc>
          <w:tcPr>
            <w:tcW w:w="340" w:type="dxa"/>
            <w:vAlign w:val="bottom"/>
          </w:tcPr>
          <w:p>
            <w:pPr>
              <w:spacing w:after="0"/>
              <w:rPr>
                <w:sz w:val="15"/>
                <w:szCs w:val="15"/>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87.5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77.4</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176.2</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148.4</w:t>
            </w:r>
          </w:p>
        </w:tc>
      </w:tr>
      <w:tr>
        <w:trPr>
          <w:trHeight w:val="176"/>
        </w:trPr>
        <w:tc>
          <w:tcPr>
            <w:tcW w:w="5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Provision for bad debt</w:t>
            </w:r>
          </w:p>
        </w:tc>
        <w:tc>
          <w:tcPr>
            <w:tcW w:w="340" w:type="dxa"/>
            <w:vAlign w:val="bottom"/>
          </w:tcPr>
          <w:p>
            <w:pPr>
              <w:spacing w:after="0"/>
              <w:rPr>
                <w:sz w:val="15"/>
                <w:szCs w:val="15"/>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1.2</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3.6</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2.3</w:t>
            </w:r>
          </w:p>
        </w:tc>
      </w:tr>
      <w:tr>
        <w:trPr>
          <w:trHeight w:val="185"/>
        </w:trPr>
        <w:tc>
          <w:tcPr>
            <w:tcW w:w="5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59.0</w:t>
            </w:r>
          </w:p>
        </w:tc>
        <w:tc>
          <w:tcPr>
            <w:tcW w:w="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53.1</w:t>
            </w:r>
          </w:p>
        </w:tc>
        <w:tc>
          <w:tcPr>
            <w:tcW w:w="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113.0</w:t>
            </w: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104.7</w:t>
            </w:r>
          </w:p>
        </w:tc>
      </w:tr>
      <w:tr>
        <w:trPr>
          <w:trHeight w:val="345"/>
        </w:trPr>
        <w:tc>
          <w:tcPr>
            <w:tcW w:w="52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Total operating expenses</w:t>
            </w: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148.8</w:t>
            </w:r>
          </w:p>
        </w:tc>
        <w:tc>
          <w:tcPr>
            <w:tcW w:w="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131.7</w:t>
            </w:r>
          </w:p>
        </w:tc>
        <w:tc>
          <w:tcPr>
            <w:tcW w:w="2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292.8</w:t>
            </w: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255.4</w:t>
            </w:r>
          </w:p>
        </w:tc>
      </w:tr>
      <w:tr>
        <w:trPr>
          <w:trHeight w:val="335"/>
        </w:trPr>
        <w:tc>
          <w:tcPr>
            <w:tcW w:w="52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Income from operations</w:t>
            </w:r>
          </w:p>
        </w:tc>
        <w:tc>
          <w:tcPr>
            <w:tcW w:w="340" w:type="dxa"/>
            <w:vAlign w:val="bottom"/>
          </w:tcPr>
          <w:p>
            <w:pPr>
              <w:spacing w:after="0"/>
              <w:rPr>
                <w:sz w:val="24"/>
                <w:szCs w:val="24"/>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41.6</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59.8</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113.0</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124.1</w:t>
            </w:r>
          </w:p>
        </w:tc>
      </w:tr>
      <w:tr>
        <w:trPr>
          <w:trHeight w:val="185"/>
        </w:trPr>
        <w:tc>
          <w:tcPr>
            <w:tcW w:w="5200" w:type="dxa"/>
            <w:vAlign w:val="bottom"/>
          </w:tcPr>
          <w:p>
            <w:pPr>
              <w:spacing w:after="0"/>
              <w:rPr>
                <w:sz w:val="20"/>
                <w:szCs w:val="20"/>
                <w:color w:val="auto"/>
              </w:rPr>
            </w:pPr>
            <w:r>
              <w:rPr>
                <w:rFonts w:ascii="Times New Roman" w:cs="Times New Roman" w:eastAsia="Times New Roman" w:hAnsi="Times New Roman"/>
                <w:sz w:val="14"/>
                <w:szCs w:val="14"/>
                <w:color w:val="auto"/>
              </w:rPr>
              <w:t>Non-operating expenses, net</w:t>
            </w: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(3.2)</w:t>
            </w:r>
          </w:p>
        </w:tc>
        <w:tc>
          <w:tcPr>
            <w:tcW w:w="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(5.7)</w:t>
            </w:r>
          </w:p>
        </w:tc>
      </w:tr>
      <w:tr>
        <w:trPr>
          <w:trHeight w:val="335"/>
        </w:trPr>
        <w:tc>
          <w:tcPr>
            <w:tcW w:w="5200" w:type="dxa"/>
            <w:vAlign w:val="bottom"/>
          </w:tcPr>
          <w:p>
            <w:pPr>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340" w:type="dxa"/>
            <w:vAlign w:val="bottom"/>
          </w:tcPr>
          <w:p>
            <w:pPr>
              <w:spacing w:after="0"/>
              <w:rPr>
                <w:sz w:val="24"/>
                <w:szCs w:val="24"/>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33.6</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56.6</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98.0</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118.4</w:t>
            </w:r>
          </w:p>
        </w:tc>
      </w:tr>
      <w:tr>
        <w:trPr>
          <w:trHeight w:val="185"/>
        </w:trPr>
        <w:tc>
          <w:tcPr>
            <w:tcW w:w="5200" w:type="dxa"/>
            <w:vAlign w:val="bottom"/>
          </w:tcPr>
          <w:p>
            <w:pPr>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5.2</w:t>
            </w:r>
          </w:p>
        </w:tc>
        <w:tc>
          <w:tcPr>
            <w:tcW w:w="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10.2</w:t>
            </w:r>
          </w:p>
        </w:tc>
        <w:tc>
          <w:tcPr>
            <w:tcW w:w="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15.1</w:t>
            </w: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21.5</w:t>
            </w:r>
          </w:p>
        </w:tc>
      </w:tr>
      <w:tr>
        <w:trPr>
          <w:trHeight w:val="335"/>
        </w:trPr>
        <w:tc>
          <w:tcPr>
            <w:tcW w:w="5200" w:type="dxa"/>
            <w:vAlign w:val="bottom"/>
          </w:tcPr>
          <w:p>
            <w:pPr>
              <w:spacing w:after="0"/>
              <w:rPr>
                <w:sz w:val="20"/>
                <w:szCs w:val="20"/>
                <w:color w:val="auto"/>
              </w:rPr>
            </w:pPr>
            <w:r>
              <w:rPr>
                <w:rFonts w:ascii="Times New Roman" w:cs="Times New Roman" w:eastAsia="Times New Roman" w:hAnsi="Times New Roman"/>
                <w:sz w:val="14"/>
                <w:szCs w:val="14"/>
                <w:color w:val="auto"/>
              </w:rPr>
              <w:t>Net income including noncontrolling interest</w:t>
            </w:r>
          </w:p>
        </w:tc>
        <w:tc>
          <w:tcPr>
            <w:tcW w:w="340" w:type="dxa"/>
            <w:vAlign w:val="bottom"/>
          </w:tcPr>
          <w:p>
            <w:pPr>
              <w:spacing w:after="0"/>
              <w:rPr>
                <w:sz w:val="24"/>
                <w:szCs w:val="24"/>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28.4</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46.4</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82.9</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96.9</w:t>
            </w:r>
          </w:p>
        </w:tc>
      </w:tr>
      <w:tr>
        <w:trPr>
          <w:trHeight w:val="185"/>
        </w:trPr>
        <w:tc>
          <w:tcPr>
            <w:tcW w:w="5200" w:type="dxa"/>
            <w:vAlign w:val="bottom"/>
          </w:tcPr>
          <w:p>
            <w:pPr>
              <w:spacing w:after="0"/>
              <w:rPr>
                <w:sz w:val="20"/>
                <w:szCs w:val="20"/>
                <w:color w:val="auto"/>
              </w:rPr>
            </w:pPr>
            <w:r>
              <w:rPr>
                <w:rFonts w:ascii="Times New Roman" w:cs="Times New Roman" w:eastAsia="Times New Roman" w:hAnsi="Times New Roman"/>
                <w:sz w:val="14"/>
                <w:szCs w:val="14"/>
                <w:color w:val="auto"/>
              </w:rPr>
              <w:t>Net loss attributable to noncontrolling interest</w:t>
            </w: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(1.8)</w:t>
            </w:r>
          </w:p>
        </w:tc>
        <w:tc>
          <w:tcPr>
            <w:tcW w:w="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(2.1)</w:t>
            </w:r>
          </w:p>
        </w:tc>
      </w:tr>
      <w:tr>
        <w:trPr>
          <w:trHeight w:val="345"/>
        </w:trPr>
        <w:tc>
          <w:tcPr>
            <w:tcW w:w="5200" w:type="dxa"/>
            <w:vAlign w:val="bottom"/>
          </w:tcPr>
          <w:p>
            <w:pPr>
              <w:spacing w:after="0"/>
              <w:rPr>
                <w:sz w:val="20"/>
                <w:szCs w:val="20"/>
                <w:color w:val="auto"/>
              </w:rPr>
            </w:pPr>
            <w:r>
              <w:rPr>
                <w:rFonts w:ascii="Times New Roman" w:cs="Times New Roman" w:eastAsia="Times New Roman" w:hAnsi="Times New Roman"/>
                <w:sz w:val="14"/>
                <w:szCs w:val="14"/>
                <w:color w:val="auto"/>
              </w:rPr>
              <w:t>Net income attributable to World Fuel</w:t>
            </w:r>
          </w:p>
        </w:tc>
        <w:tc>
          <w:tcPr>
            <w:tcW w:w="3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29.9</w:t>
            </w:r>
          </w:p>
        </w:tc>
        <w:tc>
          <w:tcPr>
            <w:tcW w:w="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48.2</w:t>
            </w:r>
          </w:p>
        </w:tc>
        <w:tc>
          <w:tcPr>
            <w:tcW w:w="240" w:type="dxa"/>
            <w:vAlign w:val="bottom"/>
          </w:tcPr>
          <w:p>
            <w:pPr>
              <w:spacing w:after="0"/>
              <w:rPr>
                <w:sz w:val="24"/>
                <w:szCs w:val="24"/>
                <w:color w:val="auto"/>
              </w:rPr>
            </w:pPr>
          </w:p>
        </w:tc>
        <w:tc>
          <w:tcPr>
            <w:tcW w:w="3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85.5</w:t>
            </w:r>
          </w:p>
        </w:tc>
        <w:tc>
          <w:tcPr>
            <w:tcW w:w="120" w:type="dxa"/>
            <w:vAlign w:val="bottom"/>
          </w:tcPr>
          <w:p>
            <w:pPr>
              <w:spacing w:after="0"/>
              <w:rPr>
                <w:sz w:val="24"/>
                <w:szCs w:val="24"/>
                <w:color w:val="auto"/>
              </w:rPr>
            </w:pPr>
          </w:p>
        </w:tc>
        <w:tc>
          <w:tcPr>
            <w:tcW w:w="40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99.0</w:t>
            </w:r>
          </w:p>
        </w:tc>
      </w:tr>
      <w:tr>
        <w:trPr>
          <w:trHeight w:val="20"/>
        </w:trPr>
        <w:tc>
          <w:tcPr>
            <w:tcW w:w="5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332"/>
        </w:trPr>
        <w:tc>
          <w:tcPr>
            <w:tcW w:w="5200" w:type="dxa"/>
            <w:vAlign w:val="bottom"/>
          </w:tcPr>
          <w:p>
            <w:pPr>
              <w:spacing w:after="0"/>
              <w:rPr>
                <w:sz w:val="20"/>
                <w:szCs w:val="20"/>
                <w:color w:val="auto"/>
              </w:rPr>
            </w:pPr>
            <w:r>
              <w:rPr>
                <w:rFonts w:ascii="Times New Roman" w:cs="Times New Roman" w:eastAsia="Times New Roman" w:hAnsi="Times New Roman"/>
                <w:sz w:val="14"/>
                <w:szCs w:val="14"/>
                <w:color w:val="auto"/>
              </w:rPr>
              <w:t>Basic earnings per common share</w:t>
            </w:r>
          </w:p>
        </w:tc>
        <w:tc>
          <w:tcPr>
            <w:tcW w:w="3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0.42</w:t>
            </w:r>
          </w:p>
        </w:tc>
        <w:tc>
          <w:tcPr>
            <w:tcW w:w="700" w:type="dxa"/>
            <w:vAlign w:val="bottom"/>
            <w:gridSpan w:val="3"/>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0.68</w:t>
            </w:r>
          </w:p>
        </w:tc>
        <w:tc>
          <w:tcPr>
            <w:tcW w:w="58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1.21</w:t>
            </w:r>
          </w:p>
        </w:tc>
        <w:tc>
          <w:tcPr>
            <w:tcW w:w="52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1.40</w:t>
            </w:r>
          </w:p>
        </w:tc>
      </w:tr>
      <w:tr>
        <w:trPr>
          <w:trHeight w:val="20"/>
        </w:trPr>
        <w:tc>
          <w:tcPr>
            <w:tcW w:w="5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332"/>
        </w:trPr>
        <w:tc>
          <w:tcPr>
            <w:tcW w:w="5200" w:type="dxa"/>
            <w:vAlign w:val="bottom"/>
          </w:tcPr>
          <w:p>
            <w:pPr>
              <w:spacing w:after="0"/>
              <w:rPr>
                <w:sz w:val="20"/>
                <w:szCs w:val="20"/>
                <w:color w:val="auto"/>
              </w:rPr>
            </w:pPr>
            <w:r>
              <w:rPr>
                <w:rFonts w:ascii="Times New Roman" w:cs="Times New Roman" w:eastAsia="Times New Roman" w:hAnsi="Times New Roman"/>
                <w:sz w:val="14"/>
                <w:szCs w:val="14"/>
                <w:color w:val="auto"/>
              </w:rPr>
              <w:t>Basic weighted average common shares</w:t>
            </w: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70.7</w:t>
            </w:r>
          </w:p>
        </w:tc>
        <w:tc>
          <w:tcPr>
            <w:tcW w:w="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70.8</w:t>
            </w:r>
          </w:p>
        </w:tc>
        <w:tc>
          <w:tcPr>
            <w:tcW w:w="2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70.7</w:t>
            </w: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70.8</w:t>
            </w:r>
          </w:p>
        </w:tc>
      </w:tr>
      <w:tr>
        <w:trPr>
          <w:trHeight w:val="20"/>
        </w:trPr>
        <w:tc>
          <w:tcPr>
            <w:tcW w:w="5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332"/>
        </w:trPr>
        <w:tc>
          <w:tcPr>
            <w:tcW w:w="5200" w:type="dxa"/>
            <w:vAlign w:val="bottom"/>
          </w:tcPr>
          <w:p>
            <w:pPr>
              <w:spacing w:after="0"/>
              <w:rPr>
                <w:sz w:val="20"/>
                <w:szCs w:val="20"/>
                <w:color w:val="auto"/>
              </w:rPr>
            </w:pPr>
            <w:r>
              <w:rPr>
                <w:rFonts w:ascii="Times New Roman" w:cs="Times New Roman" w:eastAsia="Times New Roman" w:hAnsi="Times New Roman"/>
                <w:sz w:val="14"/>
                <w:szCs w:val="14"/>
                <w:color w:val="auto"/>
              </w:rPr>
              <w:t>Diluted earnings per common share</w:t>
            </w:r>
          </w:p>
        </w:tc>
        <w:tc>
          <w:tcPr>
            <w:tcW w:w="3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0.42</w:t>
            </w:r>
          </w:p>
        </w:tc>
        <w:tc>
          <w:tcPr>
            <w:tcW w:w="700" w:type="dxa"/>
            <w:vAlign w:val="bottom"/>
            <w:gridSpan w:val="3"/>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0.68</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1.20</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1.39</w:t>
            </w:r>
          </w:p>
        </w:tc>
      </w:tr>
      <w:tr>
        <w:trPr>
          <w:trHeight w:val="20"/>
        </w:trPr>
        <w:tc>
          <w:tcPr>
            <w:tcW w:w="5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332"/>
        </w:trPr>
        <w:tc>
          <w:tcPr>
            <w:tcW w:w="5200" w:type="dxa"/>
            <w:vAlign w:val="bottom"/>
          </w:tcPr>
          <w:p>
            <w:pPr>
              <w:spacing w:after="0"/>
              <w:rPr>
                <w:sz w:val="20"/>
                <w:szCs w:val="20"/>
                <w:color w:val="auto"/>
              </w:rPr>
            </w:pPr>
            <w:r>
              <w:rPr>
                <w:rFonts w:ascii="Times New Roman" w:cs="Times New Roman" w:eastAsia="Times New Roman" w:hAnsi="Times New Roman"/>
                <w:sz w:val="14"/>
                <w:szCs w:val="14"/>
                <w:color w:val="auto"/>
              </w:rPr>
              <w:t>Diluted weighted average common shares</w:t>
            </w: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71.2</w:t>
            </w:r>
          </w:p>
        </w:tc>
        <w:tc>
          <w:tcPr>
            <w:tcW w:w="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71.4</w:t>
            </w:r>
          </w:p>
        </w:tc>
        <w:tc>
          <w:tcPr>
            <w:tcW w:w="2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71.3</w:t>
            </w: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71.4</w:t>
            </w:r>
          </w:p>
        </w:tc>
      </w:tr>
      <w:tr>
        <w:trPr>
          <w:trHeight w:val="20"/>
        </w:trPr>
        <w:tc>
          <w:tcPr>
            <w:tcW w:w="5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91"/>
        </w:trPr>
        <w:tc>
          <w:tcPr>
            <w:tcW w:w="52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r>
      <w:tr>
        <w:trPr>
          <w:trHeight w:val="21"/>
        </w:trPr>
        <w:tc>
          <w:tcPr>
            <w:tcW w:w="520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92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480" w:type="dxa"/>
            <w:vAlign w:val="bottom"/>
            <w:tcBorders>
              <w:bottom w:val="single" w:sz="8" w:color="EEEEEE"/>
            </w:tcBorders>
          </w:tcPr>
          <w:p>
            <w:pPr>
              <w:spacing w:after="0" w:line="20" w:lineRule="exact"/>
              <w:rPr>
                <w:sz w:val="1"/>
                <w:szCs w:val="1"/>
                <w:color w:val="auto"/>
              </w:rPr>
            </w:pPr>
          </w:p>
        </w:tc>
        <w:tc>
          <w:tcPr>
            <w:tcW w:w="112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100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400" w:type="dxa"/>
            <w:vAlign w:val="bottom"/>
            <w:tcBorders>
              <w:bottom w:val="single" w:sz="8" w:color="EEEEEE"/>
            </w:tcBorders>
          </w:tcPr>
          <w:p>
            <w:pPr>
              <w:spacing w:after="0" w:line="20" w:lineRule="exact"/>
              <w:rPr>
                <w:sz w:val="1"/>
                <w:szCs w:val="1"/>
                <w:color w:val="auto"/>
              </w:rPr>
            </w:pPr>
          </w:p>
        </w:tc>
        <w:tc>
          <w:tcPr>
            <w:tcW w:w="10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304" w:right="2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4"/>
          <w:szCs w:val="14"/>
          <w:b w:val="1"/>
          <w:bCs w:val="1"/>
          <w:color w:val="auto"/>
        </w:rPr>
        <w:t>WORLD FUEL SERVICES CORPORATION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(UNAUDITED - IN MILLIONS)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100" w:type="dxa"/>
            <w:vAlign w:val="bottom"/>
            <w:gridSpan w:val="4"/>
          </w:tcPr>
          <w:p>
            <w:pPr>
              <w:jc w:val="right"/>
              <w:ind w:right="288"/>
              <w:spacing w:after="0"/>
              <w:rPr>
                <w:sz w:val="20"/>
                <w:szCs w:val="20"/>
                <w:color w:val="auto"/>
              </w:rPr>
            </w:pPr>
            <w:r>
              <w:rPr>
                <w:rFonts w:ascii="Times New Roman" w:cs="Times New Roman" w:eastAsia="Times New Roman" w:hAnsi="Times New Roman"/>
                <w:sz w:val="14"/>
                <w:szCs w:val="14"/>
                <w:color w:val="auto"/>
              </w:rPr>
              <w:t>For the Three Months ended</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80" w:type="dxa"/>
            <w:vAlign w:val="bottom"/>
            <w:gridSpan w:val="4"/>
          </w:tcPr>
          <w:p>
            <w:pPr>
              <w:ind w:left="120"/>
              <w:spacing w:after="0"/>
              <w:rPr>
                <w:sz w:val="20"/>
                <w:szCs w:val="20"/>
                <w:color w:val="auto"/>
              </w:rPr>
            </w:pPr>
            <w:r>
              <w:rPr>
                <w:rFonts w:ascii="Times New Roman" w:cs="Times New Roman" w:eastAsia="Times New Roman" w:hAnsi="Times New Roman"/>
                <w:sz w:val="14"/>
                <w:szCs w:val="14"/>
                <w:color w:val="auto"/>
              </w:rPr>
              <w:t>For the Six Months ended</w:t>
            </w:r>
          </w:p>
        </w:tc>
      </w:tr>
      <w:tr>
        <w:trPr>
          <w:trHeight w:val="185"/>
        </w:trPr>
        <w:tc>
          <w:tcPr>
            <w:tcW w:w="66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June 30,</w:t>
            </w:r>
          </w:p>
        </w:tc>
        <w:tc>
          <w:tcPr>
            <w:tcW w:w="8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ind w:left="620"/>
              <w:spacing w:after="0"/>
              <w:rPr>
                <w:sz w:val="20"/>
                <w:szCs w:val="20"/>
                <w:color w:val="auto"/>
              </w:rPr>
            </w:pPr>
            <w:r>
              <w:rPr>
                <w:rFonts w:ascii="Times New Roman" w:cs="Times New Roman" w:eastAsia="Times New Roman" w:hAnsi="Times New Roman"/>
                <w:sz w:val="14"/>
                <w:szCs w:val="14"/>
                <w:color w:val="auto"/>
              </w:rPr>
              <w:t>June 30,</w:t>
            </w:r>
          </w:p>
        </w:tc>
        <w:tc>
          <w:tcPr>
            <w:tcW w:w="780" w:type="dxa"/>
            <w:vAlign w:val="bottom"/>
            <w:tcBorders>
              <w:bottom w:val="single" w:sz="8" w:color="auto"/>
            </w:tcBorders>
          </w:tcPr>
          <w:p>
            <w:pPr>
              <w:spacing w:after="0"/>
              <w:rPr>
                <w:sz w:val="16"/>
                <w:szCs w:val="16"/>
                <w:color w:val="auto"/>
              </w:rPr>
            </w:pPr>
          </w:p>
        </w:tc>
      </w:tr>
      <w:tr>
        <w:trPr>
          <w:trHeight w:val="169"/>
        </w:trPr>
        <w:tc>
          <w:tcPr>
            <w:tcW w:w="66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color w:val="auto"/>
              </w:rPr>
              <w:t>2015</w:t>
            </w:r>
          </w:p>
        </w:tc>
        <w:tc>
          <w:tcPr>
            <w:tcW w:w="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color w:val="auto"/>
              </w:rPr>
              <w:t>2014</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2015</w:t>
            </w: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color w:val="auto"/>
              </w:rPr>
              <w:t>2014</w:t>
            </w:r>
          </w:p>
        </w:tc>
      </w:tr>
      <w:tr>
        <w:trPr>
          <w:trHeight w:val="335"/>
        </w:trPr>
        <w:tc>
          <w:tcPr>
            <w:tcW w:w="6620" w:type="dxa"/>
            <w:vAlign w:val="bottom"/>
          </w:tcPr>
          <w:p>
            <w:pPr>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85"/>
        </w:trPr>
        <w:tc>
          <w:tcPr>
            <w:tcW w:w="66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income including noncontrolling interest</w:t>
            </w:r>
          </w:p>
        </w:tc>
        <w:tc>
          <w:tcPr>
            <w:tcW w:w="2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28.4</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46.4</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82.9</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96.9</w:t>
            </w:r>
          </w:p>
        </w:tc>
      </w:tr>
      <w:tr>
        <w:trPr>
          <w:trHeight w:val="160"/>
        </w:trPr>
        <w:tc>
          <w:tcPr>
            <w:tcW w:w="6620" w:type="dxa"/>
            <w:vAlign w:val="bottom"/>
          </w:tcPr>
          <w:p>
            <w:pPr>
              <w:ind w:left="340"/>
              <w:spacing w:after="0" w:line="160" w:lineRule="exact"/>
              <w:rPr>
                <w:sz w:val="20"/>
                <w:szCs w:val="20"/>
                <w:color w:val="auto"/>
              </w:rPr>
            </w:pPr>
            <w:r>
              <w:rPr>
                <w:rFonts w:ascii="Times New Roman" w:cs="Times New Roman" w:eastAsia="Times New Roman" w:hAnsi="Times New Roman"/>
                <w:sz w:val="14"/>
                <w:szCs w:val="14"/>
                <w:color w:val="auto"/>
              </w:rPr>
              <w:t>Adjustments to reconcile net income including</w:t>
            </w:r>
          </w:p>
        </w:tc>
        <w:tc>
          <w:tcPr>
            <w:tcW w:w="2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r>
      <w:tr>
        <w:trPr>
          <w:trHeight w:val="176"/>
        </w:trPr>
        <w:tc>
          <w:tcPr>
            <w:tcW w:w="66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noncontrolling interest to net cash provided by</w:t>
            </w: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66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operating activities:</w:t>
            </w: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662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80" w:type="dxa"/>
            <w:vAlign w:val="bottom"/>
          </w:tcPr>
          <w:p>
            <w:pPr>
              <w:spacing w:after="0"/>
              <w:rPr>
                <w:sz w:val="15"/>
                <w:szCs w:val="15"/>
                <w:color w:val="auto"/>
              </w:rPr>
            </w:pPr>
          </w:p>
        </w:tc>
        <w:tc>
          <w:tcPr>
            <w:tcW w:w="8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15.1</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14.7</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28.5</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27.1</w:t>
            </w:r>
          </w:p>
        </w:tc>
      </w:tr>
      <w:tr>
        <w:trPr>
          <w:trHeight w:val="176"/>
        </w:trPr>
        <w:tc>
          <w:tcPr>
            <w:tcW w:w="662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Provision for bad debt</w:t>
            </w:r>
          </w:p>
        </w:tc>
        <w:tc>
          <w:tcPr>
            <w:tcW w:w="280" w:type="dxa"/>
            <w:vAlign w:val="bottom"/>
          </w:tcPr>
          <w:p>
            <w:pPr>
              <w:spacing w:after="0"/>
              <w:rPr>
                <w:sz w:val="15"/>
                <w:szCs w:val="15"/>
                <w:color w:val="auto"/>
              </w:rPr>
            </w:pPr>
          </w:p>
        </w:tc>
        <w:tc>
          <w:tcPr>
            <w:tcW w:w="8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1.2</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3.6</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2.3</w:t>
            </w:r>
          </w:p>
        </w:tc>
      </w:tr>
      <w:tr>
        <w:trPr>
          <w:trHeight w:val="176"/>
        </w:trPr>
        <w:tc>
          <w:tcPr>
            <w:tcW w:w="662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Share-based payment award compensation costs</w:t>
            </w:r>
          </w:p>
        </w:tc>
        <w:tc>
          <w:tcPr>
            <w:tcW w:w="280" w:type="dxa"/>
            <w:vAlign w:val="bottom"/>
          </w:tcPr>
          <w:p>
            <w:pPr>
              <w:spacing w:after="0"/>
              <w:rPr>
                <w:sz w:val="15"/>
                <w:szCs w:val="15"/>
                <w:color w:val="auto"/>
              </w:rPr>
            </w:pPr>
          </w:p>
        </w:tc>
        <w:tc>
          <w:tcPr>
            <w:tcW w:w="8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4.2</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3.7</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8.4</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7.7</w:t>
            </w:r>
          </w:p>
        </w:tc>
      </w:tr>
      <w:tr>
        <w:trPr>
          <w:trHeight w:val="176"/>
        </w:trPr>
        <w:tc>
          <w:tcPr>
            <w:tcW w:w="662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Other</w:t>
            </w:r>
          </w:p>
        </w:tc>
        <w:tc>
          <w:tcPr>
            <w:tcW w:w="280" w:type="dxa"/>
            <w:vAlign w:val="bottom"/>
          </w:tcPr>
          <w:p>
            <w:pPr>
              <w:spacing w:after="0"/>
              <w:rPr>
                <w:sz w:val="15"/>
                <w:szCs w:val="15"/>
                <w:color w:val="auto"/>
              </w:rPr>
            </w:pPr>
          </w:p>
        </w:tc>
        <w:tc>
          <w:tcPr>
            <w:tcW w:w="8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18.8</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(0.1)</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10.3</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4.4</w:t>
            </w:r>
          </w:p>
        </w:tc>
      </w:tr>
      <w:tr>
        <w:trPr>
          <w:trHeight w:val="176"/>
        </w:trPr>
        <w:tc>
          <w:tcPr>
            <w:tcW w:w="662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Change in cash collateral with financial counterparties</w:t>
            </w:r>
          </w:p>
        </w:tc>
        <w:tc>
          <w:tcPr>
            <w:tcW w:w="280" w:type="dxa"/>
            <w:vAlign w:val="bottom"/>
          </w:tcPr>
          <w:p>
            <w:pPr>
              <w:spacing w:after="0"/>
              <w:rPr>
                <w:sz w:val="15"/>
                <w:szCs w:val="15"/>
                <w:color w:val="auto"/>
              </w:rPr>
            </w:pPr>
          </w:p>
        </w:tc>
        <w:tc>
          <w:tcPr>
            <w:tcW w:w="8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105.6</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8.9</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149.2</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w:t>
            </w:r>
          </w:p>
        </w:tc>
      </w:tr>
      <w:tr>
        <w:trPr>
          <w:trHeight w:val="185"/>
        </w:trPr>
        <w:tc>
          <w:tcPr>
            <w:tcW w:w="662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Changes in assets and liabilities, net of acquisitions</w:t>
            </w: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(103.5)</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(64.4)</w:t>
            </w: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(105.1)</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(35.2)</w:t>
            </w:r>
          </w:p>
        </w:tc>
      </w:tr>
      <w:tr>
        <w:trPr>
          <w:trHeight w:val="169"/>
        </w:trPr>
        <w:tc>
          <w:tcPr>
            <w:tcW w:w="6620" w:type="dxa"/>
            <w:vAlign w:val="bottom"/>
          </w:tcPr>
          <w:p>
            <w:pPr>
              <w:ind w:left="760"/>
              <w:spacing w:after="0"/>
              <w:rPr>
                <w:sz w:val="20"/>
                <w:szCs w:val="20"/>
                <w:color w:val="auto"/>
              </w:rPr>
            </w:pPr>
            <w:r>
              <w:rPr>
                <w:rFonts w:ascii="Times New Roman" w:cs="Times New Roman" w:eastAsia="Times New Roman" w:hAnsi="Times New Roman"/>
                <w:sz w:val="14"/>
                <w:szCs w:val="14"/>
                <w:color w:val="auto"/>
              </w:rPr>
              <w:t>Total adjustments</w:t>
            </w: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42.5</w:t>
            </w:r>
          </w:p>
        </w:tc>
        <w:tc>
          <w:tcPr>
            <w:tcW w:w="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(36.0)</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94.9</w:t>
            </w: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5.1</w:t>
            </w:r>
          </w:p>
        </w:tc>
      </w:tr>
      <w:tr>
        <w:trPr>
          <w:trHeight w:val="169"/>
        </w:trPr>
        <w:tc>
          <w:tcPr>
            <w:tcW w:w="66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70.9</w:t>
            </w:r>
          </w:p>
        </w:tc>
        <w:tc>
          <w:tcPr>
            <w:tcW w:w="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10.4</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177.8</w:t>
            </w: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102.0</w:t>
            </w:r>
          </w:p>
        </w:tc>
      </w:tr>
      <w:tr>
        <w:trPr>
          <w:trHeight w:val="335"/>
        </w:trPr>
        <w:tc>
          <w:tcPr>
            <w:tcW w:w="6620" w:type="dxa"/>
            <w:vAlign w:val="bottom"/>
          </w:tcPr>
          <w:p>
            <w:pPr>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6"/>
        </w:trPr>
        <w:tc>
          <w:tcPr>
            <w:tcW w:w="66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Acquisition of businesses, net of cash acquired and other investments</w:t>
            </w:r>
          </w:p>
        </w:tc>
        <w:tc>
          <w:tcPr>
            <w:tcW w:w="280" w:type="dxa"/>
            <w:vAlign w:val="bottom"/>
          </w:tcPr>
          <w:p>
            <w:pPr>
              <w:spacing w:after="0"/>
              <w:rPr>
                <w:sz w:val="15"/>
                <w:szCs w:val="15"/>
                <w:color w:val="auto"/>
              </w:rPr>
            </w:pP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(10.2)</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(164.2)</w:t>
            </w:r>
          </w:p>
        </w:tc>
      </w:tr>
      <w:tr>
        <w:trPr>
          <w:trHeight w:val="176"/>
        </w:trPr>
        <w:tc>
          <w:tcPr>
            <w:tcW w:w="66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Capital expenditures</w:t>
            </w:r>
          </w:p>
        </w:tc>
        <w:tc>
          <w:tcPr>
            <w:tcW w:w="280" w:type="dxa"/>
            <w:vAlign w:val="bottom"/>
          </w:tcPr>
          <w:p>
            <w:pPr>
              <w:spacing w:after="0"/>
              <w:rPr>
                <w:sz w:val="15"/>
                <w:szCs w:val="15"/>
                <w:color w:val="auto"/>
              </w:rPr>
            </w:pP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(8.8)</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(11.1)</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(20.0)</w:t>
            </w:r>
          </w:p>
        </w:tc>
      </w:tr>
      <w:tr>
        <w:trPr>
          <w:trHeight w:val="176"/>
        </w:trPr>
        <w:tc>
          <w:tcPr>
            <w:tcW w:w="66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Escrow payment related to an assumed obligation of an acquired business</w:t>
            </w:r>
          </w:p>
        </w:tc>
        <w:tc>
          <w:tcPr>
            <w:tcW w:w="280" w:type="dxa"/>
            <w:vAlign w:val="bottom"/>
          </w:tcPr>
          <w:p>
            <w:pPr>
              <w:spacing w:after="0"/>
              <w:rPr>
                <w:sz w:val="15"/>
                <w:szCs w:val="15"/>
                <w:color w:val="auto"/>
              </w:rPr>
            </w:pPr>
          </w:p>
        </w:tc>
        <w:tc>
          <w:tcPr>
            <w:tcW w:w="8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(21.7)</w:t>
            </w:r>
          </w:p>
        </w:tc>
      </w:tr>
      <w:tr>
        <w:trPr>
          <w:trHeight w:val="185"/>
        </w:trPr>
        <w:tc>
          <w:tcPr>
            <w:tcW w:w="66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Other</w:t>
            </w: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(0.9)</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(0.9)</w:t>
            </w: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4.4</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(0.9)</w:t>
            </w:r>
          </w:p>
        </w:tc>
      </w:tr>
      <w:tr>
        <w:trPr>
          <w:trHeight w:val="169"/>
        </w:trPr>
        <w:tc>
          <w:tcPr>
            <w:tcW w:w="66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(12.5)</w:t>
            </w:r>
          </w:p>
        </w:tc>
        <w:tc>
          <w:tcPr>
            <w:tcW w:w="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(22.2)</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(206.8)</w:t>
            </w:r>
          </w:p>
        </w:tc>
      </w:tr>
      <w:tr>
        <w:trPr>
          <w:trHeight w:val="335"/>
        </w:trPr>
        <w:tc>
          <w:tcPr>
            <w:tcW w:w="6620" w:type="dxa"/>
            <w:vAlign w:val="bottom"/>
          </w:tcPr>
          <w:p>
            <w:pPr>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6"/>
        </w:trPr>
        <w:tc>
          <w:tcPr>
            <w:tcW w:w="66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Borrowings of debt, net</w:t>
            </w:r>
          </w:p>
        </w:tc>
        <w:tc>
          <w:tcPr>
            <w:tcW w:w="280" w:type="dxa"/>
            <w:vAlign w:val="bottom"/>
          </w:tcPr>
          <w:p>
            <w:pPr>
              <w:spacing w:after="0"/>
              <w:rPr>
                <w:sz w:val="15"/>
                <w:szCs w:val="15"/>
                <w:color w:val="auto"/>
              </w:rPr>
            </w:pPr>
          </w:p>
        </w:tc>
        <w:tc>
          <w:tcPr>
            <w:tcW w:w="8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73.8</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(35.3)</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80.5</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216.9</w:t>
            </w:r>
          </w:p>
        </w:tc>
      </w:tr>
      <w:tr>
        <w:trPr>
          <w:trHeight w:val="176"/>
        </w:trPr>
        <w:tc>
          <w:tcPr>
            <w:tcW w:w="66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Dividends paid on common stock</w:t>
            </w:r>
          </w:p>
        </w:tc>
        <w:tc>
          <w:tcPr>
            <w:tcW w:w="280" w:type="dxa"/>
            <w:vAlign w:val="bottom"/>
          </w:tcPr>
          <w:p>
            <w:pPr>
              <w:spacing w:after="0"/>
              <w:rPr>
                <w:sz w:val="15"/>
                <w:szCs w:val="15"/>
                <w:color w:val="auto"/>
              </w:rPr>
            </w:pP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(4.3)</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(2.7)</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(5.3)</w:t>
            </w:r>
          </w:p>
        </w:tc>
      </w:tr>
      <w:tr>
        <w:trPr>
          <w:trHeight w:val="185"/>
        </w:trPr>
        <w:tc>
          <w:tcPr>
            <w:tcW w:w="66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Other</w:t>
            </w: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(32.4)</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(1.1)</w:t>
            </w: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(38.9)</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(3.4)</w:t>
            </w:r>
          </w:p>
        </w:tc>
      </w:tr>
      <w:tr>
        <w:trPr>
          <w:trHeight w:val="169"/>
        </w:trPr>
        <w:tc>
          <w:tcPr>
            <w:tcW w:w="66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37.1</w:t>
            </w:r>
          </w:p>
        </w:tc>
        <w:tc>
          <w:tcPr>
            <w:tcW w:w="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(39.1)</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34.7</w:t>
            </w: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208.2</w:t>
            </w:r>
          </w:p>
        </w:tc>
      </w:tr>
      <w:tr>
        <w:trPr>
          <w:trHeight w:val="345"/>
        </w:trPr>
        <w:tc>
          <w:tcPr>
            <w:tcW w:w="6620" w:type="dxa"/>
            <w:vAlign w:val="bottom"/>
          </w:tcPr>
          <w:p>
            <w:pPr>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1.0</w:t>
            </w:r>
          </w:p>
        </w:tc>
        <w:tc>
          <w:tcPr>
            <w:tcW w:w="2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1.1</w:t>
            </w:r>
          </w:p>
        </w:tc>
      </w:tr>
      <w:tr>
        <w:trPr>
          <w:trHeight w:val="348"/>
        </w:trPr>
        <w:tc>
          <w:tcPr>
            <w:tcW w:w="6620" w:type="dxa"/>
            <w:vAlign w:val="bottom"/>
          </w:tcPr>
          <w:p>
            <w:pPr>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280" w:type="dxa"/>
            <w:vAlign w:val="bottom"/>
          </w:tcPr>
          <w:p>
            <w:pPr>
              <w:spacing w:after="0"/>
              <w:rPr>
                <w:sz w:val="24"/>
                <w:szCs w:val="24"/>
                <w:color w:val="auto"/>
              </w:rPr>
            </w:pPr>
          </w:p>
        </w:tc>
        <w:tc>
          <w:tcPr>
            <w:tcW w:w="8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98.7</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(49.9)</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187.4</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104.5</w:t>
            </w:r>
          </w:p>
        </w:tc>
      </w:tr>
      <w:tr>
        <w:trPr>
          <w:trHeight w:val="348"/>
        </w:trPr>
        <w:tc>
          <w:tcPr>
            <w:tcW w:w="6620" w:type="dxa"/>
            <w:vAlign w:val="bottom"/>
          </w:tcPr>
          <w:p>
            <w:pPr>
              <w:spacing w:after="0"/>
              <w:rPr>
                <w:sz w:val="20"/>
                <w:szCs w:val="20"/>
                <w:color w:val="auto"/>
              </w:rPr>
            </w:pPr>
            <w:r>
              <w:rPr>
                <w:rFonts w:ascii="Times New Roman" w:cs="Times New Roman" w:eastAsia="Times New Roman" w:hAnsi="Times New Roman"/>
                <w:sz w:val="14"/>
                <w:szCs w:val="14"/>
                <w:color w:val="auto"/>
              </w:rPr>
              <w:t>Cash and cash equivalents, as of beginning of period</w:t>
            </w: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391.0</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446.5</w:t>
            </w:r>
          </w:p>
        </w:tc>
        <w:tc>
          <w:tcPr>
            <w:tcW w:w="2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302.3</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292.1</w:t>
            </w:r>
          </w:p>
        </w:tc>
      </w:tr>
      <w:tr>
        <w:trPr>
          <w:trHeight w:val="345"/>
        </w:trPr>
        <w:tc>
          <w:tcPr>
            <w:tcW w:w="6620" w:type="dxa"/>
            <w:vAlign w:val="bottom"/>
          </w:tcPr>
          <w:p>
            <w:pPr>
              <w:spacing w:after="0"/>
              <w:rPr>
                <w:sz w:val="20"/>
                <w:szCs w:val="20"/>
                <w:color w:val="auto"/>
              </w:rPr>
            </w:pPr>
            <w:r>
              <w:rPr>
                <w:rFonts w:ascii="Times New Roman" w:cs="Times New Roman" w:eastAsia="Times New Roman" w:hAnsi="Times New Roman"/>
                <w:sz w:val="14"/>
                <w:szCs w:val="14"/>
                <w:color w:val="auto"/>
              </w:rPr>
              <w:t>Cash and cash equivalents, as of end of period</w:t>
            </w:r>
          </w:p>
        </w:tc>
        <w:tc>
          <w:tcPr>
            <w:tcW w:w="2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489.7</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396.6</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489.7</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396.6</w:t>
            </w:r>
          </w:p>
        </w:tc>
      </w:tr>
      <w:tr>
        <w:trPr>
          <w:trHeight w:val="20"/>
        </w:trPr>
        <w:tc>
          <w:tcPr>
            <w:tcW w:w="66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291"/>
        </w:trPr>
        <w:tc>
          <w:tcPr>
            <w:tcW w:w="66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r>
      <w:tr>
        <w:trPr>
          <w:trHeight w:val="21"/>
        </w:trPr>
        <w:tc>
          <w:tcPr>
            <w:tcW w:w="662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88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80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7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7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304" w:right="2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4"/>
          <w:szCs w:val="14"/>
          <w:b w:val="1"/>
          <w:bCs w:val="1"/>
          <w:color w:val="auto"/>
        </w:rPr>
        <w:t>WORLD FUEL SERVICES CORPORATION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RECONCILIATION OF GAAP TO NON-GAAP FINANCIAL MEASURES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(UNAUDITED - IN MILLIONS, EXCEPT EARNINGS PER SHARE DATA)</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520" w:type="dxa"/>
            <w:vAlign w:val="bottom"/>
          </w:tcPr>
          <w:p>
            <w:pPr>
              <w:spacing w:after="0"/>
              <w:rPr>
                <w:sz w:val="15"/>
                <w:szCs w:val="15"/>
                <w:color w:val="auto"/>
              </w:rPr>
            </w:pPr>
          </w:p>
        </w:tc>
        <w:tc>
          <w:tcPr>
            <w:tcW w:w="2120" w:type="dxa"/>
            <w:vAlign w:val="bottom"/>
            <w:gridSpan w:val="5"/>
          </w:tcPr>
          <w:p>
            <w:pPr>
              <w:ind w:left="400"/>
              <w:spacing w:after="0"/>
              <w:rPr>
                <w:sz w:val="20"/>
                <w:szCs w:val="20"/>
                <w:color w:val="auto"/>
              </w:rPr>
            </w:pPr>
            <w:r>
              <w:rPr>
                <w:rFonts w:ascii="Times New Roman" w:cs="Times New Roman" w:eastAsia="Times New Roman" w:hAnsi="Times New Roman"/>
                <w:sz w:val="14"/>
                <w:szCs w:val="14"/>
                <w:color w:val="auto"/>
              </w:rPr>
              <w:t>For the Three Months ended</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0" w:type="dxa"/>
            <w:vAlign w:val="bottom"/>
            <w:gridSpan w:val="5"/>
          </w:tcPr>
          <w:p>
            <w:pPr>
              <w:jc w:val="right"/>
              <w:ind w:right="400"/>
              <w:spacing w:after="0"/>
              <w:rPr>
                <w:sz w:val="20"/>
                <w:szCs w:val="20"/>
                <w:color w:val="auto"/>
              </w:rPr>
            </w:pPr>
            <w:r>
              <w:rPr>
                <w:rFonts w:ascii="Times New Roman" w:cs="Times New Roman" w:eastAsia="Times New Roman" w:hAnsi="Times New Roman"/>
                <w:sz w:val="14"/>
                <w:szCs w:val="14"/>
                <w:color w:val="auto"/>
              </w:rPr>
              <w:t>For the Six Months ended</w:t>
            </w:r>
          </w:p>
        </w:tc>
      </w:tr>
      <w:tr>
        <w:trPr>
          <w:trHeight w:val="185"/>
        </w:trPr>
        <w:tc>
          <w:tcPr>
            <w:tcW w:w="652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4"/>
                <w:szCs w:val="14"/>
                <w:color w:val="auto"/>
              </w:rPr>
              <w:t>June 30,</w:t>
            </w:r>
          </w:p>
        </w:tc>
        <w:tc>
          <w:tcPr>
            <w:tcW w:w="6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48"/>
              <w:spacing w:after="0"/>
              <w:rPr>
                <w:sz w:val="20"/>
                <w:szCs w:val="20"/>
                <w:color w:val="auto"/>
              </w:rPr>
            </w:pPr>
            <w:r>
              <w:rPr>
                <w:rFonts w:ascii="Times New Roman" w:cs="Times New Roman" w:eastAsia="Times New Roman" w:hAnsi="Times New Roman"/>
                <w:sz w:val="14"/>
                <w:szCs w:val="14"/>
                <w:color w:val="auto"/>
              </w:rPr>
              <w:t>June 30,</w:t>
            </w:r>
          </w:p>
        </w:tc>
        <w:tc>
          <w:tcPr>
            <w:tcW w:w="7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69"/>
        </w:trPr>
        <w:tc>
          <w:tcPr>
            <w:tcW w:w="6520" w:type="dxa"/>
            <w:vAlign w:val="bottom"/>
          </w:tcPr>
          <w:p>
            <w:pPr>
              <w:spacing w:after="0"/>
              <w:rPr>
                <w:sz w:val="14"/>
                <w:szCs w:val="14"/>
                <w:color w:val="auto"/>
              </w:rPr>
            </w:pPr>
          </w:p>
        </w:tc>
        <w:tc>
          <w:tcPr>
            <w:tcW w:w="7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color w:val="auto"/>
              </w:rPr>
              <w:t>2015</w:t>
            </w:r>
          </w:p>
        </w:tc>
        <w:tc>
          <w:tcPr>
            <w:tcW w:w="3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2014</w:t>
            </w:r>
          </w:p>
        </w:tc>
        <w:tc>
          <w:tcPr>
            <w:tcW w:w="3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color w:val="auto"/>
              </w:rPr>
              <w:t>2015</w:t>
            </w:r>
          </w:p>
        </w:tc>
        <w:tc>
          <w:tcPr>
            <w:tcW w:w="1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color w:val="auto"/>
              </w:rPr>
              <w:t>2014</w:t>
            </w:r>
          </w:p>
        </w:tc>
        <w:tc>
          <w:tcPr>
            <w:tcW w:w="20" w:type="dxa"/>
            <w:vAlign w:val="bottom"/>
          </w:tcPr>
          <w:p>
            <w:pPr>
              <w:spacing w:after="0"/>
              <w:rPr>
                <w:sz w:val="14"/>
                <w:szCs w:val="14"/>
                <w:color w:val="auto"/>
              </w:rPr>
            </w:pPr>
          </w:p>
        </w:tc>
      </w:tr>
      <w:tr>
        <w:trPr>
          <w:trHeight w:val="348"/>
        </w:trPr>
        <w:tc>
          <w:tcPr>
            <w:tcW w:w="6520" w:type="dxa"/>
            <w:vAlign w:val="bottom"/>
          </w:tcPr>
          <w:p>
            <w:pPr>
              <w:spacing w:after="0"/>
              <w:rPr>
                <w:sz w:val="20"/>
                <w:szCs w:val="20"/>
                <w:color w:val="auto"/>
              </w:rPr>
            </w:pPr>
            <w:r>
              <w:rPr>
                <w:rFonts w:ascii="Times New Roman" w:cs="Times New Roman" w:eastAsia="Times New Roman" w:hAnsi="Times New Roman"/>
                <w:sz w:val="14"/>
                <w:szCs w:val="14"/>
                <w:color w:val="auto"/>
              </w:rPr>
              <w:t>Non-GAAP financial measures and reconciliation:</w:t>
            </w: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0"/>
        </w:trPr>
        <w:tc>
          <w:tcPr>
            <w:tcW w:w="6520" w:type="dxa"/>
            <w:vAlign w:val="bottom"/>
          </w:tcPr>
          <w:p>
            <w:pPr>
              <w:spacing w:after="0"/>
              <w:rPr>
                <w:sz w:val="20"/>
                <w:szCs w:val="20"/>
                <w:color w:val="auto"/>
              </w:rPr>
            </w:pPr>
            <w:r>
              <w:rPr>
                <w:rFonts w:ascii="Times New Roman" w:cs="Times New Roman" w:eastAsia="Times New Roman" w:hAnsi="Times New Roman"/>
                <w:sz w:val="14"/>
                <w:szCs w:val="14"/>
                <w:color w:val="auto"/>
              </w:rPr>
              <w:t>GAAP net income attributable to World Fuel</w:t>
            </w:r>
          </w:p>
        </w:tc>
        <w:tc>
          <w:tcPr>
            <w:tcW w:w="76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48.2</w:t>
            </w:r>
          </w:p>
        </w:tc>
        <w:tc>
          <w:tcPr>
            <w:tcW w:w="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85.5</w:t>
            </w:r>
          </w:p>
        </w:tc>
        <w:tc>
          <w:tcPr>
            <w:tcW w:w="3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99.0</w:t>
            </w:r>
          </w:p>
        </w:tc>
      </w:tr>
      <w:tr>
        <w:trPr>
          <w:trHeight w:val="216"/>
        </w:trPr>
        <w:tc>
          <w:tcPr>
            <w:tcW w:w="6520" w:type="dxa"/>
            <w:vAlign w:val="bottom"/>
          </w:tcPr>
          <w:p>
            <w:pPr>
              <w:ind w:left="100"/>
              <w:spacing w:after="0" w:line="216" w:lineRule="exact"/>
              <w:rPr>
                <w:sz w:val="20"/>
                <w:szCs w:val="20"/>
                <w:color w:val="auto"/>
              </w:rPr>
            </w:pPr>
            <w:r>
              <w:rPr>
                <w:rFonts w:ascii="Times New Roman" w:cs="Times New Roman" w:eastAsia="Times New Roman" w:hAnsi="Times New Roman"/>
                <w:sz w:val="14"/>
                <w:szCs w:val="14"/>
                <w:color w:val="auto"/>
              </w:rPr>
              <w:t xml:space="preserve">Share-based compensation expense, net of income taxes </w:t>
            </w:r>
            <w:r>
              <w:rPr>
                <w:rFonts w:ascii="Times New Roman" w:cs="Times New Roman" w:eastAsia="Times New Roman" w:hAnsi="Times New Roman"/>
                <w:sz w:val="23"/>
                <w:szCs w:val="23"/>
                <w:color w:val="auto"/>
                <w:vertAlign w:val="superscript"/>
              </w:rPr>
              <w:t>(1)</w:t>
            </w:r>
          </w:p>
        </w:tc>
        <w:tc>
          <w:tcPr>
            <w:tcW w:w="7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1.8</w:t>
            </w:r>
          </w:p>
        </w:tc>
        <w:tc>
          <w:tcPr>
            <w:tcW w:w="2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5.2</w:t>
            </w:r>
          </w:p>
        </w:tc>
        <w:tc>
          <w:tcPr>
            <w:tcW w:w="3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4.4</w:t>
            </w:r>
          </w:p>
        </w:tc>
      </w:tr>
      <w:tr>
        <w:trPr>
          <w:trHeight w:val="216"/>
        </w:trPr>
        <w:tc>
          <w:tcPr>
            <w:tcW w:w="6520" w:type="dxa"/>
            <w:vAlign w:val="bottom"/>
          </w:tcPr>
          <w:p>
            <w:pPr>
              <w:ind w:left="100"/>
              <w:spacing w:after="0" w:line="216" w:lineRule="exact"/>
              <w:rPr>
                <w:sz w:val="20"/>
                <w:szCs w:val="20"/>
                <w:color w:val="auto"/>
              </w:rPr>
            </w:pPr>
            <w:r>
              <w:rPr>
                <w:rFonts w:ascii="Times New Roman" w:cs="Times New Roman" w:eastAsia="Times New Roman" w:hAnsi="Times New Roman"/>
                <w:sz w:val="14"/>
                <w:szCs w:val="14"/>
                <w:color w:val="auto"/>
              </w:rPr>
              <w:t xml:space="preserve">Intangible asset amortization expense, net of income taxes </w:t>
            </w:r>
            <w:r>
              <w:rPr>
                <w:rFonts w:ascii="Times New Roman" w:cs="Times New Roman" w:eastAsia="Times New Roman" w:hAnsi="Times New Roman"/>
                <w:sz w:val="23"/>
                <w:szCs w:val="23"/>
                <w:color w:val="auto"/>
                <w:vertAlign w:val="superscript"/>
              </w:rPr>
              <w:t>(2)</w:t>
            </w:r>
          </w:p>
        </w:tc>
        <w:tc>
          <w:tcPr>
            <w:tcW w:w="7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4.9</w:t>
            </w:r>
          </w:p>
        </w:tc>
        <w:tc>
          <w:tcPr>
            <w:tcW w:w="2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8.8</w:t>
            </w:r>
          </w:p>
        </w:tc>
        <w:tc>
          <w:tcPr>
            <w:tcW w:w="3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8.8</w:t>
            </w:r>
          </w:p>
        </w:tc>
      </w:tr>
      <w:tr>
        <w:trPr>
          <w:trHeight w:val="204"/>
        </w:trPr>
        <w:tc>
          <w:tcPr>
            <w:tcW w:w="6520" w:type="dxa"/>
            <w:vAlign w:val="bottom"/>
          </w:tcPr>
          <w:p>
            <w:pPr>
              <w:ind w:left="100"/>
              <w:spacing w:after="0" w:line="204" w:lineRule="exact"/>
              <w:rPr>
                <w:sz w:val="20"/>
                <w:szCs w:val="20"/>
                <w:color w:val="auto"/>
              </w:rPr>
            </w:pPr>
            <w:r>
              <w:rPr>
                <w:rFonts w:ascii="Times New Roman" w:cs="Times New Roman" w:eastAsia="Times New Roman" w:hAnsi="Times New Roman"/>
                <w:sz w:val="14"/>
                <w:szCs w:val="14"/>
                <w:color w:val="auto"/>
              </w:rPr>
              <w:t xml:space="preserve">Deferred revenue purchase accounting adjustment, net of income taxes </w:t>
            </w:r>
            <w:r>
              <w:rPr>
                <w:rFonts w:ascii="Times New Roman" w:cs="Times New Roman" w:eastAsia="Times New Roman" w:hAnsi="Times New Roman"/>
                <w:sz w:val="23"/>
                <w:szCs w:val="23"/>
                <w:color w:val="auto"/>
                <w:vertAlign w:val="superscript"/>
              </w:rPr>
              <w:t>(3)</w:t>
            </w:r>
          </w:p>
        </w:tc>
        <w:tc>
          <w:tcPr>
            <w:tcW w:w="76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1.1</w:t>
            </w:r>
          </w:p>
        </w:tc>
        <w:tc>
          <w:tcPr>
            <w:tcW w:w="300" w:type="dxa"/>
            <w:vAlign w:val="bottom"/>
          </w:tcPr>
          <w:p>
            <w:pPr>
              <w:spacing w:after="0"/>
              <w:rPr>
                <w:sz w:val="17"/>
                <w:szCs w:val="17"/>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r>
      <w:tr>
        <w:trPr>
          <w:trHeight w:val="187"/>
        </w:trPr>
        <w:tc>
          <w:tcPr>
            <w:tcW w:w="65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Expenses related to acquisition of Watson Petroleum</w:t>
            </w:r>
          </w:p>
        </w:tc>
        <w:tc>
          <w:tcPr>
            <w:tcW w:w="76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1.1</w:t>
            </w:r>
          </w:p>
        </w:tc>
      </w:tr>
      <w:tr>
        <w:trPr>
          <w:trHeight w:val="216"/>
        </w:trPr>
        <w:tc>
          <w:tcPr>
            <w:tcW w:w="6520" w:type="dxa"/>
            <w:vAlign w:val="bottom"/>
          </w:tcPr>
          <w:p>
            <w:pPr>
              <w:ind w:left="100"/>
              <w:spacing w:after="0" w:line="216" w:lineRule="exact"/>
              <w:rPr>
                <w:sz w:val="20"/>
                <w:szCs w:val="20"/>
                <w:color w:val="auto"/>
              </w:rPr>
            </w:pPr>
            <w:r>
              <w:rPr>
                <w:rFonts w:ascii="Times New Roman" w:cs="Times New Roman" w:eastAsia="Times New Roman" w:hAnsi="Times New Roman"/>
                <w:sz w:val="14"/>
                <w:szCs w:val="14"/>
                <w:color w:val="auto"/>
              </w:rPr>
              <w:t xml:space="preserve">Termination of employment agreement, net of income taxes </w:t>
            </w:r>
            <w:r>
              <w:rPr>
                <w:rFonts w:ascii="Times New Roman" w:cs="Times New Roman" w:eastAsia="Times New Roman" w:hAnsi="Times New Roman"/>
                <w:sz w:val="23"/>
                <w:szCs w:val="23"/>
                <w:color w:val="auto"/>
                <w:vertAlign w:val="superscript"/>
              </w:rPr>
              <w:t>(4)</w:t>
            </w:r>
          </w:p>
        </w:tc>
        <w:tc>
          <w:tcPr>
            <w:tcW w:w="7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2.3</w:t>
            </w:r>
          </w:p>
        </w:tc>
        <w:tc>
          <w:tcPr>
            <w:tcW w:w="3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r>
      <w:tr>
        <w:trPr>
          <w:trHeight w:val="213"/>
        </w:trPr>
        <w:tc>
          <w:tcPr>
            <w:tcW w:w="6520" w:type="dxa"/>
            <w:vAlign w:val="bottom"/>
          </w:tcPr>
          <w:p>
            <w:pPr>
              <w:ind w:left="100"/>
              <w:spacing w:after="0" w:line="213" w:lineRule="exact"/>
              <w:rPr>
                <w:sz w:val="20"/>
                <w:szCs w:val="20"/>
                <w:color w:val="auto"/>
              </w:rPr>
            </w:pPr>
            <w:r>
              <w:rPr>
                <w:rFonts w:ascii="Times New Roman" w:cs="Times New Roman" w:eastAsia="Times New Roman" w:hAnsi="Times New Roman"/>
                <w:sz w:val="14"/>
                <w:szCs w:val="14"/>
                <w:color w:val="auto"/>
              </w:rPr>
              <w:t xml:space="preserve">Executive non-renewal charge, net of income taxes </w:t>
            </w:r>
            <w:r>
              <w:rPr>
                <w:rFonts w:ascii="Times New Roman" w:cs="Times New Roman" w:eastAsia="Times New Roman" w:hAnsi="Times New Roman"/>
                <w:sz w:val="23"/>
                <w:szCs w:val="23"/>
                <w:color w:val="auto"/>
                <w:vertAlign w:val="superscript"/>
              </w:rPr>
              <w:t>(5)</w:t>
            </w:r>
          </w:p>
        </w:tc>
        <w:tc>
          <w:tcPr>
            <w:tcW w:w="7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3.0</w:t>
            </w:r>
          </w:p>
        </w:tc>
        <w:tc>
          <w:tcPr>
            <w:tcW w:w="2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3.0</w:t>
            </w:r>
          </w:p>
        </w:tc>
      </w:tr>
      <w:tr>
        <w:trPr>
          <w:trHeight w:val="169"/>
        </w:trPr>
        <w:tc>
          <w:tcPr>
            <w:tcW w:w="6520" w:type="dxa"/>
            <w:vAlign w:val="bottom"/>
          </w:tcPr>
          <w:p>
            <w:pPr>
              <w:spacing w:after="0"/>
              <w:rPr>
                <w:sz w:val="20"/>
                <w:szCs w:val="20"/>
                <w:color w:val="auto"/>
              </w:rPr>
            </w:pPr>
            <w:r>
              <w:rPr>
                <w:rFonts w:ascii="Times New Roman" w:cs="Times New Roman" w:eastAsia="Times New Roman" w:hAnsi="Times New Roman"/>
                <w:sz w:val="14"/>
                <w:szCs w:val="14"/>
                <w:color w:val="auto"/>
              </w:rPr>
              <w:t>Non-GAAP net income attributable to World Fuel</w:t>
            </w:r>
          </w:p>
        </w:tc>
        <w:tc>
          <w:tcPr>
            <w:tcW w:w="760" w:type="dxa"/>
            <w:vAlign w:val="bottom"/>
            <w:tcBorders>
              <w:top w:val="single" w:sz="8" w:color="auto"/>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37.9</w:t>
            </w:r>
          </w:p>
        </w:tc>
        <w:tc>
          <w:tcPr>
            <w:tcW w:w="20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57.9</w:t>
            </w:r>
          </w:p>
        </w:tc>
        <w:tc>
          <w:tcPr>
            <w:tcW w:w="20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102.9</w:t>
            </w:r>
          </w:p>
        </w:tc>
        <w:tc>
          <w:tcPr>
            <w:tcW w:w="160" w:type="dxa"/>
            <w:vAlign w:val="bottom"/>
          </w:tcPr>
          <w:p>
            <w:pPr>
              <w:spacing w:after="0"/>
              <w:rPr>
                <w:sz w:val="14"/>
                <w:szCs w:val="14"/>
                <w:color w:val="auto"/>
              </w:rPr>
            </w:pPr>
          </w:p>
        </w:tc>
        <w:tc>
          <w:tcPr>
            <w:tcW w:w="3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116.3</w:t>
            </w:r>
          </w:p>
        </w:tc>
        <w:tc>
          <w:tcPr>
            <w:tcW w:w="20" w:type="dxa"/>
            <w:vAlign w:val="bottom"/>
          </w:tcPr>
          <w:p>
            <w:pPr>
              <w:spacing w:after="0"/>
              <w:rPr>
                <w:sz w:val="14"/>
                <w:szCs w:val="14"/>
                <w:color w:val="auto"/>
              </w:rPr>
            </w:pPr>
          </w:p>
        </w:tc>
      </w:tr>
      <w:tr>
        <w:trPr>
          <w:trHeight w:val="20"/>
        </w:trPr>
        <w:tc>
          <w:tcPr>
            <w:tcW w:w="65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4"/>
        </w:trPr>
        <w:tc>
          <w:tcPr>
            <w:tcW w:w="6520" w:type="dxa"/>
            <w:vAlign w:val="bottom"/>
          </w:tcPr>
          <w:p>
            <w:pPr>
              <w:spacing w:after="0"/>
              <w:rPr>
                <w:sz w:val="20"/>
                <w:szCs w:val="20"/>
                <w:color w:val="auto"/>
              </w:rPr>
            </w:pPr>
            <w:r>
              <w:rPr>
                <w:rFonts w:ascii="Times New Roman" w:cs="Times New Roman" w:eastAsia="Times New Roman" w:hAnsi="Times New Roman"/>
                <w:sz w:val="14"/>
                <w:szCs w:val="14"/>
                <w:color w:val="auto"/>
              </w:rPr>
              <w:t>GAAP diluted earnings per common share</w:t>
            </w:r>
          </w:p>
        </w:tc>
        <w:tc>
          <w:tcPr>
            <w:tcW w:w="76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0.42</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0.68</w:t>
            </w:r>
          </w:p>
        </w:tc>
        <w:tc>
          <w:tcPr>
            <w:tcW w:w="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1.20</w:t>
            </w:r>
          </w:p>
        </w:tc>
        <w:tc>
          <w:tcPr>
            <w:tcW w:w="3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1.39</w:t>
            </w:r>
          </w:p>
        </w:tc>
      </w:tr>
      <w:tr>
        <w:trPr>
          <w:trHeight w:val="216"/>
        </w:trPr>
        <w:tc>
          <w:tcPr>
            <w:tcW w:w="6520" w:type="dxa"/>
            <w:vAlign w:val="bottom"/>
          </w:tcPr>
          <w:p>
            <w:pPr>
              <w:ind w:left="100"/>
              <w:spacing w:after="0" w:line="216" w:lineRule="exact"/>
              <w:rPr>
                <w:sz w:val="20"/>
                <w:szCs w:val="20"/>
                <w:color w:val="auto"/>
              </w:rPr>
            </w:pPr>
            <w:r>
              <w:rPr>
                <w:rFonts w:ascii="Times New Roman" w:cs="Times New Roman" w:eastAsia="Times New Roman" w:hAnsi="Times New Roman"/>
                <w:sz w:val="14"/>
                <w:szCs w:val="14"/>
                <w:color w:val="auto"/>
              </w:rPr>
              <w:t xml:space="preserve">Share-based compensation expense, net of income taxes </w:t>
            </w:r>
            <w:r>
              <w:rPr>
                <w:rFonts w:ascii="Times New Roman" w:cs="Times New Roman" w:eastAsia="Times New Roman" w:hAnsi="Times New Roman"/>
                <w:sz w:val="23"/>
                <w:szCs w:val="23"/>
                <w:color w:val="auto"/>
                <w:vertAlign w:val="superscript"/>
              </w:rPr>
              <w:t>(1)</w:t>
            </w:r>
          </w:p>
        </w:tc>
        <w:tc>
          <w:tcPr>
            <w:tcW w:w="7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0.02</w:t>
            </w:r>
          </w:p>
        </w:tc>
        <w:tc>
          <w:tcPr>
            <w:tcW w:w="2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0.07</w:t>
            </w:r>
          </w:p>
        </w:tc>
        <w:tc>
          <w:tcPr>
            <w:tcW w:w="3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0.06</w:t>
            </w:r>
          </w:p>
        </w:tc>
      </w:tr>
      <w:tr>
        <w:trPr>
          <w:trHeight w:val="216"/>
        </w:trPr>
        <w:tc>
          <w:tcPr>
            <w:tcW w:w="6520" w:type="dxa"/>
            <w:vAlign w:val="bottom"/>
          </w:tcPr>
          <w:p>
            <w:pPr>
              <w:ind w:left="100"/>
              <w:spacing w:after="0" w:line="216" w:lineRule="exact"/>
              <w:rPr>
                <w:sz w:val="20"/>
                <w:szCs w:val="20"/>
                <w:color w:val="auto"/>
              </w:rPr>
            </w:pPr>
            <w:r>
              <w:rPr>
                <w:rFonts w:ascii="Times New Roman" w:cs="Times New Roman" w:eastAsia="Times New Roman" w:hAnsi="Times New Roman"/>
                <w:sz w:val="14"/>
                <w:szCs w:val="14"/>
                <w:color w:val="auto"/>
              </w:rPr>
              <w:t xml:space="preserve">Intangible asset amortization expense, net of income taxes </w:t>
            </w:r>
            <w:r>
              <w:rPr>
                <w:rFonts w:ascii="Times New Roman" w:cs="Times New Roman" w:eastAsia="Times New Roman" w:hAnsi="Times New Roman"/>
                <w:sz w:val="23"/>
                <w:szCs w:val="23"/>
                <w:color w:val="auto"/>
                <w:vertAlign w:val="superscript"/>
              </w:rPr>
              <w:t>(2)</w:t>
            </w:r>
          </w:p>
        </w:tc>
        <w:tc>
          <w:tcPr>
            <w:tcW w:w="7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0.07</w:t>
            </w:r>
          </w:p>
        </w:tc>
        <w:tc>
          <w:tcPr>
            <w:tcW w:w="2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0.12</w:t>
            </w:r>
          </w:p>
        </w:tc>
        <w:tc>
          <w:tcPr>
            <w:tcW w:w="3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0.12</w:t>
            </w:r>
          </w:p>
        </w:tc>
      </w:tr>
      <w:tr>
        <w:trPr>
          <w:trHeight w:val="204"/>
        </w:trPr>
        <w:tc>
          <w:tcPr>
            <w:tcW w:w="6520" w:type="dxa"/>
            <w:vAlign w:val="bottom"/>
          </w:tcPr>
          <w:p>
            <w:pPr>
              <w:ind w:left="100"/>
              <w:spacing w:after="0" w:line="204" w:lineRule="exact"/>
              <w:rPr>
                <w:sz w:val="20"/>
                <w:szCs w:val="20"/>
                <w:color w:val="auto"/>
              </w:rPr>
            </w:pPr>
            <w:r>
              <w:rPr>
                <w:rFonts w:ascii="Times New Roman" w:cs="Times New Roman" w:eastAsia="Times New Roman" w:hAnsi="Times New Roman"/>
                <w:sz w:val="14"/>
                <w:szCs w:val="14"/>
                <w:color w:val="auto"/>
              </w:rPr>
              <w:t xml:space="preserve">Deferred revenue purchase accounting adjustment, net of income taxes </w:t>
            </w:r>
            <w:r>
              <w:rPr>
                <w:rFonts w:ascii="Times New Roman" w:cs="Times New Roman" w:eastAsia="Times New Roman" w:hAnsi="Times New Roman"/>
                <w:sz w:val="23"/>
                <w:szCs w:val="23"/>
                <w:color w:val="auto"/>
                <w:vertAlign w:val="superscript"/>
              </w:rPr>
              <w:t>(3)</w:t>
            </w:r>
          </w:p>
        </w:tc>
        <w:tc>
          <w:tcPr>
            <w:tcW w:w="76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0.02</w:t>
            </w:r>
          </w:p>
        </w:tc>
        <w:tc>
          <w:tcPr>
            <w:tcW w:w="300" w:type="dxa"/>
            <w:vAlign w:val="bottom"/>
          </w:tcPr>
          <w:p>
            <w:pPr>
              <w:spacing w:after="0"/>
              <w:rPr>
                <w:sz w:val="17"/>
                <w:szCs w:val="17"/>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r>
      <w:tr>
        <w:trPr>
          <w:trHeight w:val="187"/>
        </w:trPr>
        <w:tc>
          <w:tcPr>
            <w:tcW w:w="65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Expenses related to acquisition of Watson Petroleum</w:t>
            </w:r>
          </w:p>
        </w:tc>
        <w:tc>
          <w:tcPr>
            <w:tcW w:w="76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0.02</w:t>
            </w:r>
          </w:p>
        </w:tc>
      </w:tr>
      <w:tr>
        <w:trPr>
          <w:trHeight w:val="216"/>
        </w:trPr>
        <w:tc>
          <w:tcPr>
            <w:tcW w:w="6520" w:type="dxa"/>
            <w:vAlign w:val="bottom"/>
          </w:tcPr>
          <w:p>
            <w:pPr>
              <w:ind w:left="100"/>
              <w:spacing w:after="0" w:line="216" w:lineRule="exact"/>
              <w:rPr>
                <w:sz w:val="20"/>
                <w:szCs w:val="20"/>
                <w:color w:val="auto"/>
              </w:rPr>
            </w:pPr>
            <w:r>
              <w:rPr>
                <w:rFonts w:ascii="Times New Roman" w:cs="Times New Roman" w:eastAsia="Times New Roman" w:hAnsi="Times New Roman"/>
                <w:sz w:val="14"/>
                <w:szCs w:val="14"/>
                <w:color w:val="auto"/>
              </w:rPr>
              <w:t xml:space="preserve">Termination of employment agreement, net of income taxes </w:t>
            </w:r>
            <w:r>
              <w:rPr>
                <w:rFonts w:ascii="Times New Roman" w:cs="Times New Roman" w:eastAsia="Times New Roman" w:hAnsi="Times New Roman"/>
                <w:sz w:val="23"/>
                <w:szCs w:val="23"/>
                <w:color w:val="auto"/>
                <w:vertAlign w:val="superscript"/>
              </w:rPr>
              <w:t>(4)</w:t>
            </w:r>
          </w:p>
        </w:tc>
        <w:tc>
          <w:tcPr>
            <w:tcW w:w="7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0.03</w:t>
            </w:r>
          </w:p>
        </w:tc>
        <w:tc>
          <w:tcPr>
            <w:tcW w:w="3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r>
      <w:tr>
        <w:trPr>
          <w:trHeight w:val="213"/>
        </w:trPr>
        <w:tc>
          <w:tcPr>
            <w:tcW w:w="6520" w:type="dxa"/>
            <w:vAlign w:val="bottom"/>
          </w:tcPr>
          <w:p>
            <w:pPr>
              <w:ind w:left="100"/>
              <w:spacing w:after="0" w:line="213" w:lineRule="exact"/>
              <w:rPr>
                <w:sz w:val="20"/>
                <w:szCs w:val="20"/>
                <w:color w:val="auto"/>
              </w:rPr>
            </w:pPr>
            <w:r>
              <w:rPr>
                <w:rFonts w:ascii="Times New Roman" w:cs="Times New Roman" w:eastAsia="Times New Roman" w:hAnsi="Times New Roman"/>
                <w:sz w:val="14"/>
                <w:szCs w:val="14"/>
                <w:color w:val="auto"/>
              </w:rPr>
              <w:t xml:space="preserve">Executive non-renewal charge, net of income taxes </w:t>
            </w:r>
            <w:r>
              <w:rPr>
                <w:rFonts w:ascii="Times New Roman" w:cs="Times New Roman" w:eastAsia="Times New Roman" w:hAnsi="Times New Roman"/>
                <w:sz w:val="23"/>
                <w:szCs w:val="23"/>
                <w:color w:val="auto"/>
                <w:vertAlign w:val="superscript"/>
              </w:rPr>
              <w:t>(5)</w:t>
            </w:r>
          </w:p>
        </w:tc>
        <w:tc>
          <w:tcPr>
            <w:tcW w:w="7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0.04</w:t>
            </w:r>
          </w:p>
        </w:tc>
        <w:tc>
          <w:tcPr>
            <w:tcW w:w="2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0.04</w:t>
            </w:r>
          </w:p>
        </w:tc>
      </w:tr>
      <w:tr>
        <w:trPr>
          <w:trHeight w:val="169"/>
        </w:trPr>
        <w:tc>
          <w:tcPr>
            <w:tcW w:w="6520" w:type="dxa"/>
            <w:vAlign w:val="bottom"/>
          </w:tcPr>
          <w:p>
            <w:pPr>
              <w:spacing w:after="0"/>
              <w:rPr>
                <w:sz w:val="20"/>
                <w:szCs w:val="20"/>
                <w:color w:val="auto"/>
              </w:rPr>
            </w:pPr>
            <w:r>
              <w:rPr>
                <w:rFonts w:ascii="Times New Roman" w:cs="Times New Roman" w:eastAsia="Times New Roman" w:hAnsi="Times New Roman"/>
                <w:sz w:val="14"/>
                <w:szCs w:val="14"/>
                <w:color w:val="auto"/>
              </w:rPr>
              <w:t>Non-GAAP diluted earnings per common share</w:t>
            </w:r>
          </w:p>
        </w:tc>
        <w:tc>
          <w:tcPr>
            <w:tcW w:w="760" w:type="dxa"/>
            <w:vAlign w:val="bottom"/>
            <w:tcBorders>
              <w:top w:val="single" w:sz="8" w:color="auto"/>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0.53</w:t>
            </w:r>
          </w:p>
        </w:tc>
        <w:tc>
          <w:tcPr>
            <w:tcW w:w="20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0.81</w:t>
            </w:r>
          </w:p>
        </w:tc>
        <w:tc>
          <w:tcPr>
            <w:tcW w:w="20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160" w:type="dxa"/>
            <w:vAlign w:val="bottom"/>
          </w:tcPr>
          <w:p>
            <w:pPr>
              <w:spacing w:after="0"/>
              <w:rPr>
                <w:sz w:val="14"/>
                <w:szCs w:val="14"/>
                <w:color w:val="auto"/>
              </w:rPr>
            </w:pPr>
          </w:p>
        </w:tc>
        <w:tc>
          <w:tcPr>
            <w:tcW w:w="3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20" w:type="dxa"/>
            <w:vAlign w:val="bottom"/>
          </w:tcPr>
          <w:p>
            <w:pPr>
              <w:spacing w:after="0"/>
              <w:rPr>
                <w:sz w:val="14"/>
                <w:szCs w:val="14"/>
                <w:color w:val="auto"/>
              </w:rPr>
            </w:pPr>
          </w:p>
        </w:tc>
      </w:tr>
      <w:tr>
        <w:trPr>
          <w:trHeight w:val="20"/>
        </w:trPr>
        <w:tc>
          <w:tcPr>
            <w:tcW w:w="65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420" w:right="200" w:hanging="412"/>
        <w:spacing w:after="0" w:line="199" w:lineRule="auto"/>
        <w:tabs>
          <w:tab w:leader="none" w:pos="279" w:val="left"/>
        </w:tabs>
        <w:numPr>
          <w:ilvl w:val="0"/>
          <w:numId w:val="1"/>
        </w:numPr>
        <w:rPr>
          <w:rFonts w:ascii="Times New Roman" w:cs="Times New Roman" w:eastAsia="Times New Roman" w:hAnsi="Times New Roman"/>
          <w:sz w:val="34"/>
          <w:szCs w:val="34"/>
          <w:color w:val="auto"/>
          <w:vertAlign w:val="superscript"/>
        </w:rPr>
      </w:pPr>
      <w:r>
        <w:rPr>
          <w:rFonts w:ascii="Times New Roman" w:cs="Times New Roman" w:eastAsia="Times New Roman" w:hAnsi="Times New Roman"/>
          <w:sz w:val="21"/>
          <w:szCs w:val="21"/>
          <w:color w:val="auto"/>
        </w:rPr>
        <w:t>The pre-tax amount of share-based compensation expense was $4.2 and $2.6 million for the three months ended June 30, 2015 and 2014, respectively, and $7.6 and $6.5 for the six months ended June 30, 2015 and 2014 respectively.</w:t>
      </w:r>
    </w:p>
    <w:p>
      <w:pPr>
        <w:spacing w:after="0" w:line="231" w:lineRule="exact"/>
        <w:rPr>
          <w:rFonts w:ascii="Times New Roman" w:cs="Times New Roman" w:eastAsia="Times New Roman" w:hAnsi="Times New Roman"/>
          <w:sz w:val="34"/>
          <w:szCs w:val="34"/>
          <w:color w:val="auto"/>
          <w:vertAlign w:val="superscript"/>
        </w:rPr>
      </w:pPr>
    </w:p>
    <w:p>
      <w:pPr>
        <w:ind w:left="420" w:right="480" w:hanging="412"/>
        <w:spacing w:after="0" w:line="199" w:lineRule="auto"/>
        <w:tabs>
          <w:tab w:leader="none" w:pos="279" w:val="left"/>
        </w:tabs>
        <w:numPr>
          <w:ilvl w:val="0"/>
          <w:numId w:val="1"/>
        </w:numPr>
        <w:rPr>
          <w:rFonts w:ascii="Times New Roman" w:cs="Times New Roman" w:eastAsia="Times New Roman" w:hAnsi="Times New Roman"/>
          <w:sz w:val="34"/>
          <w:szCs w:val="34"/>
          <w:color w:val="auto"/>
          <w:vertAlign w:val="superscript"/>
        </w:rPr>
      </w:pPr>
      <w:r>
        <w:rPr>
          <w:rFonts w:ascii="Times New Roman" w:cs="Times New Roman" w:eastAsia="Times New Roman" w:hAnsi="Times New Roman"/>
          <w:sz w:val="21"/>
          <w:szCs w:val="21"/>
          <w:color w:val="auto"/>
        </w:rPr>
        <w:t>The pre-tax amount of intangible asset amortization expense was $6.8 and $7.2 million for the three months ended June 30, 2015 and 2014, respectively, and $12.2 and $13.1 for the six months ended June 30, 2015 and 2014, respectively.</w:t>
      </w:r>
    </w:p>
    <w:p>
      <w:pPr>
        <w:spacing w:after="0" w:line="231" w:lineRule="exact"/>
        <w:rPr>
          <w:rFonts w:ascii="Times New Roman" w:cs="Times New Roman" w:eastAsia="Times New Roman" w:hAnsi="Times New Roman"/>
          <w:sz w:val="34"/>
          <w:szCs w:val="34"/>
          <w:color w:val="auto"/>
          <w:vertAlign w:val="superscript"/>
        </w:rPr>
      </w:pPr>
    </w:p>
    <w:p>
      <w:pPr>
        <w:ind w:left="420" w:right="80" w:hanging="412"/>
        <w:spacing w:after="0" w:line="199" w:lineRule="auto"/>
        <w:tabs>
          <w:tab w:leader="none" w:pos="279" w:val="left"/>
        </w:tabs>
        <w:numPr>
          <w:ilvl w:val="0"/>
          <w:numId w:val="1"/>
        </w:numPr>
        <w:rPr>
          <w:rFonts w:ascii="Times New Roman" w:cs="Times New Roman" w:eastAsia="Times New Roman" w:hAnsi="Times New Roman"/>
          <w:sz w:val="34"/>
          <w:szCs w:val="34"/>
          <w:color w:val="auto"/>
          <w:vertAlign w:val="superscript"/>
        </w:rPr>
      </w:pPr>
      <w:r>
        <w:rPr>
          <w:rFonts w:ascii="Times New Roman" w:cs="Times New Roman" w:eastAsia="Times New Roman" w:hAnsi="Times New Roman"/>
          <w:sz w:val="21"/>
          <w:szCs w:val="21"/>
          <w:color w:val="auto"/>
        </w:rPr>
        <w:t>The pre-tax amount of the deferred revenue purchase accounting adjustment was $1.5 million for the six months ended June 30, 2015.</w:t>
      </w:r>
    </w:p>
    <w:p>
      <w:pPr>
        <w:spacing w:after="0" w:line="123" w:lineRule="exact"/>
        <w:rPr>
          <w:rFonts w:ascii="Times New Roman" w:cs="Times New Roman" w:eastAsia="Times New Roman" w:hAnsi="Times New Roman"/>
          <w:sz w:val="34"/>
          <w:szCs w:val="34"/>
          <w:color w:val="auto"/>
          <w:vertAlign w:val="superscript"/>
        </w:rPr>
      </w:pPr>
    </w:p>
    <w:p>
      <w:pPr>
        <w:ind w:left="280" w:hanging="272"/>
        <w:spacing w:after="0"/>
        <w:tabs>
          <w:tab w:leader="none" w:pos="280" w:val="left"/>
        </w:tabs>
        <w:numPr>
          <w:ilvl w:val="0"/>
          <w:numId w:val="1"/>
        </w:numPr>
        <w:rPr>
          <w:rFonts w:ascii="Times New Roman" w:cs="Times New Roman" w:eastAsia="Times New Roman" w:hAnsi="Times New Roman"/>
          <w:sz w:val="34"/>
          <w:szCs w:val="34"/>
          <w:color w:val="auto"/>
          <w:vertAlign w:val="superscript"/>
        </w:rPr>
      </w:pPr>
      <w:r>
        <w:rPr>
          <w:rFonts w:ascii="Times New Roman" w:cs="Times New Roman" w:eastAsia="Times New Roman" w:hAnsi="Times New Roman"/>
          <w:sz w:val="21"/>
          <w:szCs w:val="21"/>
          <w:color w:val="auto"/>
        </w:rPr>
        <w:t>The pre-tax amount of the termination of employment agreement was $3.8 million for the six months ended June 30, 2015.</w:t>
      </w:r>
    </w:p>
    <w:p>
      <w:pPr>
        <w:spacing w:after="0" w:line="230" w:lineRule="exact"/>
        <w:rPr>
          <w:rFonts w:ascii="Times New Roman" w:cs="Times New Roman" w:eastAsia="Times New Roman" w:hAnsi="Times New Roman"/>
          <w:sz w:val="34"/>
          <w:szCs w:val="34"/>
          <w:color w:val="auto"/>
          <w:vertAlign w:val="superscript"/>
        </w:rPr>
      </w:pPr>
    </w:p>
    <w:p>
      <w:pPr>
        <w:ind w:left="420" w:right="440" w:hanging="412"/>
        <w:spacing w:after="0" w:line="199" w:lineRule="auto"/>
        <w:tabs>
          <w:tab w:leader="none" w:pos="279" w:val="left"/>
        </w:tabs>
        <w:numPr>
          <w:ilvl w:val="0"/>
          <w:numId w:val="1"/>
        </w:numPr>
        <w:rPr>
          <w:rFonts w:ascii="Times New Roman" w:cs="Times New Roman" w:eastAsia="Times New Roman" w:hAnsi="Times New Roman"/>
          <w:sz w:val="34"/>
          <w:szCs w:val="34"/>
          <w:color w:val="auto"/>
          <w:vertAlign w:val="superscript"/>
        </w:rPr>
      </w:pPr>
      <w:r>
        <w:rPr>
          <w:rFonts w:ascii="Times New Roman" w:cs="Times New Roman" w:eastAsia="Times New Roman" w:hAnsi="Times New Roman"/>
          <w:sz w:val="21"/>
          <w:szCs w:val="21"/>
          <w:color w:val="auto"/>
        </w:rPr>
        <w:t>The pre-tax amount of the executive non-renewal charge was $4.8 million for the three months ended and six months ended June 30,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117475</wp:posOffset>
            </wp:positionV>
            <wp:extent cx="7272020" cy="596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304" w:right="2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4"/>
          <w:szCs w:val="14"/>
          <w:b w:val="1"/>
          <w:bCs w:val="1"/>
          <w:color w:val="auto"/>
        </w:rPr>
        <w:t>WORLD FUEL SERVICES CORPORATION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BUSINESS SEGMENTS INFORMATION</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(UNAUDITED - IN MILLIONS)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740" w:type="dxa"/>
            <w:vAlign w:val="bottom"/>
          </w:tcPr>
          <w:p>
            <w:pPr>
              <w:spacing w:after="0"/>
              <w:rPr>
                <w:sz w:val="15"/>
                <w:szCs w:val="15"/>
                <w:color w:val="auto"/>
              </w:rPr>
            </w:pPr>
          </w:p>
        </w:tc>
        <w:tc>
          <w:tcPr>
            <w:tcW w:w="2760" w:type="dxa"/>
            <w:vAlign w:val="bottom"/>
            <w:gridSpan w:val="4"/>
          </w:tcPr>
          <w:p>
            <w:pPr>
              <w:jc w:val="right"/>
              <w:ind w:right="168"/>
              <w:spacing w:after="0"/>
              <w:rPr>
                <w:sz w:val="20"/>
                <w:szCs w:val="20"/>
                <w:color w:val="auto"/>
              </w:rPr>
            </w:pPr>
            <w:r>
              <w:rPr>
                <w:rFonts w:ascii="Times New Roman" w:cs="Times New Roman" w:eastAsia="Times New Roman" w:hAnsi="Times New Roman"/>
                <w:sz w:val="14"/>
                <w:szCs w:val="14"/>
                <w:color w:val="auto"/>
              </w:rPr>
              <w:t>For the Three Months ended</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780" w:type="dxa"/>
            <w:vAlign w:val="bottom"/>
            <w:gridSpan w:val="5"/>
          </w:tcPr>
          <w:p>
            <w:pPr>
              <w:jc w:val="right"/>
              <w:ind w:right="840"/>
              <w:spacing w:after="0"/>
              <w:rPr>
                <w:sz w:val="20"/>
                <w:szCs w:val="20"/>
                <w:color w:val="auto"/>
              </w:rPr>
            </w:pPr>
            <w:r>
              <w:rPr>
                <w:rFonts w:ascii="Times New Roman" w:cs="Times New Roman" w:eastAsia="Times New Roman" w:hAnsi="Times New Roman"/>
                <w:sz w:val="14"/>
                <w:szCs w:val="14"/>
                <w:color w:val="auto"/>
              </w:rPr>
              <w:t>For the Six Months ended</w:t>
            </w:r>
          </w:p>
        </w:tc>
        <w:tc>
          <w:tcPr>
            <w:tcW w:w="0" w:type="dxa"/>
            <w:vAlign w:val="bottom"/>
          </w:tcPr>
          <w:p>
            <w:pPr>
              <w:spacing w:after="0"/>
              <w:rPr>
                <w:sz w:val="1"/>
                <w:szCs w:val="1"/>
                <w:color w:val="auto"/>
              </w:rPr>
            </w:pPr>
          </w:p>
        </w:tc>
      </w:tr>
      <w:tr>
        <w:trPr>
          <w:trHeight w:val="185"/>
        </w:trPr>
        <w:tc>
          <w:tcPr>
            <w:tcW w:w="474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768"/>
              <w:spacing w:after="0"/>
              <w:rPr>
                <w:sz w:val="20"/>
                <w:szCs w:val="20"/>
                <w:color w:val="auto"/>
              </w:rPr>
            </w:pPr>
            <w:r>
              <w:rPr>
                <w:rFonts w:ascii="Times New Roman" w:cs="Times New Roman" w:eastAsia="Times New Roman" w:hAnsi="Times New Roman"/>
                <w:sz w:val="14"/>
                <w:szCs w:val="14"/>
                <w:color w:val="auto"/>
              </w:rPr>
              <w:t>June 30,</w:t>
            </w:r>
          </w:p>
        </w:tc>
        <w:tc>
          <w:tcPr>
            <w:tcW w:w="6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148"/>
              <w:spacing w:after="0"/>
              <w:rPr>
                <w:sz w:val="20"/>
                <w:szCs w:val="20"/>
                <w:color w:val="auto"/>
              </w:rPr>
            </w:pPr>
            <w:r>
              <w:rPr>
                <w:rFonts w:ascii="Times New Roman" w:cs="Times New Roman" w:eastAsia="Times New Roman" w:hAnsi="Times New Roman"/>
                <w:sz w:val="14"/>
                <w:szCs w:val="14"/>
                <w:color w:val="auto"/>
              </w:rPr>
              <w:t>June 30,</w:t>
            </w:r>
          </w:p>
        </w:tc>
        <w:tc>
          <w:tcPr>
            <w:tcW w:w="11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740" w:type="dxa"/>
            <w:vAlign w:val="bottom"/>
          </w:tcPr>
          <w:p>
            <w:pPr>
              <w:spacing w:after="0"/>
              <w:rPr>
                <w:sz w:val="14"/>
                <w:szCs w:val="14"/>
                <w:color w:val="auto"/>
              </w:rPr>
            </w:pPr>
          </w:p>
        </w:tc>
        <w:tc>
          <w:tcPr>
            <w:tcW w:w="10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2015</w:t>
            </w:r>
          </w:p>
        </w:tc>
        <w:tc>
          <w:tcPr>
            <w:tcW w:w="5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2014</w:t>
            </w:r>
          </w:p>
        </w:tc>
        <w:tc>
          <w:tcPr>
            <w:tcW w:w="6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color w:val="auto"/>
              </w:rPr>
              <w:t>2015</w:t>
            </w:r>
          </w:p>
        </w:tc>
        <w:tc>
          <w:tcPr>
            <w:tcW w:w="1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color w:val="auto"/>
              </w:rPr>
              <w:t>2014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740" w:type="dxa"/>
            <w:vAlign w:val="bottom"/>
          </w:tcPr>
          <w:p>
            <w:pPr>
              <w:spacing w:after="0" w:line="160" w:lineRule="exact"/>
              <w:rPr>
                <w:sz w:val="20"/>
                <w:szCs w:val="20"/>
                <w:color w:val="auto"/>
              </w:rPr>
            </w:pPr>
            <w:r>
              <w:rPr>
                <w:rFonts w:ascii="Times New Roman" w:cs="Times New Roman" w:eastAsia="Times New Roman" w:hAnsi="Times New Roman"/>
                <w:sz w:val="14"/>
                <w:szCs w:val="14"/>
                <w:color w:val="auto"/>
              </w:rPr>
              <w:t>Revenue:</w:t>
            </w:r>
          </w:p>
        </w:tc>
        <w:tc>
          <w:tcPr>
            <w:tcW w:w="10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7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Aviation segment</w:t>
            </w:r>
          </w:p>
        </w:tc>
        <w:tc>
          <w:tcPr>
            <w:tcW w:w="1000" w:type="dxa"/>
            <w:vAlign w:val="bottom"/>
          </w:tcPr>
          <w:p>
            <w:pPr>
              <w:jc w:val="right"/>
              <w:ind w:right="70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3,185.3</w:t>
            </w:r>
          </w:p>
        </w:tc>
        <w:tc>
          <w:tcPr>
            <w:tcW w:w="60" w:type="dxa"/>
            <w:vAlign w:val="bottom"/>
          </w:tcPr>
          <w:p>
            <w:pPr>
              <w:spacing w:after="0"/>
              <w:rPr>
                <w:sz w:val="15"/>
                <w:szCs w:val="15"/>
                <w:color w:val="auto"/>
              </w:rPr>
            </w:pPr>
          </w:p>
        </w:tc>
        <w:tc>
          <w:tcPr>
            <w:tcW w:w="1180" w:type="dxa"/>
            <w:vAlign w:val="bottom"/>
          </w:tcPr>
          <w:p>
            <w:pPr>
              <w:jc w:val="right"/>
              <w:ind w:right="8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4,436.5</w:t>
            </w:r>
          </w:p>
        </w:tc>
        <w:tc>
          <w:tcPr>
            <w:tcW w:w="3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6,082.3</w:t>
            </w:r>
          </w:p>
        </w:tc>
        <w:tc>
          <w:tcPr>
            <w:tcW w:w="160" w:type="dxa"/>
            <w:vAlign w:val="bottom"/>
          </w:tcPr>
          <w:p>
            <w:pPr>
              <w:spacing w:after="0"/>
              <w:rPr>
                <w:sz w:val="15"/>
                <w:szCs w:val="15"/>
                <w:color w:val="auto"/>
              </w:rPr>
            </w:pPr>
          </w:p>
        </w:tc>
        <w:tc>
          <w:tcPr>
            <w:tcW w:w="4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8,686.4</w:t>
            </w:r>
          </w:p>
        </w:tc>
        <w:tc>
          <w:tcPr>
            <w:tcW w:w="0" w:type="dxa"/>
            <w:vAlign w:val="bottom"/>
          </w:tcPr>
          <w:p>
            <w:pPr>
              <w:spacing w:after="0"/>
              <w:rPr>
                <w:sz w:val="1"/>
                <w:szCs w:val="1"/>
                <w:color w:val="auto"/>
              </w:rPr>
            </w:pPr>
          </w:p>
        </w:tc>
      </w:tr>
      <w:tr>
        <w:trPr>
          <w:trHeight w:val="176"/>
        </w:trPr>
        <w:tc>
          <w:tcPr>
            <w:tcW w:w="47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Marine segment</w:t>
            </w:r>
          </w:p>
        </w:tc>
        <w:tc>
          <w:tcPr>
            <w:tcW w:w="10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2,805.4</w:t>
            </w:r>
          </w:p>
        </w:tc>
        <w:tc>
          <w:tcPr>
            <w:tcW w:w="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3,532.8</w:t>
            </w:r>
          </w:p>
        </w:tc>
        <w:tc>
          <w:tcPr>
            <w:tcW w:w="3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5,126.1</w:t>
            </w: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7,013.0</w:t>
            </w:r>
          </w:p>
        </w:tc>
        <w:tc>
          <w:tcPr>
            <w:tcW w:w="0" w:type="dxa"/>
            <w:vAlign w:val="bottom"/>
          </w:tcPr>
          <w:p>
            <w:pPr>
              <w:spacing w:after="0"/>
              <w:rPr>
                <w:sz w:val="1"/>
                <w:szCs w:val="1"/>
                <w:color w:val="auto"/>
              </w:rPr>
            </w:pPr>
          </w:p>
        </w:tc>
      </w:tr>
      <w:tr>
        <w:trPr>
          <w:trHeight w:val="185"/>
        </w:trPr>
        <w:tc>
          <w:tcPr>
            <w:tcW w:w="47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Land segment</w:t>
            </w:r>
          </w:p>
        </w:tc>
        <w:tc>
          <w:tcPr>
            <w:tcW w:w="10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2,505.7</w:t>
            </w:r>
          </w:p>
        </w:tc>
        <w:tc>
          <w:tcPr>
            <w:tcW w:w="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3,373.2</w:t>
            </w:r>
          </w:p>
        </w:tc>
        <w:tc>
          <w:tcPr>
            <w:tcW w:w="3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4,628.7</w:t>
            </w: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6,194.0</w:t>
            </w:r>
          </w:p>
        </w:tc>
        <w:tc>
          <w:tcPr>
            <w:tcW w:w="0" w:type="dxa"/>
            <w:vAlign w:val="bottom"/>
          </w:tcPr>
          <w:p>
            <w:pPr>
              <w:spacing w:after="0"/>
              <w:rPr>
                <w:sz w:val="1"/>
                <w:szCs w:val="1"/>
                <w:color w:val="auto"/>
              </w:rPr>
            </w:pPr>
          </w:p>
        </w:tc>
      </w:tr>
      <w:tr>
        <w:trPr>
          <w:trHeight w:val="169"/>
        </w:trPr>
        <w:tc>
          <w:tcPr>
            <w:tcW w:w="4740" w:type="dxa"/>
            <w:vAlign w:val="bottom"/>
          </w:tcPr>
          <w:p>
            <w:pPr>
              <w:spacing w:after="0"/>
              <w:rPr>
                <w:sz w:val="14"/>
                <w:szCs w:val="14"/>
                <w:color w:val="auto"/>
              </w:rPr>
            </w:pPr>
          </w:p>
        </w:tc>
        <w:tc>
          <w:tcPr>
            <w:tcW w:w="1000" w:type="dxa"/>
            <w:vAlign w:val="bottom"/>
            <w:tcBorders>
              <w:top w:val="single" w:sz="8" w:color="auto"/>
              <w:bottom w:val="single" w:sz="8" w:color="auto"/>
            </w:tcBorders>
          </w:tcPr>
          <w:p>
            <w:pPr>
              <w:jc w:val="right"/>
              <w:ind w:right="70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8,496.4</w:t>
            </w:r>
          </w:p>
        </w:tc>
        <w:tc>
          <w:tcPr>
            <w:tcW w:w="60" w:type="dxa"/>
            <w:vAlign w:val="bottom"/>
          </w:tcPr>
          <w:p>
            <w:pPr>
              <w:spacing w:after="0"/>
              <w:rPr>
                <w:sz w:val="14"/>
                <w:szCs w:val="14"/>
                <w:color w:val="auto"/>
              </w:rPr>
            </w:pPr>
          </w:p>
        </w:tc>
        <w:tc>
          <w:tcPr>
            <w:tcW w:w="1180" w:type="dxa"/>
            <w:vAlign w:val="bottom"/>
            <w:tcBorders>
              <w:top w:val="single" w:sz="8" w:color="auto"/>
              <w:bottom w:val="single" w:sz="8" w:color="auto"/>
            </w:tcBorders>
          </w:tcPr>
          <w:p>
            <w:pPr>
              <w:jc w:val="right"/>
              <w:ind w:right="86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11,342.5</w:t>
            </w:r>
          </w:p>
        </w:tc>
        <w:tc>
          <w:tcPr>
            <w:tcW w:w="140" w:type="dxa"/>
            <w:vAlign w:val="bottom"/>
          </w:tcPr>
          <w:p>
            <w:pPr>
              <w:spacing w:after="0"/>
              <w:rPr>
                <w:sz w:val="14"/>
                <w:szCs w:val="14"/>
                <w:color w:val="auto"/>
              </w:rPr>
            </w:pPr>
          </w:p>
        </w:tc>
        <w:tc>
          <w:tcPr>
            <w:tcW w:w="38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15,837.1</w:t>
            </w:r>
          </w:p>
        </w:tc>
        <w:tc>
          <w:tcPr>
            <w:tcW w:w="160" w:type="dxa"/>
            <w:vAlign w:val="bottom"/>
          </w:tcPr>
          <w:p>
            <w:pPr>
              <w:spacing w:after="0"/>
              <w:rPr>
                <w:sz w:val="14"/>
                <w:szCs w:val="14"/>
                <w:color w:val="auto"/>
              </w:rPr>
            </w:pPr>
          </w:p>
        </w:tc>
        <w:tc>
          <w:tcPr>
            <w:tcW w:w="40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21,893.4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Gross profit:</w:t>
            </w: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474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7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Aviation segment</w:t>
            </w:r>
          </w:p>
        </w:tc>
        <w:tc>
          <w:tcPr>
            <w:tcW w:w="1000" w:type="dxa"/>
            <w:vAlign w:val="bottom"/>
          </w:tcPr>
          <w:p>
            <w:pPr>
              <w:jc w:val="right"/>
              <w:ind w:right="70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85.0</w:t>
            </w:r>
          </w:p>
        </w:tc>
        <w:tc>
          <w:tcPr>
            <w:tcW w:w="60" w:type="dxa"/>
            <w:vAlign w:val="bottom"/>
          </w:tcPr>
          <w:p>
            <w:pPr>
              <w:spacing w:after="0"/>
              <w:rPr>
                <w:sz w:val="15"/>
                <w:szCs w:val="15"/>
                <w:color w:val="auto"/>
              </w:rPr>
            </w:pPr>
          </w:p>
        </w:tc>
        <w:tc>
          <w:tcPr>
            <w:tcW w:w="1180" w:type="dxa"/>
            <w:vAlign w:val="bottom"/>
          </w:tcPr>
          <w:p>
            <w:pPr>
              <w:jc w:val="right"/>
              <w:ind w:right="8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81.8</w:t>
            </w:r>
          </w:p>
        </w:tc>
        <w:tc>
          <w:tcPr>
            <w:tcW w:w="3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167.9</w:t>
            </w:r>
          </w:p>
        </w:tc>
        <w:tc>
          <w:tcPr>
            <w:tcW w:w="4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150.7</w:t>
            </w:r>
          </w:p>
        </w:tc>
        <w:tc>
          <w:tcPr>
            <w:tcW w:w="0" w:type="dxa"/>
            <w:vAlign w:val="bottom"/>
          </w:tcPr>
          <w:p>
            <w:pPr>
              <w:spacing w:after="0"/>
              <w:rPr>
                <w:sz w:val="1"/>
                <w:szCs w:val="1"/>
                <w:color w:val="auto"/>
              </w:rPr>
            </w:pPr>
          </w:p>
        </w:tc>
      </w:tr>
      <w:tr>
        <w:trPr>
          <w:trHeight w:val="176"/>
        </w:trPr>
        <w:tc>
          <w:tcPr>
            <w:tcW w:w="47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Marine segment</w:t>
            </w:r>
          </w:p>
        </w:tc>
        <w:tc>
          <w:tcPr>
            <w:tcW w:w="10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w:t>
            </w:r>
          </w:p>
        </w:tc>
        <w:tc>
          <w:tcPr>
            <w:tcW w:w="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48.8</w:t>
            </w:r>
          </w:p>
        </w:tc>
        <w:tc>
          <w:tcPr>
            <w:tcW w:w="38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95.7</w:t>
            </w:r>
          </w:p>
        </w:tc>
        <w:tc>
          <w:tcPr>
            <w:tcW w:w="400" w:type="dxa"/>
            <w:vAlign w:val="bottom"/>
          </w:tcPr>
          <w:p>
            <w:pPr>
              <w:spacing w:after="0"/>
              <w:rPr>
                <w:sz w:val="15"/>
                <w:szCs w:val="15"/>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96.7</w:t>
            </w:r>
          </w:p>
        </w:tc>
        <w:tc>
          <w:tcPr>
            <w:tcW w:w="0" w:type="dxa"/>
            <w:vAlign w:val="bottom"/>
          </w:tcPr>
          <w:p>
            <w:pPr>
              <w:spacing w:after="0"/>
              <w:rPr>
                <w:sz w:val="1"/>
                <w:szCs w:val="1"/>
                <w:color w:val="auto"/>
              </w:rPr>
            </w:pPr>
          </w:p>
        </w:tc>
      </w:tr>
      <w:tr>
        <w:trPr>
          <w:trHeight w:val="185"/>
        </w:trPr>
        <w:tc>
          <w:tcPr>
            <w:tcW w:w="47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Land segment</w:t>
            </w:r>
          </w:p>
        </w:tc>
        <w:tc>
          <w:tcPr>
            <w:tcW w:w="10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63.6</w:t>
            </w:r>
          </w:p>
        </w:tc>
        <w:tc>
          <w:tcPr>
            <w:tcW w:w="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60.9</w:t>
            </w:r>
          </w:p>
        </w:tc>
        <w:tc>
          <w:tcPr>
            <w:tcW w:w="38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142.2</w:t>
            </w:r>
          </w:p>
        </w:tc>
        <w:tc>
          <w:tcPr>
            <w:tcW w:w="400" w:type="dxa"/>
            <w:vAlign w:val="bottom"/>
          </w:tcPr>
          <w:p>
            <w:pPr>
              <w:spacing w:after="0"/>
              <w:rPr>
                <w:sz w:val="16"/>
                <w:szCs w:val="16"/>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132.1</w:t>
            </w:r>
          </w:p>
        </w:tc>
        <w:tc>
          <w:tcPr>
            <w:tcW w:w="0" w:type="dxa"/>
            <w:vAlign w:val="bottom"/>
          </w:tcPr>
          <w:p>
            <w:pPr>
              <w:spacing w:after="0"/>
              <w:rPr>
                <w:sz w:val="1"/>
                <w:szCs w:val="1"/>
                <w:color w:val="auto"/>
              </w:rPr>
            </w:pPr>
          </w:p>
        </w:tc>
      </w:tr>
      <w:tr>
        <w:trPr>
          <w:trHeight w:val="169"/>
        </w:trPr>
        <w:tc>
          <w:tcPr>
            <w:tcW w:w="4740" w:type="dxa"/>
            <w:vAlign w:val="bottom"/>
          </w:tcPr>
          <w:p>
            <w:pPr>
              <w:spacing w:after="0"/>
              <w:rPr>
                <w:sz w:val="14"/>
                <w:szCs w:val="14"/>
                <w:color w:val="auto"/>
              </w:rPr>
            </w:pPr>
          </w:p>
        </w:tc>
        <w:tc>
          <w:tcPr>
            <w:tcW w:w="1000" w:type="dxa"/>
            <w:vAlign w:val="bottom"/>
            <w:tcBorders>
              <w:top w:val="single" w:sz="8" w:color="auto"/>
              <w:bottom w:val="single" w:sz="8" w:color="auto"/>
            </w:tcBorders>
          </w:tcPr>
          <w:p>
            <w:pPr>
              <w:jc w:val="right"/>
              <w:ind w:right="70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190.4</w:t>
            </w:r>
          </w:p>
        </w:tc>
        <w:tc>
          <w:tcPr>
            <w:tcW w:w="60" w:type="dxa"/>
            <w:vAlign w:val="bottom"/>
          </w:tcPr>
          <w:p>
            <w:pPr>
              <w:spacing w:after="0"/>
              <w:rPr>
                <w:sz w:val="14"/>
                <w:szCs w:val="14"/>
                <w:color w:val="auto"/>
              </w:rPr>
            </w:pPr>
          </w:p>
        </w:tc>
        <w:tc>
          <w:tcPr>
            <w:tcW w:w="1180" w:type="dxa"/>
            <w:vAlign w:val="bottom"/>
            <w:tcBorders>
              <w:top w:val="single" w:sz="8" w:color="auto"/>
              <w:bottom w:val="single" w:sz="8" w:color="auto"/>
            </w:tcBorders>
          </w:tcPr>
          <w:p>
            <w:pPr>
              <w:jc w:val="right"/>
              <w:ind w:right="86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191.5</w:t>
            </w:r>
          </w:p>
        </w:tc>
        <w:tc>
          <w:tcPr>
            <w:tcW w:w="140" w:type="dxa"/>
            <w:vAlign w:val="bottom"/>
          </w:tcPr>
          <w:p>
            <w:pPr>
              <w:spacing w:after="0"/>
              <w:rPr>
                <w:sz w:val="14"/>
                <w:szCs w:val="14"/>
                <w:color w:val="auto"/>
              </w:rPr>
            </w:pPr>
          </w:p>
        </w:tc>
        <w:tc>
          <w:tcPr>
            <w:tcW w:w="38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405.8</w:t>
            </w:r>
          </w:p>
        </w:tc>
        <w:tc>
          <w:tcPr>
            <w:tcW w:w="160" w:type="dxa"/>
            <w:vAlign w:val="bottom"/>
          </w:tcPr>
          <w:p>
            <w:pPr>
              <w:spacing w:after="0"/>
              <w:rPr>
                <w:sz w:val="14"/>
                <w:szCs w:val="14"/>
                <w:color w:val="auto"/>
              </w:rPr>
            </w:pPr>
          </w:p>
        </w:tc>
        <w:tc>
          <w:tcPr>
            <w:tcW w:w="40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379.5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Income from operations:</w:t>
            </w: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474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7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Aviation segment</w:t>
            </w:r>
          </w:p>
        </w:tc>
        <w:tc>
          <w:tcPr>
            <w:tcW w:w="1000" w:type="dxa"/>
            <w:vAlign w:val="bottom"/>
          </w:tcPr>
          <w:p>
            <w:pPr>
              <w:jc w:val="right"/>
              <w:ind w:right="70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60" w:type="dxa"/>
            <w:vAlign w:val="bottom"/>
          </w:tcPr>
          <w:p>
            <w:pPr>
              <w:spacing w:after="0"/>
              <w:rPr>
                <w:sz w:val="15"/>
                <w:szCs w:val="15"/>
                <w:color w:val="auto"/>
              </w:rPr>
            </w:pPr>
          </w:p>
        </w:tc>
        <w:tc>
          <w:tcPr>
            <w:tcW w:w="1180" w:type="dxa"/>
            <w:vAlign w:val="bottom"/>
          </w:tcPr>
          <w:p>
            <w:pPr>
              <w:jc w:val="right"/>
              <w:ind w:right="8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37.2</w:t>
            </w:r>
          </w:p>
        </w:tc>
        <w:tc>
          <w:tcPr>
            <w:tcW w:w="3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53.8</w:t>
            </w:r>
          </w:p>
        </w:tc>
        <w:tc>
          <w:tcPr>
            <w:tcW w:w="4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67.2</w:t>
            </w:r>
          </w:p>
        </w:tc>
        <w:tc>
          <w:tcPr>
            <w:tcW w:w="0" w:type="dxa"/>
            <w:vAlign w:val="bottom"/>
          </w:tcPr>
          <w:p>
            <w:pPr>
              <w:spacing w:after="0"/>
              <w:rPr>
                <w:sz w:val="1"/>
                <w:szCs w:val="1"/>
                <w:color w:val="auto"/>
              </w:rPr>
            </w:pPr>
          </w:p>
        </w:tc>
      </w:tr>
      <w:tr>
        <w:trPr>
          <w:trHeight w:val="176"/>
        </w:trPr>
        <w:tc>
          <w:tcPr>
            <w:tcW w:w="47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Marine segment</w:t>
            </w:r>
          </w:p>
        </w:tc>
        <w:tc>
          <w:tcPr>
            <w:tcW w:w="10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20.9</w:t>
            </w:r>
          </w:p>
        </w:tc>
        <w:tc>
          <w:tcPr>
            <w:tcW w:w="38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39.7</w:t>
            </w:r>
          </w:p>
        </w:tc>
        <w:tc>
          <w:tcPr>
            <w:tcW w:w="400" w:type="dxa"/>
            <w:vAlign w:val="bottom"/>
          </w:tcPr>
          <w:p>
            <w:pPr>
              <w:spacing w:after="0"/>
              <w:rPr>
                <w:sz w:val="15"/>
                <w:szCs w:val="15"/>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42.0</w:t>
            </w:r>
          </w:p>
        </w:tc>
        <w:tc>
          <w:tcPr>
            <w:tcW w:w="0" w:type="dxa"/>
            <w:vAlign w:val="bottom"/>
          </w:tcPr>
          <w:p>
            <w:pPr>
              <w:spacing w:after="0"/>
              <w:rPr>
                <w:sz w:val="1"/>
                <w:szCs w:val="1"/>
                <w:color w:val="auto"/>
              </w:rPr>
            </w:pPr>
          </w:p>
        </w:tc>
      </w:tr>
      <w:tr>
        <w:trPr>
          <w:trHeight w:val="185"/>
        </w:trPr>
        <w:tc>
          <w:tcPr>
            <w:tcW w:w="47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Land segment</w:t>
            </w:r>
          </w:p>
        </w:tc>
        <w:tc>
          <w:tcPr>
            <w:tcW w:w="10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14.4</w:t>
            </w:r>
          </w:p>
        </w:tc>
        <w:tc>
          <w:tcPr>
            <w:tcW w:w="38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48.3</w:t>
            </w:r>
          </w:p>
        </w:tc>
        <w:tc>
          <w:tcPr>
            <w:tcW w:w="400" w:type="dxa"/>
            <w:vAlign w:val="bottom"/>
          </w:tcPr>
          <w:p>
            <w:pPr>
              <w:spacing w:after="0"/>
              <w:rPr>
                <w:sz w:val="16"/>
                <w:szCs w:val="16"/>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40.9</w:t>
            </w:r>
          </w:p>
        </w:tc>
        <w:tc>
          <w:tcPr>
            <w:tcW w:w="0" w:type="dxa"/>
            <w:vAlign w:val="bottom"/>
          </w:tcPr>
          <w:p>
            <w:pPr>
              <w:spacing w:after="0"/>
              <w:rPr>
                <w:sz w:val="1"/>
                <w:szCs w:val="1"/>
                <w:color w:val="auto"/>
              </w:rPr>
            </w:pPr>
          </w:p>
        </w:tc>
      </w:tr>
      <w:tr>
        <w:trPr>
          <w:trHeight w:val="160"/>
        </w:trPr>
        <w:tc>
          <w:tcPr>
            <w:tcW w:w="4740" w:type="dxa"/>
            <w:vAlign w:val="bottom"/>
          </w:tcPr>
          <w:p>
            <w:pPr>
              <w:spacing w:after="0"/>
              <w:rPr>
                <w:sz w:val="13"/>
                <w:szCs w:val="13"/>
                <w:color w:val="auto"/>
              </w:rPr>
            </w:pPr>
          </w:p>
        </w:tc>
        <w:tc>
          <w:tcPr>
            <w:tcW w:w="1000" w:type="dxa"/>
            <w:vAlign w:val="bottom"/>
            <w:tcBorders>
              <w:top w:val="single" w:sz="8" w:color="auto"/>
            </w:tcBorders>
          </w:tcPr>
          <w:p>
            <w:pPr>
              <w:jc w:val="right"/>
              <w:ind w:right="708"/>
              <w:spacing w:after="0" w:line="160"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tcBorders>
          </w:tcPr>
          <w:p>
            <w:pPr>
              <w:jc w:val="right"/>
              <w:spacing w:after="0" w:line="160" w:lineRule="exact"/>
              <w:rPr>
                <w:sz w:val="20"/>
                <w:szCs w:val="20"/>
                <w:color w:val="auto"/>
              </w:rPr>
            </w:pPr>
            <w:r>
              <w:rPr>
                <w:rFonts w:ascii="Times New Roman" w:cs="Times New Roman" w:eastAsia="Times New Roman" w:hAnsi="Times New Roman"/>
                <w:sz w:val="14"/>
                <w:szCs w:val="14"/>
                <w:color w:val="auto"/>
              </w:rPr>
              <w:t>56.1</w:t>
            </w:r>
          </w:p>
        </w:tc>
        <w:tc>
          <w:tcPr>
            <w:tcW w:w="60" w:type="dxa"/>
            <w:vAlign w:val="bottom"/>
          </w:tcPr>
          <w:p>
            <w:pPr>
              <w:spacing w:after="0"/>
              <w:rPr>
                <w:sz w:val="13"/>
                <w:szCs w:val="13"/>
                <w:color w:val="auto"/>
              </w:rPr>
            </w:pPr>
          </w:p>
        </w:tc>
        <w:tc>
          <w:tcPr>
            <w:tcW w:w="1180" w:type="dxa"/>
            <w:vAlign w:val="bottom"/>
            <w:tcBorders>
              <w:top w:val="single" w:sz="8" w:color="auto"/>
            </w:tcBorders>
          </w:tcPr>
          <w:p>
            <w:pPr>
              <w:jc w:val="right"/>
              <w:ind w:right="868"/>
              <w:spacing w:after="0" w:line="160"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tcPr>
          <w:p>
            <w:pPr>
              <w:jc w:val="right"/>
              <w:spacing w:after="0" w:line="160" w:lineRule="exact"/>
              <w:rPr>
                <w:sz w:val="20"/>
                <w:szCs w:val="20"/>
                <w:color w:val="auto"/>
              </w:rPr>
            </w:pPr>
            <w:r>
              <w:rPr>
                <w:rFonts w:ascii="Times New Roman" w:cs="Times New Roman" w:eastAsia="Times New Roman" w:hAnsi="Times New Roman"/>
                <w:sz w:val="14"/>
                <w:szCs w:val="14"/>
                <w:color w:val="auto"/>
              </w:rPr>
              <w:t>72.5</w:t>
            </w:r>
          </w:p>
        </w:tc>
        <w:tc>
          <w:tcPr>
            <w:tcW w:w="14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spacing w:after="0" w:line="160" w:lineRule="exact"/>
              <w:rPr>
                <w:sz w:val="20"/>
                <w:szCs w:val="20"/>
                <w:color w:val="auto"/>
              </w:rPr>
            </w:pPr>
            <w:r>
              <w:rPr>
                <w:rFonts w:ascii="Times New Roman" w:cs="Times New Roman" w:eastAsia="Times New Roman" w:hAnsi="Times New Roman"/>
                <w:sz w:val="14"/>
                <w:szCs w:val="14"/>
                <w:color w:val="auto"/>
              </w:rPr>
              <w:t>141.8</w:t>
            </w:r>
          </w:p>
        </w:tc>
        <w:tc>
          <w:tcPr>
            <w:tcW w:w="16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spacing w:after="0" w:line="160" w:lineRule="exact"/>
              <w:rPr>
                <w:sz w:val="20"/>
                <w:szCs w:val="20"/>
                <w:color w:val="auto"/>
              </w:rPr>
            </w:pPr>
            <w:r>
              <w:rPr>
                <w:rFonts w:ascii="Times New Roman" w:cs="Times New Roman" w:eastAsia="Times New Roman" w:hAnsi="Times New Roman"/>
                <w:sz w:val="14"/>
                <w:szCs w:val="14"/>
                <w:color w:val="auto"/>
              </w:rPr>
              <w:t>150.1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47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Corporate overhead - unallocated</w:t>
            </w:r>
          </w:p>
        </w:tc>
        <w:tc>
          <w:tcPr>
            <w:tcW w:w="10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12.7</w:t>
            </w:r>
          </w:p>
        </w:tc>
        <w:tc>
          <w:tcPr>
            <w:tcW w:w="38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28.8</w:t>
            </w:r>
          </w:p>
        </w:tc>
        <w:tc>
          <w:tcPr>
            <w:tcW w:w="400" w:type="dxa"/>
            <w:vAlign w:val="bottom"/>
          </w:tcPr>
          <w:p>
            <w:pPr>
              <w:spacing w:after="0"/>
              <w:rPr>
                <w:sz w:val="16"/>
                <w:szCs w:val="16"/>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26.0</w:t>
            </w:r>
          </w:p>
        </w:tc>
        <w:tc>
          <w:tcPr>
            <w:tcW w:w="0" w:type="dxa"/>
            <w:vAlign w:val="bottom"/>
          </w:tcPr>
          <w:p>
            <w:pPr>
              <w:spacing w:after="0"/>
              <w:rPr>
                <w:sz w:val="1"/>
                <w:szCs w:val="1"/>
                <w:color w:val="auto"/>
              </w:rPr>
            </w:pPr>
          </w:p>
        </w:tc>
      </w:tr>
      <w:tr>
        <w:trPr>
          <w:trHeight w:val="169"/>
        </w:trPr>
        <w:tc>
          <w:tcPr>
            <w:tcW w:w="4740" w:type="dxa"/>
            <w:vAlign w:val="bottom"/>
          </w:tcPr>
          <w:p>
            <w:pPr>
              <w:spacing w:after="0"/>
              <w:rPr>
                <w:sz w:val="14"/>
                <w:szCs w:val="14"/>
                <w:color w:val="auto"/>
              </w:rPr>
            </w:pPr>
          </w:p>
        </w:tc>
        <w:tc>
          <w:tcPr>
            <w:tcW w:w="1000" w:type="dxa"/>
            <w:vAlign w:val="bottom"/>
            <w:tcBorders>
              <w:top w:val="single" w:sz="8" w:color="auto"/>
              <w:bottom w:val="single" w:sz="8" w:color="auto"/>
            </w:tcBorders>
          </w:tcPr>
          <w:p>
            <w:pPr>
              <w:jc w:val="right"/>
              <w:ind w:right="70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41.6</w:t>
            </w:r>
          </w:p>
        </w:tc>
        <w:tc>
          <w:tcPr>
            <w:tcW w:w="60" w:type="dxa"/>
            <w:vAlign w:val="bottom"/>
          </w:tcPr>
          <w:p>
            <w:pPr>
              <w:spacing w:after="0"/>
              <w:rPr>
                <w:sz w:val="14"/>
                <w:szCs w:val="14"/>
                <w:color w:val="auto"/>
              </w:rPr>
            </w:pPr>
          </w:p>
        </w:tc>
        <w:tc>
          <w:tcPr>
            <w:tcW w:w="1180" w:type="dxa"/>
            <w:vAlign w:val="bottom"/>
            <w:tcBorders>
              <w:top w:val="single" w:sz="8" w:color="auto"/>
              <w:bottom w:val="single" w:sz="8" w:color="auto"/>
            </w:tcBorders>
          </w:tcPr>
          <w:p>
            <w:pPr>
              <w:jc w:val="right"/>
              <w:ind w:right="86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59.8</w:t>
            </w:r>
          </w:p>
        </w:tc>
        <w:tc>
          <w:tcPr>
            <w:tcW w:w="140" w:type="dxa"/>
            <w:vAlign w:val="bottom"/>
          </w:tcPr>
          <w:p>
            <w:pPr>
              <w:spacing w:after="0"/>
              <w:rPr>
                <w:sz w:val="14"/>
                <w:szCs w:val="14"/>
                <w:color w:val="auto"/>
              </w:rPr>
            </w:pPr>
          </w:p>
        </w:tc>
        <w:tc>
          <w:tcPr>
            <w:tcW w:w="38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113.0</w:t>
            </w:r>
          </w:p>
        </w:tc>
        <w:tc>
          <w:tcPr>
            <w:tcW w:w="160" w:type="dxa"/>
            <w:vAlign w:val="bottom"/>
          </w:tcPr>
          <w:p>
            <w:pPr>
              <w:spacing w:after="0"/>
              <w:rPr>
                <w:sz w:val="14"/>
                <w:szCs w:val="14"/>
                <w:color w:val="auto"/>
              </w:rPr>
            </w:pPr>
          </w:p>
        </w:tc>
        <w:tc>
          <w:tcPr>
            <w:tcW w:w="40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CONTACT: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World Fuel Services Corporation</w:t>
      </w:r>
    </w:p>
    <w:p>
      <w:pPr>
        <w:spacing w:after="0" w:line="230" w:lineRule="auto"/>
        <w:rPr>
          <w:sz w:val="20"/>
          <w:szCs w:val="20"/>
          <w:color w:val="auto"/>
        </w:rPr>
      </w:pPr>
      <w:r>
        <w:rPr>
          <w:rFonts w:ascii="Times New Roman" w:cs="Times New Roman" w:eastAsia="Times New Roman" w:hAnsi="Times New Roman"/>
          <w:sz w:val="22"/>
          <w:szCs w:val="22"/>
          <w:color w:val="auto"/>
        </w:rPr>
        <w:t>Ira M. Birns, Executive Vice President &amp;</w:t>
      </w:r>
    </w:p>
    <w:p>
      <w:pPr>
        <w:spacing w:after="0" w:line="231" w:lineRule="auto"/>
        <w:rPr>
          <w:sz w:val="20"/>
          <w:szCs w:val="20"/>
          <w:color w:val="auto"/>
        </w:rPr>
      </w:pPr>
      <w:r>
        <w:rPr>
          <w:rFonts w:ascii="Times New Roman" w:cs="Times New Roman" w:eastAsia="Times New Roman" w:hAnsi="Times New Roman"/>
          <w:sz w:val="22"/>
          <w:szCs w:val="22"/>
          <w:color w:val="auto"/>
        </w:rPr>
        <w:t>Chief Financial Officer</w:t>
      </w:r>
    </w:p>
    <w:p>
      <w:pPr>
        <w:spacing w:after="0" w:line="230" w:lineRule="auto"/>
        <w:rPr>
          <w:sz w:val="20"/>
          <w:szCs w:val="20"/>
          <w:color w:val="auto"/>
        </w:rPr>
      </w:pPr>
      <w:r>
        <w:rPr>
          <w:rFonts w:ascii="Times New Roman" w:cs="Times New Roman" w:eastAsia="Times New Roman" w:hAnsi="Times New Roman"/>
          <w:sz w:val="22"/>
          <w:szCs w:val="22"/>
          <w:color w:val="auto"/>
        </w:rPr>
        <w:t>or</w:t>
      </w:r>
    </w:p>
    <w:p>
      <w:pPr>
        <w:spacing w:after="0" w:line="231" w:lineRule="auto"/>
        <w:rPr>
          <w:sz w:val="20"/>
          <w:szCs w:val="20"/>
          <w:color w:val="auto"/>
        </w:rPr>
      </w:pPr>
      <w:r>
        <w:rPr>
          <w:rFonts w:ascii="Times New Roman" w:cs="Times New Roman" w:eastAsia="Times New Roman" w:hAnsi="Times New Roman"/>
          <w:sz w:val="22"/>
          <w:szCs w:val="22"/>
          <w:color w:val="auto"/>
        </w:rPr>
        <w:t>Glenn Klevitz</w:t>
      </w:r>
    </w:p>
    <w:p>
      <w:pPr>
        <w:spacing w:after="0" w:line="231" w:lineRule="auto"/>
        <w:rPr>
          <w:sz w:val="20"/>
          <w:szCs w:val="20"/>
          <w:color w:val="auto"/>
        </w:rPr>
      </w:pPr>
      <w:r>
        <w:rPr>
          <w:rFonts w:ascii="Times New Roman" w:cs="Times New Roman" w:eastAsia="Times New Roman" w:hAnsi="Times New Roman"/>
          <w:sz w:val="22"/>
          <w:szCs w:val="22"/>
          <w:color w:val="auto"/>
        </w:rPr>
        <w:t>Vice President, Assistant Treasurer</w:t>
      </w:r>
    </w:p>
    <w:p>
      <w:pPr>
        <w:spacing w:after="0"/>
        <w:rPr>
          <w:sz w:val="20"/>
          <w:szCs w:val="20"/>
          <w:color w:val="auto"/>
        </w:rPr>
      </w:pPr>
      <w:r>
        <w:rPr>
          <w:rFonts w:ascii="Times New Roman" w:cs="Times New Roman" w:eastAsia="Times New Roman" w:hAnsi="Times New Roman"/>
          <w:sz w:val="22"/>
          <w:szCs w:val="22"/>
          <w:color w:val="auto"/>
        </w:rPr>
        <w:t>305-428-8000</w:t>
      </w:r>
    </w:p>
    <w:sectPr>
      <w:pgSz w:w="11900" w:h="16838" w:orient="portrait"/>
      <w:cols w:equalWidth="0" w:num="1">
        <w:col w:w="11420"/>
      </w:cols>
      <w:pgMar w:left="240" w:top="3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2019-12-05T23:42:12Z</dcterms:created>
  <dcterms:modified xsi:type="dcterms:W3CDTF">2019-12-05T23:42:12Z</dcterms:modified>
</cp:coreProperties>
</file>