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00" w:right="1760" w:hanging="3918"/>
        <w:spacing w:after="0" w:line="587" w:lineRule="auto"/>
        <w:tabs>
          <w:tab w:leader="none" w:pos="33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2020</w:t>
      </w:r>
    </w:p>
    <w:p>
      <w:pPr>
        <w:ind w:left="578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40" w:hanging="314"/>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22"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For the transition period from __________ to ___________</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85725</wp:posOffset>
            </wp:positionV>
            <wp:extent cx="132016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ectPr>
          <w:pgSz w:w="11900" w:h="16838" w:orient="portrait"/>
          <w:cols w:equalWidth="0" w:num="1">
            <w:col w:w="11240"/>
          </w:cols>
          <w:pgMar w:left="320" w:top="989" w:right="339" w:bottom="1440" w:gutter="0" w:footer="0" w:header="0"/>
        </w:sectPr>
      </w:pPr>
    </w:p>
    <w:p>
      <w:pPr>
        <w:spacing w:after="0" w:line="289"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Florida</w:t>
      </w:r>
    </w:p>
    <w:p>
      <w:pPr>
        <w:spacing w:after="0" w:line="67" w:lineRule="exact"/>
        <w:rPr>
          <w:sz w:val="24"/>
          <w:szCs w:val="24"/>
          <w:color w:val="auto"/>
        </w:rPr>
      </w:pPr>
    </w:p>
    <w:p>
      <w:pPr>
        <w:jc w:val="both"/>
        <w:ind w:left="680" w:right="100" w:firstLine="38"/>
        <w:spacing w:after="0" w:line="342"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left="580"/>
        <w:spacing w:after="0"/>
        <w:rPr>
          <w:sz w:val="20"/>
          <w:szCs w:val="20"/>
          <w:color w:val="auto"/>
        </w:rPr>
      </w:pPr>
      <w:r>
        <w:rPr>
          <w:rFonts w:ascii="Arial" w:cs="Arial" w:eastAsia="Arial" w:hAnsi="Arial"/>
          <w:sz w:val="18"/>
          <w:szCs w:val="18"/>
          <w:color w:val="auto"/>
        </w:rPr>
        <w:t>Title of each class</w:t>
      </w:r>
    </w:p>
    <w:p>
      <w:pPr>
        <w:spacing w:after="0" w:line="171" w:lineRule="exact"/>
        <w:rPr>
          <w:sz w:val="24"/>
          <w:szCs w:val="24"/>
          <w:color w:val="auto"/>
        </w:rPr>
      </w:pPr>
    </w:p>
    <w:p>
      <w:pPr>
        <w:jc w:val="center"/>
        <w:ind w:left="580"/>
        <w:spacing w:after="0"/>
        <w:rPr>
          <w:sz w:val="20"/>
          <w:szCs w:val="20"/>
          <w:color w:val="auto"/>
        </w:rPr>
      </w:pPr>
      <w:r>
        <w:rPr>
          <w:rFonts w:ascii="Arial" w:cs="Arial" w:eastAsia="Arial" w:hAnsi="Arial"/>
          <w:sz w:val="16"/>
          <w:szCs w:val="16"/>
          <w:color w:val="auto"/>
        </w:rPr>
        <w:t>Common Stock , $0.01 par value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ind w:left="180"/>
        <w:spacing w:after="0"/>
        <w:rPr>
          <w:sz w:val="20"/>
          <w:szCs w:val="20"/>
          <w:color w:val="auto"/>
        </w:rPr>
      </w:pPr>
      <w:r>
        <w:rPr>
          <w:rFonts w:ascii="Arial" w:cs="Arial" w:eastAsia="Arial" w:hAnsi="Arial"/>
          <w:sz w:val="17"/>
          <w:szCs w:val="17"/>
          <w:color w:val="auto"/>
        </w:rPr>
        <w:t>(Exact name of registrant as specified in its charter)</w:t>
      </w:r>
    </w:p>
    <w:p>
      <w:pPr>
        <w:spacing w:after="0" w:line="55" w:lineRule="exact"/>
        <w:rPr>
          <w:sz w:val="24"/>
          <w:szCs w:val="24"/>
          <w:color w:val="auto"/>
        </w:rPr>
      </w:pPr>
    </w:p>
    <w:p>
      <w:pPr>
        <w:jc w:val="right"/>
        <w:spacing w:after="0"/>
        <w:tabs>
          <w:tab w:leader="none" w:pos="440" w:val="left"/>
        </w:tabs>
        <w:rPr>
          <w:sz w:val="20"/>
          <w:szCs w:val="20"/>
          <w:color w:val="auto"/>
        </w:rPr>
      </w:pPr>
      <w:r>
        <w:rPr>
          <w:rFonts w:ascii="Arial" w:cs="Arial" w:eastAsia="Arial" w:hAnsi="Arial"/>
          <w:sz w:val="18"/>
          <w:szCs w:val="18"/>
          <w:b w:val="1"/>
          <w:bCs w:val="1"/>
          <w:color w:val="auto"/>
        </w:rPr>
        <w:t>9800 N.W. 41st Street, Miami, Florida</w:t>
      </w:r>
      <w:r>
        <w:rPr>
          <w:sz w:val="20"/>
          <w:szCs w:val="20"/>
          <w:color w:val="auto"/>
        </w:rPr>
        <w:tab/>
      </w:r>
      <w:r>
        <w:rPr>
          <w:rFonts w:ascii="Arial" w:cs="Arial" w:eastAsia="Arial" w:hAnsi="Arial"/>
          <w:sz w:val="16"/>
          <w:szCs w:val="16"/>
          <w:b w:val="1"/>
          <w:bCs w:val="1"/>
          <w:color w:val="auto"/>
        </w:rPr>
        <w:t>33178</w:t>
      </w:r>
    </w:p>
    <w:p>
      <w:pPr>
        <w:spacing w:after="0" w:line="175"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(Address of Principal Executive Offices) (Zip Code)</w:t>
      </w:r>
    </w:p>
    <w:p>
      <w:pPr>
        <w:spacing w:after="0" w:line="171" w:lineRule="exact"/>
        <w:rPr>
          <w:sz w:val="24"/>
          <w:szCs w:val="24"/>
          <w:color w:val="auto"/>
        </w:rPr>
      </w:pPr>
    </w:p>
    <w:p>
      <w:pPr>
        <w:ind w:left="180"/>
        <w:spacing w:after="0"/>
        <w:rPr>
          <w:sz w:val="20"/>
          <w:szCs w:val="20"/>
          <w:color w:val="auto"/>
        </w:rPr>
      </w:pPr>
      <w:r>
        <w:rPr>
          <w:rFonts w:ascii="Arial" w:cs="Arial" w:eastAsia="Arial" w:hAnsi="Arial"/>
          <w:sz w:val="17"/>
          <w:szCs w:val="17"/>
          <w:color w:val="auto"/>
        </w:rPr>
        <w:t>Registrant’s telephone number, including area code:</w:t>
      </w:r>
    </w:p>
    <w:p>
      <w:pPr>
        <w:spacing w:after="0" w:line="71" w:lineRule="exact"/>
        <w:rPr>
          <w:sz w:val="24"/>
          <w:szCs w:val="24"/>
          <w:color w:val="auto"/>
        </w:rPr>
      </w:pPr>
    </w:p>
    <w:p>
      <w:pPr>
        <w:ind w:left="1580"/>
        <w:spacing w:after="0"/>
        <w:tabs>
          <w:tab w:leader="none" w:pos="2300" w:val="left"/>
        </w:tabs>
        <w:rPr>
          <w:sz w:val="20"/>
          <w:szCs w:val="20"/>
          <w:color w:val="auto"/>
        </w:rPr>
      </w:pPr>
      <w:r>
        <w:rPr>
          <w:rFonts w:ascii="Arial" w:cs="Arial" w:eastAsia="Arial" w:hAnsi="Arial"/>
          <w:sz w:val="18"/>
          <w:szCs w:val="18"/>
          <w:b w:val="1"/>
          <w:bCs w:val="1"/>
          <w:color w:val="auto"/>
        </w:rPr>
        <w:t>( 305 )</w:t>
      </w:r>
      <w:r>
        <w:rPr>
          <w:sz w:val="20"/>
          <w:szCs w:val="20"/>
          <w:color w:val="auto"/>
        </w:rPr>
        <w:tab/>
      </w:r>
      <w:r>
        <w:rPr>
          <w:rFonts w:ascii="Arial" w:cs="Arial" w:eastAsia="Arial" w:hAnsi="Arial"/>
          <w:sz w:val="16"/>
          <w:szCs w:val="16"/>
          <w:b w:val="1"/>
          <w:bCs w:val="1"/>
          <w:color w:val="auto"/>
        </w:rPr>
        <w:t>428-8000</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83"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Trading Symbol (s)</w:t>
      </w:r>
    </w:p>
    <w:p>
      <w:pPr>
        <w:spacing w:after="0" w:line="171"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INT</w:t>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59-2459427</w:t>
      </w:r>
    </w:p>
    <w:p>
      <w:pPr>
        <w:spacing w:after="0" w:line="67" w:lineRule="exact"/>
        <w:rPr>
          <w:sz w:val="24"/>
          <w:szCs w:val="24"/>
          <w:color w:val="auto"/>
        </w:rPr>
      </w:pPr>
    </w:p>
    <w:p>
      <w:pPr>
        <w:ind w:left="6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Name of each exchange on which</w:t>
      </w:r>
    </w:p>
    <w:p>
      <w:pPr>
        <w:spacing w:after="0" w:line="46"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registered</w:t>
      </w:r>
    </w:p>
    <w:p>
      <w:pPr>
        <w:spacing w:after="0" w:line="4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2960" w:space="620"/>
            <w:col w:w="4280" w:space="420"/>
            <w:col w:w="2960"/>
          </w:cols>
          <w:pgMar w:left="320" w:top="989" w:right="339" w:bottom="144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340"/>
        <w:spacing w:after="0" w:line="196" w:lineRule="exact"/>
        <w:tabs>
          <w:tab w:leader="none" w:pos="92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registrant had a total of 63,489,928 shares of common stock, par value $0.01 per share, issued and outstanding as of 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733425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95"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p>
      <w:pPr>
        <w:ind w:left="20"/>
        <w:spacing w:after="0"/>
        <w:tabs>
          <w:tab w:leader="none" w:pos="78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Part I.</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Financial Information</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Pr>
          <w:p>
            <w:pPr>
              <w:ind w:left="8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3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916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Balance Sheets as of June 30, 2020 and December 31, 2019</w:t>
              </w:r>
            </w:hyperlink>
          </w:p>
        </w:tc>
        <w:tc>
          <w:tcPr>
            <w:tcW w:w="3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29"/>
        </w:trPr>
        <w:tc>
          <w:tcPr>
            <w:tcW w:w="1720" w:type="dxa"/>
            <w:vAlign w:val="bottom"/>
          </w:tcPr>
          <w:p>
            <w:pPr>
              <w:spacing w:after="0"/>
              <w:rPr>
                <w:sz w:val="19"/>
                <w:szCs w:val="19"/>
                <w:color w:val="auto"/>
              </w:rPr>
            </w:pPr>
          </w:p>
        </w:tc>
        <w:tc>
          <w:tcPr>
            <w:tcW w:w="9160" w:type="dxa"/>
            <w:vAlign w:val="bottom"/>
            <w:gridSpan w:val="2"/>
          </w:tcPr>
          <w:p>
            <w:pPr>
              <w:spacing w:after="0"/>
              <w:rPr>
                <w:rFonts w:ascii="Arial" w:cs="Arial" w:eastAsia="Arial" w:hAnsi="Arial"/>
                <w:sz w:val="18"/>
                <w:szCs w:val="18"/>
                <w:u w:val="single" w:color="auto"/>
                <w:color w:val="0000FF"/>
                <w:w w:val="90"/>
              </w:rPr>
            </w:pPr>
            <w:hyperlink w:anchor="page4">
              <w:r>
                <w:rPr>
                  <w:rFonts w:ascii="Arial" w:cs="Arial" w:eastAsia="Arial" w:hAnsi="Arial"/>
                  <w:sz w:val="18"/>
                  <w:szCs w:val="18"/>
                  <w:u w:val="single" w:color="auto"/>
                  <w:color w:val="0000FF"/>
                  <w:w w:val="90"/>
                </w:rPr>
                <w:t>Consolidated Statements of Income and Comprehensive Income for the Three and Six Months ended June 30, 2020 and 2019</w:t>
              </w:r>
            </w:hyperlink>
          </w:p>
        </w:tc>
        <w:tc>
          <w:tcPr>
            <w:tcW w:w="3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30"/>
        </w:trPr>
        <w:tc>
          <w:tcPr>
            <w:tcW w:w="1720" w:type="dxa"/>
            <w:vAlign w:val="bottom"/>
          </w:tcPr>
          <w:p>
            <w:pPr>
              <w:spacing w:after="0"/>
              <w:rPr>
                <w:sz w:val="19"/>
                <w:szCs w:val="19"/>
                <w:color w:val="auto"/>
              </w:rPr>
            </w:pPr>
          </w:p>
        </w:tc>
        <w:tc>
          <w:tcPr>
            <w:tcW w:w="9160" w:type="dxa"/>
            <w:vAlign w:val="bottom"/>
            <w:gridSpan w:val="2"/>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Shareholders’ Equity for the Three and Six Months ended June 30, 2020 and 2019</w:t>
              </w:r>
            </w:hyperlink>
          </w:p>
        </w:tc>
        <w:tc>
          <w:tcPr>
            <w:tcW w:w="3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90"/>
        </w:trPr>
        <w:tc>
          <w:tcPr>
            <w:tcW w:w="1720" w:type="dxa"/>
            <w:vAlign w:val="bottom"/>
          </w:tcPr>
          <w:p>
            <w:pPr>
              <w:spacing w:after="0"/>
              <w:rPr>
                <w:sz w:val="16"/>
                <w:szCs w:val="16"/>
                <w:color w:val="auto"/>
              </w:rPr>
            </w:pPr>
          </w:p>
        </w:tc>
        <w:tc>
          <w:tcPr>
            <w:tcW w:w="9160" w:type="dxa"/>
            <w:vAlign w:val="bottom"/>
            <w:gridSpan w:val="2"/>
          </w:tcPr>
          <w:p>
            <w:pPr>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Consolidated Statements of Cash Flows for the Six Months ended June </w:t>
              </w:r>
            </w:hyperlink>
            <w:r>
              <w:rPr>
                <w:rFonts w:ascii="Arial" w:cs="Arial" w:eastAsia="Arial" w:hAnsi="Arial"/>
                <w:sz w:val="18"/>
                <w:szCs w:val="18"/>
                <w:color w:val="0000FF"/>
              </w:rPr>
              <w:t>30</w:t>
            </w:r>
            <w:hyperlink w:anchor="page7">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2019</w:t>
              </w:r>
            </w:hyperlink>
          </w:p>
        </w:tc>
        <w:tc>
          <w:tcPr>
            <w:tcW w:w="360" w:type="dxa"/>
            <w:vAlign w:val="bottom"/>
          </w:tcPr>
          <w:p>
            <w:pPr>
              <w:jc w:val="right"/>
              <w:spacing w:after="0" w:line="190"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50"/>
        </w:trPr>
        <w:tc>
          <w:tcPr>
            <w:tcW w:w="1720" w:type="dxa"/>
            <w:vAlign w:val="bottom"/>
          </w:tcPr>
          <w:p>
            <w:pPr>
              <w:spacing w:after="0"/>
              <w:rPr>
                <w:sz w:val="21"/>
                <w:szCs w:val="21"/>
                <w:color w:val="auto"/>
              </w:rPr>
            </w:pPr>
          </w:p>
        </w:tc>
        <w:tc>
          <w:tcPr>
            <w:tcW w:w="5340" w:type="dxa"/>
            <w:vAlign w:val="bottom"/>
            <w:tcBorders>
              <w:top w:val="single" w:sz="8" w:color="0000FF"/>
            </w:tcBorders>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the Consolidated Financial Statements</w:t>
              </w:r>
            </w:hyperlink>
          </w:p>
        </w:tc>
        <w:tc>
          <w:tcPr>
            <w:tcW w:w="3820" w:type="dxa"/>
            <w:vAlign w:val="bottom"/>
          </w:tcPr>
          <w:p>
            <w:pPr>
              <w:spacing w:after="0"/>
              <w:rPr>
                <w:sz w:val="21"/>
                <w:szCs w:val="21"/>
                <w:color w:val="auto"/>
              </w:rPr>
            </w:pPr>
          </w:p>
        </w:tc>
        <w:tc>
          <w:tcPr>
            <w:tcW w:w="36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500"/>
        </w:trPr>
        <w:tc>
          <w:tcPr>
            <w:tcW w:w="1720" w:type="dxa"/>
            <w:vAlign w:val="bottom"/>
          </w:tcPr>
          <w:p>
            <w:pPr>
              <w:ind w:left="8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2.</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36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499"/>
        </w:trPr>
        <w:tc>
          <w:tcPr>
            <w:tcW w:w="1720" w:type="dxa"/>
            <w:vAlign w:val="bottom"/>
          </w:tcPr>
          <w:p>
            <w:pPr>
              <w:ind w:left="8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3.</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36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499"/>
        </w:trPr>
        <w:tc>
          <w:tcPr>
            <w:tcW w:w="1720" w:type="dxa"/>
            <w:vAlign w:val="bottom"/>
          </w:tcPr>
          <w:p>
            <w:pPr>
              <w:ind w:left="8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4.</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Controls and Procedures</w:t>
              </w:r>
            </w:hyperlink>
          </w:p>
        </w:tc>
        <w:tc>
          <w:tcPr>
            <w:tcW w:w="360" w:type="dxa"/>
            <w:vAlign w:val="bottom"/>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r>
      <w:tr>
        <w:trPr>
          <w:trHeight w:val="500"/>
        </w:trPr>
        <w:tc>
          <w:tcPr>
            <w:tcW w:w="10880" w:type="dxa"/>
            <w:vAlign w:val="bottom"/>
            <w:gridSpan w:val="3"/>
          </w:tcPr>
          <w:p>
            <w:pPr>
              <w:ind w:left="20"/>
              <w:spacing w:after="0"/>
              <w:rPr>
                <w:rFonts w:ascii="Arial" w:cs="Arial" w:eastAsia="Arial" w:hAnsi="Arial"/>
                <w:sz w:val="18"/>
                <w:szCs w:val="18"/>
                <w:color w:val="0000FF"/>
              </w:rPr>
            </w:pPr>
            <w:hyperlink w:anchor="page42">
              <w:r>
                <w:rPr>
                  <w:rFonts w:ascii="Arial" w:cs="Arial" w:eastAsia="Arial" w:hAnsi="Arial"/>
                  <w:sz w:val="18"/>
                  <w:szCs w:val="18"/>
                  <w:u w:val="single" w:color="auto"/>
                  <w:color w:val="0000FF"/>
                </w:rPr>
                <w:t>Part II</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Other Information</w:t>
              </w:r>
            </w:hyperlink>
          </w:p>
        </w:tc>
        <w:tc>
          <w:tcPr>
            <w:tcW w:w="360" w:type="dxa"/>
            <w:vAlign w:val="bottom"/>
          </w:tcPr>
          <w:p>
            <w:pPr>
              <w:spacing w:after="0"/>
              <w:rPr>
                <w:sz w:val="24"/>
                <w:szCs w:val="24"/>
                <w:color w:val="auto"/>
              </w:rPr>
            </w:pPr>
          </w:p>
        </w:tc>
      </w:tr>
      <w:tr>
        <w:trPr>
          <w:trHeight w:val="499"/>
        </w:trPr>
        <w:tc>
          <w:tcPr>
            <w:tcW w:w="1720" w:type="dxa"/>
            <w:vAlign w:val="bottom"/>
          </w:tcPr>
          <w:p>
            <w:pPr>
              <w:ind w:left="8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Legal Proceedings</w:t>
              </w:r>
            </w:hyperlink>
          </w:p>
        </w:tc>
        <w:tc>
          <w:tcPr>
            <w:tcW w:w="36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499"/>
        </w:trPr>
        <w:tc>
          <w:tcPr>
            <w:tcW w:w="1720" w:type="dxa"/>
            <w:vAlign w:val="bottom"/>
          </w:tcPr>
          <w:p>
            <w:pPr>
              <w:ind w:left="80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1A.</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Risk Factors</w:t>
              </w:r>
            </w:hyperlink>
          </w:p>
        </w:tc>
        <w:tc>
          <w:tcPr>
            <w:tcW w:w="36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39</w:t>
              </w:r>
            </w:hyperlink>
          </w:p>
        </w:tc>
      </w:tr>
      <w:tr>
        <w:trPr>
          <w:trHeight w:val="500"/>
        </w:trPr>
        <w:tc>
          <w:tcPr>
            <w:tcW w:w="1720" w:type="dxa"/>
            <w:vAlign w:val="bottom"/>
          </w:tcPr>
          <w:p>
            <w:pPr>
              <w:ind w:left="80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2.</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Unregistered Sales of Equity Securities and Use of Proceeds</w:t>
              </w:r>
            </w:hyperlink>
          </w:p>
        </w:tc>
        <w:tc>
          <w:tcPr>
            <w:tcW w:w="36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499"/>
        </w:trPr>
        <w:tc>
          <w:tcPr>
            <w:tcW w:w="1720" w:type="dxa"/>
            <w:vAlign w:val="bottom"/>
          </w:tcPr>
          <w:p>
            <w:pPr>
              <w:ind w:left="80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6.</w:t>
              </w:r>
            </w:hyperlink>
          </w:p>
        </w:tc>
        <w:tc>
          <w:tcPr>
            <w:tcW w:w="9160" w:type="dxa"/>
            <w:vAlign w:val="bottom"/>
            <w:gridSpan w:val="2"/>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360" w:type="dxa"/>
            <w:vAlign w:val="bottom"/>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500"/>
        </w:trPr>
        <w:tc>
          <w:tcPr>
            <w:tcW w:w="1720" w:type="dxa"/>
            <w:vAlign w:val="bottom"/>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Signatures</w:t>
              </w:r>
            </w:hyperlink>
          </w:p>
        </w:tc>
        <w:tc>
          <w:tcPr>
            <w:tcW w:w="5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992"/>
        </w:trPr>
        <w:tc>
          <w:tcPr>
            <w:tcW w:w="17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5"/>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645.7</w:t>
            </w: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96"/>
        </w:trPr>
        <w:tc>
          <w:tcPr>
            <w:tcW w:w="810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1,415.9</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2,891.9</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196"/>
        </w:trPr>
        <w:tc>
          <w:tcPr>
            <w:tcW w:w="8100" w:type="dxa"/>
            <w:vAlign w:val="bottom"/>
          </w:tcPr>
          <w:p>
            <w:pPr>
              <w:ind w:left="120"/>
              <w:spacing w:after="0"/>
              <w:rPr>
                <w:sz w:val="20"/>
                <w:szCs w:val="20"/>
                <w:color w:val="auto"/>
              </w:rPr>
            </w:pPr>
            <w:r>
              <w:rPr>
                <w:rFonts w:ascii="Arial" w:cs="Arial" w:eastAsia="Arial" w:hAnsi="Arial"/>
                <w:sz w:val="14"/>
                <w:szCs w:val="14"/>
                <w:color w:val="auto"/>
              </w:rPr>
              <w:t>Prepaid expenses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72.7</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Short-term derivative assets, net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341.8</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358.8</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2,931.4</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4,170.1</w:t>
            </w:r>
          </w:p>
        </w:tc>
        <w:tc>
          <w:tcPr>
            <w:tcW w:w="0" w:type="dxa"/>
            <w:vAlign w:val="bottom"/>
          </w:tcPr>
          <w:p>
            <w:pPr>
              <w:spacing w:after="0"/>
              <w:rPr>
                <w:sz w:val="1"/>
                <w:szCs w:val="1"/>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368.4</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360.9</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913.5</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843.7</w:t>
            </w:r>
          </w:p>
        </w:tc>
        <w:tc>
          <w:tcPr>
            <w:tcW w:w="0" w:type="dxa"/>
            <w:vAlign w:val="bottom"/>
          </w:tcPr>
          <w:p>
            <w:pPr>
              <w:spacing w:after="0"/>
              <w:rPr>
                <w:sz w:val="1"/>
                <w:szCs w:val="1"/>
                <w:color w:val="auto"/>
              </w:rPr>
            </w:pPr>
          </w:p>
        </w:tc>
      </w:tr>
      <w:tr>
        <w:trPr>
          <w:trHeight w:val="19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Identifiable intangible and other non-current assets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667.6</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221"/>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4,881.0</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5,992.4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0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100" w:type="dxa"/>
            <w:vAlign w:val="bottom"/>
          </w:tcPr>
          <w:p>
            <w:pPr>
              <w:ind w:left="120"/>
              <w:spacing w:after="0"/>
              <w:rPr>
                <w:sz w:val="20"/>
                <w:szCs w:val="20"/>
                <w:color w:val="auto"/>
              </w:rPr>
            </w:pPr>
            <w:r>
              <w:rPr>
                <w:rFonts w:ascii="Arial" w:cs="Arial" w:eastAsia="Arial" w:hAnsi="Arial"/>
                <w:sz w:val="14"/>
                <w:szCs w:val="14"/>
                <w:color w:val="auto"/>
              </w:rPr>
              <w:t>Current maturities of long-term debt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53.8</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1,090.4</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2,602.7</w:t>
            </w:r>
          </w:p>
        </w:tc>
        <w:tc>
          <w:tcPr>
            <w:tcW w:w="0" w:type="dxa"/>
            <w:vAlign w:val="bottom"/>
          </w:tcPr>
          <w:p>
            <w:pPr>
              <w:spacing w:after="0"/>
              <w:rPr>
                <w:sz w:val="1"/>
                <w:szCs w:val="1"/>
                <w:color w:val="auto"/>
              </w:rPr>
            </w:pPr>
          </w:p>
        </w:tc>
      </w:tr>
      <w:tr>
        <w:trPr>
          <w:trHeight w:val="197"/>
        </w:trPr>
        <w:tc>
          <w:tcPr>
            <w:tcW w:w="8100" w:type="dxa"/>
            <w:vAlign w:val="bottom"/>
          </w:tcPr>
          <w:p>
            <w:pPr>
              <w:ind w:left="120"/>
              <w:spacing w:after="0"/>
              <w:rPr>
                <w:sz w:val="20"/>
                <w:szCs w:val="20"/>
                <w:color w:val="auto"/>
              </w:rPr>
            </w:pPr>
            <w:r>
              <w:rPr>
                <w:rFonts w:ascii="Arial" w:cs="Arial" w:eastAsia="Arial" w:hAnsi="Arial"/>
                <w:sz w:val="14"/>
                <w:szCs w:val="14"/>
                <w:color w:val="auto"/>
              </w:rPr>
              <w:t>Customer deposits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124.4</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337.9</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378.9</w:t>
            </w:r>
          </w:p>
        </w:tc>
        <w:tc>
          <w:tcPr>
            <w:tcW w:w="0" w:type="dxa"/>
            <w:vAlign w:val="bottom"/>
          </w:tcPr>
          <w:p>
            <w:pPr>
              <w:spacing w:after="0"/>
              <w:rPr>
                <w:sz w:val="1"/>
                <w:szCs w:val="1"/>
                <w:color w:val="auto"/>
              </w:rPr>
            </w:pPr>
          </w:p>
        </w:tc>
      </w:tr>
      <w:tr>
        <w:trPr>
          <w:trHeight w:val="196"/>
        </w:trPr>
        <w:tc>
          <w:tcPr>
            <w:tcW w:w="810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1,606.6</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3,162.4</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574.7</w:t>
            </w:r>
          </w:p>
        </w:tc>
        <w:tc>
          <w:tcPr>
            <w:tcW w:w="0" w:type="dxa"/>
            <w:vAlign w:val="bottom"/>
          </w:tcPr>
          <w:p>
            <w:pPr>
              <w:spacing w:after="0"/>
              <w:rPr>
                <w:sz w:val="1"/>
                <w:szCs w:val="1"/>
                <w:color w:val="auto"/>
              </w:rPr>
            </w:pP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Non-current income tax liabilities, net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211.2</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3,062.7</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4,098.5</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World Fuel shareholders' equity:</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100" w:type="dxa"/>
            <w:vAlign w:val="bottom"/>
          </w:tcPr>
          <w:p>
            <w:pPr>
              <w:ind w:left="140"/>
              <w:spacing w:after="0"/>
              <w:rPr>
                <w:sz w:val="20"/>
                <w:szCs w:val="20"/>
                <w:color w:val="auto"/>
              </w:rPr>
            </w:pPr>
            <w:r>
              <w:rPr>
                <w:rFonts w:ascii="Arial" w:cs="Arial" w:eastAsia="Arial" w:hAnsi="Arial"/>
                <w:sz w:val="14"/>
                <w:szCs w:val="14"/>
                <w:color w:val="auto"/>
              </w:rPr>
              <w:t>Preferred stock, $1.00 par value; 0.1 shares authorized, none issued</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810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4"/>
              </w:rPr>
              <w:t>Common stock, $0.01 par value; 100.0 shares authorized, 63.3 and 65.2 issued and outstanding as of June 30, 2020 and December 31,</w:t>
            </w:r>
          </w:p>
        </w:tc>
        <w:tc>
          <w:tcPr>
            <w:tcW w:w="3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4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8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2019, respectively</w:t>
            </w:r>
          </w:p>
        </w:tc>
        <w:tc>
          <w:tcPr>
            <w:tcW w:w="3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100" w:type="dxa"/>
            <w:vAlign w:val="bottom"/>
          </w:tcPr>
          <w:p>
            <w:pPr>
              <w:ind w:left="120"/>
              <w:spacing w:after="0"/>
              <w:rPr>
                <w:sz w:val="20"/>
                <w:szCs w:val="20"/>
                <w:color w:val="auto"/>
              </w:rPr>
            </w:pPr>
            <w:r>
              <w:rPr>
                <w:rFonts w:ascii="Arial" w:cs="Arial" w:eastAsia="Arial" w:hAnsi="Arial"/>
                <w:sz w:val="14"/>
                <w:szCs w:val="14"/>
                <w:color w:val="auto"/>
              </w:rPr>
              <w:t>Capital in excess of par value</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219.3</w:t>
            </w:r>
          </w:p>
        </w:tc>
        <w:tc>
          <w:tcPr>
            <w:tcW w:w="42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208"/>
        </w:trPr>
        <w:tc>
          <w:tcPr>
            <w:tcW w:w="8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Retained earnings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1,768.6</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1,761.3</w:t>
            </w:r>
          </w:p>
        </w:tc>
        <w:tc>
          <w:tcPr>
            <w:tcW w:w="0" w:type="dxa"/>
            <w:vAlign w:val="bottom"/>
          </w:tcPr>
          <w:p>
            <w:pPr>
              <w:spacing w:after="0"/>
              <w:rPr>
                <w:sz w:val="1"/>
                <w:szCs w:val="1"/>
                <w:color w:val="auto"/>
              </w:rPr>
            </w:pPr>
          </w:p>
        </w:tc>
      </w:tr>
      <w:tr>
        <w:trPr>
          <w:trHeight w:val="197"/>
        </w:trPr>
        <w:tc>
          <w:tcPr>
            <w:tcW w:w="8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(173.5)</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World Fuel shareholders' equity</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1,815.0</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1,890.4</w:t>
            </w:r>
          </w:p>
        </w:tc>
        <w:tc>
          <w:tcPr>
            <w:tcW w:w="0" w:type="dxa"/>
            <w:vAlign w:val="bottom"/>
          </w:tcPr>
          <w:p>
            <w:pPr>
              <w:spacing w:after="0"/>
              <w:rPr>
                <w:sz w:val="1"/>
                <w:szCs w:val="1"/>
                <w:color w:val="auto"/>
              </w:rPr>
            </w:pPr>
          </w:p>
        </w:tc>
      </w:tr>
      <w:tr>
        <w:trPr>
          <w:trHeight w:val="197"/>
        </w:trPr>
        <w:tc>
          <w:tcPr>
            <w:tcW w:w="81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Noncontrolling interest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equity</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1,818.3</w:t>
            </w: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1,893.9</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liabilities and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4,881.0</w:t>
            </w: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5,992.4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gridSpan w:val="3"/>
          </w:tcPr>
          <w:p>
            <w:pPr>
              <w:jc w:val="right"/>
              <w:ind w:right="448"/>
              <w:spacing w:after="0"/>
              <w:rPr>
                <w:sz w:val="20"/>
                <w:szCs w:val="20"/>
                <w:color w:val="auto"/>
              </w:rPr>
            </w:pPr>
            <w:r>
              <w:rPr>
                <w:rFonts w:ascii="Arial" w:cs="Arial" w:eastAsia="Arial" w:hAnsi="Arial"/>
                <w:sz w:val="14"/>
                <w:szCs w:val="14"/>
                <w:color w:val="auto"/>
              </w:rPr>
              <w:t>For the Three Months Ended</w:t>
            </w:r>
          </w:p>
        </w:tc>
        <w:tc>
          <w:tcPr>
            <w:tcW w:w="400" w:type="dxa"/>
            <w:vAlign w:val="bottom"/>
          </w:tcPr>
          <w:p>
            <w:pPr>
              <w:spacing w:after="0"/>
              <w:rPr>
                <w:sz w:val="15"/>
                <w:szCs w:val="15"/>
                <w:color w:val="auto"/>
              </w:rPr>
            </w:pPr>
          </w:p>
        </w:tc>
        <w:tc>
          <w:tcPr>
            <w:tcW w:w="2400" w:type="dxa"/>
            <w:vAlign w:val="bottom"/>
            <w:gridSpan w:val="3"/>
          </w:tcPr>
          <w:p>
            <w:pPr>
              <w:jc w:val="right"/>
              <w:ind w:right="528"/>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3,158.3</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9,459.4</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11,173.5</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18,138.2</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revenue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2,944.5</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9,190.8</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10,700.9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17,618.5</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213.9</w:t>
            </w: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268.6</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472.6</w:t>
            </w: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519.7</w:t>
            </w: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 and employee benefits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95.9</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112.0</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198.3</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96"/>
        </w:trPr>
        <w:tc>
          <w:tcPr>
            <w:tcW w:w="574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84.4</w:t>
            </w:r>
          </w:p>
        </w:tc>
        <w:tc>
          <w:tcPr>
            <w:tcW w:w="440" w:type="dxa"/>
            <w:vAlign w:val="bottom"/>
          </w:tcPr>
          <w:p>
            <w:pPr>
              <w:spacing w:after="0"/>
              <w:rPr>
                <w:sz w:val="17"/>
                <w:szCs w:val="17"/>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79.5</w:t>
            </w:r>
          </w:p>
        </w:tc>
        <w:tc>
          <w:tcPr>
            <w:tcW w:w="4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168.2</w:t>
            </w:r>
          </w:p>
        </w:tc>
        <w:tc>
          <w:tcPr>
            <w:tcW w:w="44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08"/>
        </w:trPr>
        <w:tc>
          <w:tcPr>
            <w:tcW w:w="5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 impairments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18.6</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5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Restructuring charges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193.4</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389.9</w:t>
            </w: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374.1</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Income from operations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75.2</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82.7</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Non-operating expenses, net: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120"/>
              <w:spacing w:after="0"/>
              <w:rPr>
                <w:sz w:val="20"/>
                <w:szCs w:val="20"/>
                <w:color w:val="auto"/>
              </w:rPr>
            </w:pPr>
            <w:r>
              <w:rPr>
                <w:rFonts w:ascii="Arial" w:cs="Arial" w:eastAsia="Arial" w:hAnsi="Arial"/>
                <w:sz w:val="14"/>
                <w:szCs w:val="14"/>
                <w:color w:val="auto"/>
              </w:rPr>
              <w:t>Interest expense and other financing costs, net</w:t>
            </w:r>
          </w:p>
        </w:tc>
        <w:tc>
          <w:tcPr>
            <w:tcW w:w="28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4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4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44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3"/>
        </w:trPr>
        <w:tc>
          <w:tcPr>
            <w:tcW w:w="57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4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19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23.7</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0.6</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World Fuel</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w:t>
            </w:r>
          </w:p>
        </w:tc>
        <w:tc>
          <w:tcPr>
            <w:tcW w:w="4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37.0</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31.2</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Basic earnings per common share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4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0.56</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0.49</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Basic weighted average common shares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63.3</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66.7</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64.1</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common share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(0.16)</w:t>
            </w:r>
          </w:p>
        </w:tc>
        <w:tc>
          <w:tcPr>
            <w:tcW w:w="4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0.55</w:t>
            </w:r>
          </w:p>
        </w:tc>
        <w:tc>
          <w:tcPr>
            <w:tcW w:w="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weighted average common shares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63.3</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67.0</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64.4</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20"/>
              <w:spacing w:after="0"/>
              <w:rPr>
                <w:sz w:val="20"/>
                <w:szCs w:val="20"/>
                <w:color w:val="auto"/>
              </w:rPr>
            </w:pPr>
            <w:r>
              <w:rPr>
                <w:rFonts w:ascii="Arial" w:cs="Arial" w:eastAsia="Arial" w:hAnsi="Arial"/>
                <w:sz w:val="14"/>
                <w:szCs w:val="14"/>
                <w:color w:val="auto"/>
              </w:rPr>
              <w:t>Net income (loss) including noncontrolling interest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37.6</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31.0</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4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28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44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40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44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1"/>
        </w:trPr>
        <w:tc>
          <w:tcPr>
            <w:tcW w:w="57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w w:val="98"/>
              </w:rPr>
              <w:t>Cash flow hedges, net of income tax benefit of $7.2 and benefit of $1.1 for the three months</w:t>
            </w: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ended June 30, 2020 and 2019, respectively, and net of income tax expense of $0.2 and</w:t>
            </w:r>
          </w:p>
        </w:tc>
        <w:tc>
          <w:tcPr>
            <w:tcW w:w="2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4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4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0.7</w:t>
            </w:r>
          </w:p>
        </w:tc>
        <w:tc>
          <w:tcPr>
            <w:tcW w:w="4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6"/>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benefit of $5.2 for the six months ended June 30, 2020 and 2019, respectively</w:t>
            </w: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comprehensive income (loss)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including noncontrolling interest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28.7</w:t>
            </w: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21"/>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World Fuel</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w:t>
            </w:r>
          </w:p>
        </w:tc>
        <w:tc>
          <w:tcPr>
            <w:tcW w:w="4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28.7</w:t>
            </w: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4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(Unaudited -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3"/>
                <w:szCs w:val="13"/>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1440" w:type="dxa"/>
            <w:vAlign w:val="bottom"/>
            <w:gridSpan w:val="3"/>
          </w:tcPr>
          <w:p>
            <w:pPr>
              <w:jc w:val="right"/>
              <w:ind w:right="229"/>
              <w:spacing w:after="0" w:line="140"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2"/>
                <w:szCs w:val="12"/>
                <w:color w:val="auto"/>
              </w:rPr>
            </w:pPr>
          </w:p>
        </w:tc>
        <w:tc>
          <w:tcPr>
            <w:tcW w:w="800" w:type="dxa"/>
            <w:vAlign w:val="bottom"/>
          </w:tcPr>
          <w:p>
            <w:pPr>
              <w:jc w:val="center"/>
              <w:ind w:right="69"/>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2"/>
                <w:szCs w:val="12"/>
                <w:color w:val="auto"/>
              </w:rPr>
            </w:pPr>
          </w:p>
        </w:tc>
        <w:tc>
          <w:tcPr>
            <w:tcW w:w="94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89"/>
              </w:rPr>
              <w:t>World Fuel</w:t>
            </w:r>
          </w:p>
        </w:tc>
        <w:tc>
          <w:tcPr>
            <w:tcW w:w="220" w:type="dxa"/>
            <w:vAlign w:val="bottom"/>
          </w:tcPr>
          <w:p>
            <w:pPr>
              <w:spacing w:after="0"/>
              <w:rPr>
                <w:sz w:val="12"/>
                <w:szCs w:val="12"/>
                <w:color w:val="auto"/>
              </w:rPr>
            </w:pPr>
          </w:p>
        </w:tc>
        <w:tc>
          <w:tcPr>
            <w:tcW w:w="1020" w:type="dxa"/>
            <w:vAlign w:val="bottom"/>
          </w:tcPr>
          <w:p>
            <w:pPr>
              <w:jc w:val="center"/>
              <w:ind w:right="69"/>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restart"/>
          </w:tcPr>
          <w:p>
            <w:pPr>
              <w:jc w:val="center"/>
              <w:ind w:right="89"/>
              <w:spacing w:after="0" w:line="131" w:lineRule="exact"/>
              <w:rPr>
                <w:sz w:val="20"/>
                <w:szCs w:val="20"/>
                <w:color w:val="auto"/>
              </w:rPr>
            </w:pPr>
            <w:r>
              <w:rPr>
                <w:rFonts w:ascii="Arial" w:cs="Arial" w:eastAsia="Arial" w:hAnsi="Arial"/>
                <w:sz w:val="13"/>
                <w:szCs w:val="13"/>
                <w:b w:val="1"/>
                <w:bCs w:val="1"/>
                <w:color w:val="auto"/>
                <w:w w:val="79"/>
              </w:rPr>
              <w:t>Excess of</w:t>
            </w:r>
          </w:p>
        </w:tc>
        <w:tc>
          <w:tcPr>
            <w:tcW w:w="200" w:type="dxa"/>
            <w:vAlign w:val="bottom"/>
          </w:tcPr>
          <w:p>
            <w:pPr>
              <w:spacing w:after="0"/>
              <w:rPr>
                <w:sz w:val="4"/>
                <w:szCs w:val="4"/>
                <w:color w:val="auto"/>
              </w:rPr>
            </w:pPr>
          </w:p>
        </w:tc>
        <w:tc>
          <w:tcPr>
            <w:tcW w:w="660" w:type="dxa"/>
            <w:vAlign w:val="bottom"/>
            <w:vMerge w:val="restart"/>
          </w:tcPr>
          <w:p>
            <w:pPr>
              <w:jc w:val="right"/>
              <w:ind w:right="69"/>
              <w:spacing w:after="0" w:line="131" w:lineRule="exact"/>
              <w:rPr>
                <w:sz w:val="20"/>
                <w:szCs w:val="20"/>
                <w:color w:val="auto"/>
              </w:rPr>
            </w:pPr>
            <w:r>
              <w:rPr>
                <w:rFonts w:ascii="Arial" w:cs="Arial" w:eastAsia="Arial" w:hAnsi="Arial"/>
                <w:sz w:val="13"/>
                <w:szCs w:val="13"/>
                <w:b w:val="1"/>
                <w:bCs w:val="1"/>
                <w:color w:val="auto"/>
                <w:w w:val="90"/>
              </w:rPr>
              <w:t>Retained</w:t>
            </w:r>
          </w:p>
        </w:tc>
        <w:tc>
          <w:tcPr>
            <w:tcW w:w="240" w:type="dxa"/>
            <w:vAlign w:val="bottom"/>
          </w:tcPr>
          <w:p>
            <w:pPr>
              <w:spacing w:after="0"/>
              <w:rPr>
                <w:sz w:val="4"/>
                <w:szCs w:val="4"/>
                <w:color w:val="auto"/>
              </w:rPr>
            </w:pPr>
          </w:p>
        </w:tc>
        <w:tc>
          <w:tcPr>
            <w:tcW w:w="1060" w:type="dxa"/>
            <w:vAlign w:val="bottom"/>
            <w:vMerge w:val="restart"/>
          </w:tcPr>
          <w:p>
            <w:pPr>
              <w:jc w:val="center"/>
              <w:ind w:right="7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220" w:type="dxa"/>
            <w:vAlign w:val="bottom"/>
          </w:tcPr>
          <w:p>
            <w:pPr>
              <w:spacing w:after="0"/>
              <w:rPr>
                <w:sz w:val="4"/>
                <w:szCs w:val="4"/>
                <w:color w:val="auto"/>
              </w:rPr>
            </w:pPr>
          </w:p>
        </w:tc>
        <w:tc>
          <w:tcPr>
            <w:tcW w:w="940" w:type="dxa"/>
            <w:vAlign w:val="bottom"/>
            <w:vMerge w:val="restart"/>
          </w:tcPr>
          <w:p>
            <w:pPr>
              <w:jc w:val="center"/>
              <w:ind w:right="50"/>
              <w:spacing w:after="0" w:line="131" w:lineRule="exact"/>
              <w:rPr>
                <w:sz w:val="20"/>
                <w:szCs w:val="20"/>
                <w:color w:val="auto"/>
              </w:rPr>
            </w:pPr>
            <w:r>
              <w:rPr>
                <w:rFonts w:ascii="Arial" w:cs="Arial" w:eastAsia="Arial" w:hAnsi="Arial"/>
                <w:sz w:val="13"/>
                <w:szCs w:val="13"/>
                <w:b w:val="1"/>
                <w:bCs w:val="1"/>
                <w:color w:val="auto"/>
                <w:w w:val="85"/>
              </w:rPr>
              <w:t>Shareholders'</w:t>
            </w:r>
          </w:p>
        </w:tc>
        <w:tc>
          <w:tcPr>
            <w:tcW w:w="220" w:type="dxa"/>
            <w:vAlign w:val="bottom"/>
          </w:tcPr>
          <w:p>
            <w:pPr>
              <w:spacing w:after="0"/>
              <w:rPr>
                <w:sz w:val="4"/>
                <w:szCs w:val="4"/>
                <w:color w:val="auto"/>
              </w:rPr>
            </w:pPr>
          </w:p>
        </w:tc>
        <w:tc>
          <w:tcPr>
            <w:tcW w:w="1020" w:type="dxa"/>
            <w:vAlign w:val="bottom"/>
            <w:vMerge w:val="restart"/>
          </w:tcPr>
          <w:p>
            <w:pPr>
              <w:jc w:val="center"/>
              <w:ind w:right="89"/>
              <w:spacing w:after="0" w:line="131" w:lineRule="exact"/>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5"/>
              </w:rPr>
              <w:t>Amount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7"/>
              </w:rPr>
              <w:t>Par Value</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Earnings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Equity</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65.2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274.7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1,761.3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(146.3)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1,890.4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1,893.9</w:t>
            </w: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Cumulative effect of change in accounting</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120"/>
              <w:spacing w:after="0"/>
              <w:rPr>
                <w:sz w:val="20"/>
                <w:szCs w:val="20"/>
                <w:color w:val="auto"/>
              </w:rPr>
            </w:pPr>
            <w:r>
              <w:rPr>
                <w:rFonts w:ascii="Arial" w:cs="Arial" w:eastAsia="Arial" w:hAnsi="Arial"/>
                <w:sz w:val="14"/>
                <w:szCs w:val="14"/>
                <w:color w:val="auto"/>
              </w:rPr>
              <w:t>principle</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41.4</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41.4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6"/>
        </w:trPr>
        <w:tc>
          <w:tcPr>
            <w:tcW w:w="3000" w:type="dxa"/>
            <w:vAlign w:val="bottom"/>
          </w:tcPr>
          <w:p>
            <w:pPr>
              <w:ind w:left="120"/>
              <w:spacing w:after="0"/>
              <w:rPr>
                <w:sz w:val="20"/>
                <w:szCs w:val="20"/>
                <w:color w:val="auto"/>
              </w:rPr>
            </w:pPr>
            <w:r>
              <w:rPr>
                <w:rFonts w:ascii="Arial" w:cs="Arial" w:eastAsia="Arial" w:hAnsi="Arial"/>
                <w:sz w:val="14"/>
                <w:szCs w:val="14"/>
                <w:color w:val="auto"/>
              </w:rPr>
              <w:t>Cash dividends declared</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(6.5)</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share-based payment awards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w w:val="95"/>
              </w:rPr>
              <w:t>Issuance (cancellation) of common stock related</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120"/>
              <w:spacing w:after="0"/>
              <w:rPr>
                <w:sz w:val="20"/>
                <w:szCs w:val="20"/>
                <w:color w:val="auto"/>
              </w:rPr>
            </w:pPr>
            <w:r>
              <w:rPr>
                <w:rFonts w:ascii="Arial" w:cs="Arial" w:eastAsia="Arial" w:hAnsi="Arial"/>
                <w:sz w:val="14"/>
                <w:szCs w:val="14"/>
                <w:color w:val="auto"/>
              </w:rPr>
              <w:t>to share-based payment awards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3"/>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common stock tendered by</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related to share-based payment awards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7"/>
        </w:trPr>
        <w:tc>
          <w:tcPr>
            <w:tcW w:w="3000" w:type="dxa"/>
            <w:vAlign w:val="bottom"/>
          </w:tcPr>
          <w:p>
            <w:pPr>
              <w:ind w:left="120"/>
              <w:spacing w:after="0"/>
              <w:rPr>
                <w:sz w:val="20"/>
                <w:szCs w:val="20"/>
                <w:color w:val="auto"/>
              </w:rPr>
            </w:pPr>
            <w:r>
              <w:rPr>
                <w:rFonts w:ascii="Arial" w:cs="Arial" w:eastAsia="Arial" w:hAnsi="Arial"/>
                <w:sz w:val="14"/>
                <w:szCs w:val="14"/>
                <w:color w:val="auto"/>
              </w:rPr>
              <w:t>Purchases of common stock</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(55.6)</w:t>
            </w:r>
          </w:p>
        </w:tc>
        <w:tc>
          <w:tcPr>
            <w:tcW w:w="20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(55.6)</w:t>
            </w:r>
          </w:p>
        </w:tc>
        <w:tc>
          <w:tcPr>
            <w:tcW w:w="2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7"/>
        </w:trPr>
        <w:tc>
          <w:tcPr>
            <w:tcW w:w="30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2020</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218.2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1,785.1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1,846.4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1,850.1</w:t>
            </w:r>
          </w:p>
        </w:tc>
        <w:tc>
          <w:tcPr>
            <w:tcW w:w="0" w:type="dxa"/>
            <w:vAlign w:val="bottom"/>
          </w:tcPr>
          <w:p>
            <w:pPr>
              <w:spacing w:after="0"/>
              <w:rPr>
                <w:sz w:val="1"/>
                <w:szCs w:val="1"/>
                <w:color w:val="auto"/>
              </w:rPr>
            </w:pPr>
          </w:p>
        </w:tc>
      </w:tr>
      <w:tr>
        <w:trPr>
          <w:trHeight w:val="197"/>
        </w:trPr>
        <w:tc>
          <w:tcPr>
            <w:tcW w:w="300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dividends declared</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7"/>
        </w:trPr>
        <w:tc>
          <w:tcPr>
            <w:tcW w:w="3000" w:type="dxa"/>
            <w:vAlign w:val="bottom"/>
          </w:tcPr>
          <w:p>
            <w:pPr>
              <w:ind w:left="120"/>
              <w:spacing w:after="0"/>
              <w:rPr>
                <w:sz w:val="20"/>
                <w:szCs w:val="20"/>
                <w:color w:val="auto"/>
              </w:rPr>
            </w:pPr>
            <w:r>
              <w:rPr>
                <w:rFonts w:ascii="Arial" w:cs="Arial" w:eastAsia="Arial" w:hAnsi="Arial"/>
                <w:sz w:val="14"/>
                <w:szCs w:val="14"/>
                <w:color w:val="auto"/>
              </w:rPr>
              <w:t>Amortization of share-based payment awards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3"/>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Issuance (cancellation) of common stock related</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 share-based payment awards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Purchases of common stock tendered by</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2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120"/>
              <w:spacing w:after="0"/>
              <w:rPr>
                <w:sz w:val="20"/>
                <w:szCs w:val="20"/>
                <w:color w:val="auto"/>
              </w:rPr>
            </w:pPr>
            <w:r>
              <w:rPr>
                <w:rFonts w:ascii="Arial" w:cs="Arial" w:eastAsia="Arial" w:hAnsi="Arial"/>
                <w:sz w:val="14"/>
                <w:szCs w:val="14"/>
                <w:color w:val="auto"/>
              </w:rPr>
              <w:t>taxes related to share-based payment awards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(16.0)</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(16.0)</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June 30, 2020</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1,768.6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1,815.0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1,818.3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3"/>
                <w:szCs w:val="13"/>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00" w:type="dxa"/>
            <w:vAlign w:val="bottom"/>
          </w:tcPr>
          <w:p>
            <w:pPr>
              <w:spacing w:after="0"/>
              <w:rPr>
                <w:sz w:val="12"/>
                <w:szCs w:val="12"/>
                <w:color w:val="auto"/>
              </w:rPr>
            </w:pPr>
          </w:p>
        </w:tc>
        <w:tc>
          <w:tcPr>
            <w:tcW w:w="1440" w:type="dxa"/>
            <w:vAlign w:val="bottom"/>
            <w:gridSpan w:val="3"/>
          </w:tcPr>
          <w:p>
            <w:pPr>
              <w:jc w:val="right"/>
              <w:ind w:right="229"/>
              <w:spacing w:after="0" w:line="140" w:lineRule="exact"/>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2"/>
                <w:szCs w:val="12"/>
                <w:color w:val="auto"/>
              </w:rPr>
            </w:pPr>
          </w:p>
        </w:tc>
        <w:tc>
          <w:tcPr>
            <w:tcW w:w="800" w:type="dxa"/>
            <w:vAlign w:val="bottom"/>
          </w:tcPr>
          <w:p>
            <w:pPr>
              <w:jc w:val="center"/>
              <w:ind w:right="69"/>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2"/>
                <w:szCs w:val="12"/>
                <w:color w:val="auto"/>
              </w:rPr>
            </w:pPr>
          </w:p>
        </w:tc>
        <w:tc>
          <w:tcPr>
            <w:tcW w:w="940" w:type="dxa"/>
            <w:vAlign w:val="bottom"/>
          </w:tcPr>
          <w:p>
            <w:pPr>
              <w:jc w:val="center"/>
              <w:ind w:right="70"/>
              <w:spacing w:after="0" w:line="140" w:lineRule="exact"/>
              <w:rPr>
                <w:sz w:val="20"/>
                <w:szCs w:val="20"/>
                <w:color w:val="auto"/>
              </w:rPr>
            </w:pPr>
            <w:r>
              <w:rPr>
                <w:rFonts w:ascii="Arial" w:cs="Arial" w:eastAsia="Arial" w:hAnsi="Arial"/>
                <w:sz w:val="13"/>
                <w:szCs w:val="13"/>
                <w:b w:val="1"/>
                <w:bCs w:val="1"/>
                <w:color w:val="auto"/>
                <w:w w:val="89"/>
              </w:rPr>
              <w:t>World Fuel</w:t>
            </w:r>
          </w:p>
        </w:tc>
        <w:tc>
          <w:tcPr>
            <w:tcW w:w="220" w:type="dxa"/>
            <w:vAlign w:val="bottom"/>
          </w:tcPr>
          <w:p>
            <w:pPr>
              <w:spacing w:after="0"/>
              <w:rPr>
                <w:sz w:val="12"/>
                <w:szCs w:val="12"/>
                <w:color w:val="auto"/>
              </w:rPr>
            </w:pPr>
          </w:p>
        </w:tc>
        <w:tc>
          <w:tcPr>
            <w:tcW w:w="1020" w:type="dxa"/>
            <w:vAlign w:val="bottom"/>
          </w:tcPr>
          <w:p>
            <w:pPr>
              <w:jc w:val="center"/>
              <w:ind w:right="69"/>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restart"/>
          </w:tcPr>
          <w:p>
            <w:pPr>
              <w:jc w:val="center"/>
              <w:ind w:right="89"/>
              <w:spacing w:after="0" w:line="131" w:lineRule="exact"/>
              <w:rPr>
                <w:sz w:val="20"/>
                <w:szCs w:val="20"/>
                <w:color w:val="auto"/>
              </w:rPr>
            </w:pPr>
            <w:r>
              <w:rPr>
                <w:rFonts w:ascii="Arial" w:cs="Arial" w:eastAsia="Arial" w:hAnsi="Arial"/>
                <w:sz w:val="13"/>
                <w:szCs w:val="13"/>
                <w:b w:val="1"/>
                <w:bCs w:val="1"/>
                <w:color w:val="auto"/>
                <w:w w:val="79"/>
              </w:rPr>
              <w:t>Excess of</w:t>
            </w:r>
          </w:p>
        </w:tc>
        <w:tc>
          <w:tcPr>
            <w:tcW w:w="200" w:type="dxa"/>
            <w:vAlign w:val="bottom"/>
          </w:tcPr>
          <w:p>
            <w:pPr>
              <w:spacing w:after="0"/>
              <w:rPr>
                <w:sz w:val="4"/>
                <w:szCs w:val="4"/>
                <w:color w:val="auto"/>
              </w:rPr>
            </w:pPr>
          </w:p>
        </w:tc>
        <w:tc>
          <w:tcPr>
            <w:tcW w:w="660" w:type="dxa"/>
            <w:vAlign w:val="bottom"/>
            <w:vMerge w:val="restart"/>
          </w:tcPr>
          <w:p>
            <w:pPr>
              <w:jc w:val="right"/>
              <w:ind w:right="69"/>
              <w:spacing w:after="0" w:line="131" w:lineRule="exact"/>
              <w:rPr>
                <w:sz w:val="20"/>
                <w:szCs w:val="20"/>
                <w:color w:val="auto"/>
              </w:rPr>
            </w:pPr>
            <w:r>
              <w:rPr>
                <w:rFonts w:ascii="Arial" w:cs="Arial" w:eastAsia="Arial" w:hAnsi="Arial"/>
                <w:sz w:val="13"/>
                <w:szCs w:val="13"/>
                <w:b w:val="1"/>
                <w:bCs w:val="1"/>
                <w:color w:val="auto"/>
                <w:w w:val="90"/>
              </w:rPr>
              <w:t>Retained</w:t>
            </w:r>
          </w:p>
        </w:tc>
        <w:tc>
          <w:tcPr>
            <w:tcW w:w="240" w:type="dxa"/>
            <w:vAlign w:val="bottom"/>
          </w:tcPr>
          <w:p>
            <w:pPr>
              <w:spacing w:after="0"/>
              <w:rPr>
                <w:sz w:val="4"/>
                <w:szCs w:val="4"/>
                <w:color w:val="auto"/>
              </w:rPr>
            </w:pPr>
          </w:p>
        </w:tc>
        <w:tc>
          <w:tcPr>
            <w:tcW w:w="1060" w:type="dxa"/>
            <w:vAlign w:val="bottom"/>
            <w:vMerge w:val="restart"/>
          </w:tcPr>
          <w:p>
            <w:pPr>
              <w:jc w:val="center"/>
              <w:ind w:right="7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220" w:type="dxa"/>
            <w:vAlign w:val="bottom"/>
          </w:tcPr>
          <w:p>
            <w:pPr>
              <w:spacing w:after="0"/>
              <w:rPr>
                <w:sz w:val="4"/>
                <w:szCs w:val="4"/>
                <w:color w:val="auto"/>
              </w:rPr>
            </w:pPr>
          </w:p>
        </w:tc>
        <w:tc>
          <w:tcPr>
            <w:tcW w:w="940" w:type="dxa"/>
            <w:vAlign w:val="bottom"/>
            <w:vMerge w:val="restart"/>
          </w:tcPr>
          <w:p>
            <w:pPr>
              <w:jc w:val="center"/>
              <w:ind w:right="50"/>
              <w:spacing w:after="0" w:line="131" w:lineRule="exact"/>
              <w:rPr>
                <w:sz w:val="20"/>
                <w:szCs w:val="20"/>
                <w:color w:val="auto"/>
              </w:rPr>
            </w:pPr>
            <w:r>
              <w:rPr>
                <w:rFonts w:ascii="Arial" w:cs="Arial" w:eastAsia="Arial" w:hAnsi="Arial"/>
                <w:sz w:val="13"/>
                <w:szCs w:val="13"/>
                <w:b w:val="1"/>
                <w:bCs w:val="1"/>
                <w:color w:val="auto"/>
                <w:w w:val="85"/>
              </w:rPr>
              <w:t>Shareholders'</w:t>
            </w:r>
          </w:p>
        </w:tc>
        <w:tc>
          <w:tcPr>
            <w:tcW w:w="220" w:type="dxa"/>
            <w:vAlign w:val="bottom"/>
          </w:tcPr>
          <w:p>
            <w:pPr>
              <w:spacing w:after="0"/>
              <w:rPr>
                <w:sz w:val="4"/>
                <w:szCs w:val="4"/>
                <w:color w:val="auto"/>
              </w:rPr>
            </w:pPr>
          </w:p>
        </w:tc>
        <w:tc>
          <w:tcPr>
            <w:tcW w:w="1020" w:type="dxa"/>
            <w:vAlign w:val="bottom"/>
            <w:vMerge w:val="restart"/>
          </w:tcPr>
          <w:p>
            <w:pPr>
              <w:jc w:val="center"/>
              <w:ind w:right="89"/>
              <w:spacing w:after="0" w:line="131" w:lineRule="exact"/>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0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0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5"/>
              </w:rPr>
              <w:t>Amount</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7"/>
              </w:rPr>
              <w:t>Par Value</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Earnings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78"/>
              </w:rPr>
              <w:t>Loss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Equity</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67.0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1,606.1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1,815.4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1,831.6</w:t>
            </w:r>
          </w:p>
        </w:tc>
        <w:tc>
          <w:tcPr>
            <w:tcW w:w="0" w:type="dxa"/>
            <w:vAlign w:val="bottom"/>
          </w:tcPr>
          <w:p>
            <w:pPr>
              <w:spacing w:after="0"/>
              <w:rPr>
                <w:sz w:val="1"/>
                <w:szCs w:val="1"/>
                <w:color w:val="auto"/>
              </w:rPr>
            </w:pPr>
          </w:p>
        </w:tc>
      </w:tr>
      <w:tr>
        <w:trPr>
          <w:trHeight w:val="197"/>
        </w:trPr>
        <w:tc>
          <w:tcPr>
            <w:tcW w:w="300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37.2</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37.2</w:t>
            </w:r>
          </w:p>
        </w:tc>
        <w:tc>
          <w:tcPr>
            <w:tcW w:w="2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dividends declared</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97"/>
        </w:trPr>
        <w:tc>
          <w:tcPr>
            <w:tcW w:w="3000" w:type="dxa"/>
            <w:vAlign w:val="bottom"/>
          </w:tcPr>
          <w:p>
            <w:pPr>
              <w:ind w:left="120"/>
              <w:spacing w:after="0"/>
              <w:rPr>
                <w:sz w:val="20"/>
                <w:szCs w:val="20"/>
                <w:color w:val="auto"/>
              </w:rPr>
            </w:pPr>
            <w:r>
              <w:rPr>
                <w:rFonts w:ascii="Arial" w:cs="Arial" w:eastAsia="Arial" w:hAnsi="Arial"/>
                <w:sz w:val="14"/>
                <w:szCs w:val="14"/>
                <w:color w:val="auto"/>
              </w:rPr>
              <w:t>Amortization of share-based payment awards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3"/>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Issuance (cancellation) of common stock related</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 share-based payment awards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rPr>
              <w:t>Purchases of common stock tendered by</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2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120"/>
              <w:spacing w:after="0"/>
              <w:rPr>
                <w:sz w:val="20"/>
                <w:szCs w:val="20"/>
                <w:color w:val="auto"/>
              </w:rPr>
            </w:pPr>
            <w:r>
              <w:rPr>
                <w:rFonts w:ascii="Arial" w:cs="Arial" w:eastAsia="Arial" w:hAnsi="Arial"/>
                <w:sz w:val="14"/>
                <w:szCs w:val="14"/>
                <w:color w:val="auto"/>
              </w:rPr>
              <w:t>taxes related to share-based payment awards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6"/>
        </w:trPr>
        <w:tc>
          <w:tcPr>
            <w:tcW w:w="3000" w:type="dxa"/>
            <w:vAlign w:val="bottom"/>
          </w:tcPr>
          <w:p>
            <w:pPr>
              <w:ind w:left="20"/>
              <w:spacing w:after="0"/>
              <w:rPr>
                <w:sz w:val="20"/>
                <w:szCs w:val="20"/>
                <w:color w:val="auto"/>
              </w:rPr>
            </w:pPr>
            <w:r>
              <w:rPr>
                <w:rFonts w:ascii="Arial" w:cs="Arial" w:eastAsia="Arial" w:hAnsi="Arial"/>
                <w:sz w:val="14"/>
                <w:szCs w:val="14"/>
                <w:color w:val="auto"/>
              </w:rPr>
              <w:t>Balance as of March 31, 2019</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67.1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0.7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343.0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1,639.3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(142.7)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1,840.3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15.5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1,855.8</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37.0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96"/>
        </w:trPr>
        <w:tc>
          <w:tcPr>
            <w:tcW w:w="3000" w:type="dxa"/>
            <w:vAlign w:val="bottom"/>
          </w:tcPr>
          <w:p>
            <w:pPr>
              <w:ind w:left="120"/>
              <w:spacing w:after="0"/>
              <w:rPr>
                <w:sz w:val="20"/>
                <w:szCs w:val="20"/>
                <w:color w:val="auto"/>
              </w:rPr>
            </w:pPr>
            <w:r>
              <w:rPr>
                <w:rFonts w:ascii="Arial" w:cs="Arial" w:eastAsia="Arial" w:hAnsi="Arial"/>
                <w:sz w:val="14"/>
                <w:szCs w:val="14"/>
                <w:color w:val="auto"/>
              </w:rPr>
              <w:t>Cash dividends declared</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(6.6)</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Amortization of share-based payment awards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7"/>
        </w:trPr>
        <w:tc>
          <w:tcPr>
            <w:tcW w:w="3000" w:type="dxa"/>
            <w:vAlign w:val="bottom"/>
          </w:tcPr>
          <w:p>
            <w:pPr>
              <w:ind w:left="120"/>
              <w:spacing w:after="0" w:line="157" w:lineRule="exact"/>
              <w:rPr>
                <w:sz w:val="20"/>
                <w:szCs w:val="20"/>
                <w:color w:val="auto"/>
              </w:rPr>
            </w:pPr>
            <w:r>
              <w:rPr>
                <w:rFonts w:ascii="Arial" w:cs="Arial" w:eastAsia="Arial" w:hAnsi="Arial"/>
                <w:sz w:val="14"/>
                <w:szCs w:val="14"/>
                <w:color w:val="auto"/>
                <w:w w:val="95"/>
              </w:rPr>
              <w:t>Issuance (cancellation) of common stock related</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120"/>
              <w:spacing w:after="0"/>
              <w:rPr>
                <w:sz w:val="20"/>
                <w:szCs w:val="20"/>
                <w:color w:val="auto"/>
              </w:rPr>
            </w:pPr>
            <w:r>
              <w:rPr>
                <w:rFonts w:ascii="Arial" w:cs="Arial" w:eastAsia="Arial" w:hAnsi="Arial"/>
                <w:sz w:val="14"/>
                <w:szCs w:val="14"/>
                <w:color w:val="auto"/>
              </w:rPr>
              <w:t>to share-based payment awards</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3"/>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common stock tendered by</w:t>
            </w: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related to share-based payment awards</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7"/>
        </w:trPr>
        <w:tc>
          <w:tcPr>
            <w:tcW w:w="3000" w:type="dxa"/>
            <w:vAlign w:val="bottom"/>
          </w:tcPr>
          <w:p>
            <w:pPr>
              <w:ind w:left="120"/>
              <w:spacing w:after="0"/>
              <w:rPr>
                <w:sz w:val="20"/>
                <w:szCs w:val="20"/>
                <w:color w:val="auto"/>
              </w:rPr>
            </w:pPr>
            <w:r>
              <w:rPr>
                <w:rFonts w:ascii="Arial" w:cs="Arial" w:eastAsia="Arial" w:hAnsi="Arial"/>
                <w:sz w:val="14"/>
                <w:szCs w:val="14"/>
                <w:color w:val="auto"/>
              </w:rPr>
              <w:t>Purchases of common stock</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7"/>
                <w:szCs w:val="17"/>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(65.4)</w:t>
            </w:r>
          </w:p>
        </w:tc>
        <w:tc>
          <w:tcPr>
            <w:tcW w:w="200" w:type="dxa"/>
            <w:vAlign w:val="bottom"/>
          </w:tcPr>
          <w:p>
            <w:pPr>
              <w:spacing w:after="0"/>
              <w:rPr>
                <w:sz w:val="17"/>
                <w:szCs w:val="17"/>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(65.4)</w:t>
            </w:r>
          </w:p>
        </w:tc>
        <w:tc>
          <w:tcPr>
            <w:tcW w:w="220" w:type="dxa"/>
            <w:vAlign w:val="bottom"/>
          </w:tcPr>
          <w:p>
            <w:pPr>
              <w:spacing w:after="0"/>
              <w:rPr>
                <w:sz w:val="17"/>
                <w:szCs w:val="17"/>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w:t>
            </w: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(8.9)</w:t>
            </w: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June 30, 2019</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280.7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1,669.7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1,799.4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1,815.6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 months ended June 30, 2020, the Company's Board of Directors declared quarterly cash dividends of $0.10 per common share representing $6.5 million and $6.3 million in total dividends, which were paid on April 9, 2020 and July 2, 2020 respectively. During the six months ended June 30, 2019, the Company's Board of Directors declared quarterly cash dividends of $0.06 and $0.10 per common share representing $4.0 million and $6.6 million in total dividends, which were paid on April 12, 2019 and July 5, 2019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196"/>
        </w:trPr>
        <w:tc>
          <w:tcPr>
            <w:tcW w:w="83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69"/>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196"/>
        </w:trPr>
        <w:tc>
          <w:tcPr>
            <w:tcW w:w="8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income including noncontrolling interest</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31.0</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74.9</w:t>
            </w:r>
          </w:p>
        </w:tc>
      </w:tr>
      <w:tr>
        <w:trPr>
          <w:trHeight w:val="270"/>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197"/>
        </w:trPr>
        <w:tc>
          <w:tcPr>
            <w:tcW w:w="83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44.2</w:t>
            </w:r>
          </w:p>
        </w:tc>
        <w:tc>
          <w:tcPr>
            <w:tcW w:w="4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43.1</w:t>
            </w:r>
          </w:p>
        </w:tc>
      </w:tr>
      <w:tr>
        <w:trPr>
          <w:trHeight w:val="208"/>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bad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r>
      <w:tr>
        <w:trPr>
          <w:trHeight w:val="197"/>
        </w:trPr>
        <w:tc>
          <w:tcPr>
            <w:tcW w:w="8300" w:type="dxa"/>
            <w:vAlign w:val="bottom"/>
          </w:tcPr>
          <w:p>
            <w:pPr>
              <w:ind w:left="220"/>
              <w:spacing w:after="0"/>
              <w:rPr>
                <w:sz w:val="20"/>
                <w:szCs w:val="20"/>
                <w:color w:val="auto"/>
              </w:rPr>
            </w:pPr>
            <w:r>
              <w:rPr>
                <w:rFonts w:ascii="Arial" w:cs="Arial" w:eastAsia="Arial" w:hAnsi="Arial"/>
                <w:sz w:val="14"/>
                <w:szCs w:val="14"/>
                <w:color w:val="auto"/>
              </w:rPr>
              <w:t>Share-based payment award compensation costs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4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7.7</w:t>
            </w:r>
          </w:p>
        </w:tc>
      </w:tr>
      <w:tr>
        <w:trPr>
          <w:trHeight w:val="208"/>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 tax expense (benefit)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r>
      <w:tr>
        <w:trPr>
          <w:trHeight w:val="197"/>
        </w:trPr>
        <w:tc>
          <w:tcPr>
            <w:tcW w:w="8300" w:type="dxa"/>
            <w:vAlign w:val="bottom"/>
          </w:tcPr>
          <w:p>
            <w:pPr>
              <w:ind w:left="220"/>
              <w:spacing w:after="0"/>
              <w:rPr>
                <w:sz w:val="20"/>
                <w:szCs w:val="20"/>
                <w:color w:val="auto"/>
              </w:rPr>
            </w:pPr>
            <w:r>
              <w:rPr>
                <w:rFonts w:ascii="Arial" w:cs="Arial" w:eastAsia="Arial" w:hAnsi="Arial"/>
                <w:sz w:val="14"/>
                <w:szCs w:val="14"/>
                <w:color w:val="auto"/>
              </w:rPr>
              <w:t>Foreign currency (gains) losses, net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4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2.1</w:t>
            </w:r>
          </w:p>
        </w:tc>
      </w:tr>
      <w:tr>
        <w:trPr>
          <w:trHeight w:val="208"/>
        </w:trPr>
        <w:tc>
          <w:tcPr>
            <w:tcW w:w="8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264"/>
        </w:trPr>
        <w:tc>
          <w:tcPr>
            <w:tcW w:w="830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acquisitions: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8"/>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1,462.6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197"/>
        </w:trPr>
        <w:tc>
          <w:tcPr>
            <w:tcW w:w="830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282.8</w:t>
            </w: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(40.4)</w:t>
            </w:r>
          </w:p>
        </w:tc>
      </w:tr>
      <w:tr>
        <w:trPr>
          <w:trHeight w:val="208"/>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197"/>
        </w:trPr>
        <w:tc>
          <w:tcPr>
            <w:tcW w:w="8300" w:type="dxa"/>
            <w:vAlign w:val="bottom"/>
          </w:tcPr>
          <w:p>
            <w:pPr>
              <w:ind w:left="340"/>
              <w:spacing w:after="0"/>
              <w:rPr>
                <w:sz w:val="20"/>
                <w:szCs w:val="20"/>
                <w:color w:val="auto"/>
              </w:rPr>
            </w:pPr>
            <w:r>
              <w:rPr>
                <w:rFonts w:ascii="Arial" w:cs="Arial" w:eastAsia="Arial" w:hAnsi="Arial"/>
                <w:sz w:val="14"/>
                <w:szCs w:val="14"/>
                <w:color w:val="auto"/>
              </w:rPr>
              <w:t>Short-term derivative assets, net</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(110.4)</w:t>
            </w:r>
          </w:p>
        </w:tc>
        <w:tc>
          <w:tcPr>
            <w:tcW w:w="4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167.6</w:t>
            </w:r>
          </w:p>
        </w:tc>
      </w:tr>
      <w:tr>
        <w:trPr>
          <w:trHeight w:val="208"/>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w:t>
            </w:r>
          </w:p>
        </w:tc>
      </w:tr>
      <w:tr>
        <w:trPr>
          <w:trHeight w:val="197"/>
        </w:trPr>
        <w:tc>
          <w:tcPr>
            <w:tcW w:w="8300" w:type="dxa"/>
            <w:vAlign w:val="bottom"/>
          </w:tcPr>
          <w:p>
            <w:pPr>
              <w:ind w:left="340"/>
              <w:spacing w:after="0"/>
              <w:rPr>
                <w:sz w:val="20"/>
                <w:szCs w:val="20"/>
                <w:color w:val="auto"/>
              </w:rPr>
            </w:pPr>
            <w:r>
              <w:rPr>
                <w:rFonts w:ascii="Arial" w:cs="Arial" w:eastAsia="Arial" w:hAnsi="Arial"/>
                <w:sz w:val="14"/>
                <w:szCs w:val="14"/>
                <w:color w:val="auto"/>
              </w:rPr>
              <w:t>Cash collateral with counterparties</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17.6</w:t>
            </w: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(38.0)</w:t>
            </w:r>
          </w:p>
        </w:tc>
      </w:tr>
      <w:tr>
        <w:trPr>
          <w:trHeight w:val="208"/>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non-current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r>
      <w:tr>
        <w:trPr>
          <w:trHeight w:val="197"/>
        </w:trPr>
        <w:tc>
          <w:tcPr>
            <w:tcW w:w="83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(1,527.1)</w:t>
            </w:r>
          </w:p>
        </w:tc>
        <w:tc>
          <w:tcPr>
            <w:tcW w:w="4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70.0</w:t>
            </w:r>
          </w:p>
        </w:tc>
      </w:tr>
      <w:tr>
        <w:trPr>
          <w:trHeight w:val="208"/>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w:t>
            </w:r>
          </w:p>
        </w:tc>
      </w:tr>
      <w:tr>
        <w:trPr>
          <w:trHeight w:val="196"/>
        </w:trPr>
        <w:tc>
          <w:tcPr>
            <w:tcW w:w="8300" w:type="dxa"/>
            <w:vAlign w:val="bottom"/>
          </w:tcPr>
          <w:p>
            <w:pPr>
              <w:ind w:left="34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(143.7)</w:t>
            </w:r>
          </w:p>
        </w:tc>
      </w:tr>
      <w:tr>
        <w:trPr>
          <w:trHeight w:val="203"/>
        </w:trPr>
        <w:tc>
          <w:tcPr>
            <w:tcW w:w="8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Non-current income tax, net and other long-term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33.7</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(60.4)</w:t>
            </w:r>
          </w:p>
        </w:tc>
      </w:tr>
      <w:tr>
        <w:trPr>
          <w:trHeight w:val="196"/>
        </w:trPr>
        <w:tc>
          <w:tcPr>
            <w:tcW w:w="83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adjustments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214.1</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60.8</w:t>
            </w:r>
          </w:p>
        </w:tc>
      </w:tr>
      <w:tr>
        <w:trPr>
          <w:trHeight w:val="196"/>
        </w:trPr>
        <w:tc>
          <w:tcPr>
            <w:tcW w:w="8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245.1</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135.8</w:t>
            </w:r>
          </w:p>
        </w:tc>
      </w:tr>
      <w:tr>
        <w:trPr>
          <w:trHeight w:val="263"/>
        </w:trPr>
        <w:tc>
          <w:tcPr>
            <w:tcW w:w="83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8"/>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business, net of cash acquired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300" w:type="dxa"/>
            <w:vAlign w:val="bottom"/>
          </w:tcPr>
          <w:p>
            <w:pPr>
              <w:ind w:left="1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203"/>
        </w:trPr>
        <w:tc>
          <w:tcPr>
            <w:tcW w:w="8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Other investing activities, net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r>
      <w:tr>
        <w:trPr>
          <w:trHeight w:val="196"/>
        </w:trPr>
        <w:tc>
          <w:tcPr>
            <w:tcW w:w="8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(168.7)</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r>
      <w:tr>
        <w:trPr>
          <w:trHeight w:val="270"/>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196"/>
        </w:trPr>
        <w:tc>
          <w:tcPr>
            <w:tcW w:w="8300" w:type="dxa"/>
            <w:vAlign w:val="bottom"/>
          </w:tcPr>
          <w:p>
            <w:pPr>
              <w:ind w:left="120"/>
              <w:spacing w:after="0"/>
              <w:rPr>
                <w:sz w:val="20"/>
                <w:szCs w:val="20"/>
                <w:color w:val="auto"/>
              </w:rPr>
            </w:pPr>
            <w:r>
              <w:rPr>
                <w:rFonts w:ascii="Arial" w:cs="Arial" w:eastAsia="Arial" w:hAnsi="Arial"/>
                <w:sz w:val="14"/>
                <w:szCs w:val="14"/>
                <w:color w:val="auto"/>
              </w:rPr>
              <w:t>Borrowings of debt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2,080.0</w:t>
            </w:r>
          </w:p>
        </w:tc>
        <w:tc>
          <w:tcPr>
            <w:tcW w:w="480" w:type="dxa"/>
            <w:vAlign w:val="bottom"/>
          </w:tcPr>
          <w:p>
            <w:pPr>
              <w:spacing w:after="0"/>
              <w:rPr>
                <w:sz w:val="17"/>
                <w:szCs w:val="17"/>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3,197.6</w:t>
            </w:r>
          </w:p>
        </w:tc>
      </w:tr>
      <w:tr>
        <w:trPr>
          <w:trHeight w:val="209"/>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debt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(1,613.7)</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(3,218.6)</w:t>
            </w:r>
          </w:p>
        </w:tc>
      </w:tr>
      <w:tr>
        <w:trPr>
          <w:trHeight w:val="196"/>
        </w:trPr>
        <w:tc>
          <w:tcPr>
            <w:tcW w:w="8300" w:type="dxa"/>
            <w:vAlign w:val="bottom"/>
          </w:tcPr>
          <w:p>
            <w:pPr>
              <w:ind w:left="120"/>
              <w:spacing w:after="0"/>
              <w:rPr>
                <w:sz w:val="20"/>
                <w:szCs w:val="20"/>
                <w:color w:val="auto"/>
              </w:rPr>
            </w:pPr>
            <w:r>
              <w:rPr>
                <w:rFonts w:ascii="Arial" w:cs="Arial" w:eastAsia="Arial" w:hAnsi="Arial"/>
                <w:sz w:val="14"/>
                <w:szCs w:val="14"/>
                <w:color w:val="auto"/>
              </w:rPr>
              <w:t>Dividends paid on common stock</w:t>
            </w:r>
          </w:p>
        </w:tc>
        <w:tc>
          <w:tcPr>
            <w:tcW w:w="32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48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09"/>
        </w:trPr>
        <w:tc>
          <w:tcPr>
            <w:tcW w:w="8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w:t>
            </w:r>
          </w:p>
        </w:tc>
      </w:tr>
      <w:tr>
        <w:trPr>
          <w:trHeight w:val="196"/>
        </w:trPr>
        <w:tc>
          <w:tcPr>
            <w:tcW w:w="83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 financing activities,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r>
      <w:tr>
        <w:trPr>
          <w:trHeight w:val="196"/>
        </w:trPr>
        <w:tc>
          <w:tcPr>
            <w:tcW w:w="8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394.9</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(97.1)</w:t>
            </w:r>
          </w:p>
        </w:tc>
      </w:tr>
      <w:tr>
        <w:trPr>
          <w:trHeight w:val="196"/>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r>
      <w:tr>
        <w:trPr>
          <w:trHeight w:val="20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459.6</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w:t>
            </w:r>
          </w:p>
        </w:tc>
      </w:tr>
      <w:tr>
        <w:trPr>
          <w:trHeight w:val="197"/>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and cash equivalents, as of the beginning of the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186.1</w:t>
            </w: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211.7</w:t>
            </w:r>
          </w:p>
        </w:tc>
      </w:tr>
      <w:tr>
        <w:trPr>
          <w:trHeight w:val="221"/>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as of the end of the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645.7</w:t>
            </w:r>
          </w:p>
        </w:tc>
        <w:tc>
          <w:tcPr>
            <w:tcW w:w="4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218.1</w:t>
            </w:r>
          </w:p>
        </w:tc>
      </w:tr>
      <w:tr>
        <w:trPr>
          <w:trHeight w:val="20"/>
        </w:trPr>
        <w:tc>
          <w:tcPr>
            <w:tcW w:w="8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dividends declared, but not yet paid, were $6.3 million and $6.6 million for the six months ended June 30, 2020 and 2019, respectively.</w:t>
      </w:r>
    </w:p>
    <w:p>
      <w:pPr>
        <w:spacing w:after="0" w:line="275" w:lineRule="exact"/>
        <w:rPr>
          <w:rFonts w:ascii="Arial" w:cs="Arial" w:eastAsia="Arial" w:hAnsi="Arial"/>
          <w:sz w:val="16"/>
          <w:szCs w:val="16"/>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Deferred consideration and other transactions for the acquisition of a business and assets were $38.9 million as of June 30, 2020.</w:t>
      </w:r>
    </w:p>
    <w:p>
      <w:pPr>
        <w:spacing w:after="0" w:line="26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891" w:right="1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360" w:right="6680" w:hanging="352"/>
        <w:spacing w:after="0" w:line="51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General</w:t>
      </w:r>
    </w:p>
    <w:p>
      <w:pPr>
        <w:spacing w:after="0" w:line="2"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10-Q (“10-Q Report”) as “World Fuel,” “we,” “our” and “us.”</w:t>
      </w:r>
    </w:p>
    <w:p>
      <w:pPr>
        <w:spacing w:after="0" w:line="197"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technology solutions as well as sustainability products and services across the energy product spectrum. We also offer payment management solutions to commercial and industrial customers, principally in the aviation, land and marine transportation industries. We will continue to focus on enhancing the portfolio of products and services we provide based on changes in customer demand, including sustainability offerings and renewable fuel products.</w:t>
      </w:r>
    </w:p>
    <w:p>
      <w:pPr>
        <w:spacing w:after="0" w:line="19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prepared our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2019 Annual Report on Form 10-K (“2019 10-K Report”). Certain amounts in the Consolidated Financial Statements and accompanying notes may not add due to rounding. All percentages have been calculated using unrounded amounts.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outbreak of COVID-19, which was declared a pandemic by the World Health Organization in March 2020, has created significant volatility, uncertainty and disruption in the global economy. The rapid spread of the virus has caused governments around the world to implement stringent measures to help control its spread, including, without limitation, quarantines, “stay-at-home” or “shelter-in-place” orders, social-distancing mandates, travel restrictions, and closures or reduced operations for businesses, governmental agencies, schools and other institutions, among others.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Beginning in the quarterly period ended March 31, 2020, the aviation, marine and land transportation industries, along with global economic conditions generally, have been significantly disrupted by the pandemic. A large number of our customers in these industries have experienced substantial reductions in their operations due to travel restrictions and stay-at-home orders, as well as the extended shutdown of various businesses in affected regions. Furthermore, government measures also led to a precipitous decline and historic volatility in fuel prices in response to concerns about demand for fuel, further exacerbated by recent disagreements regarding crude oil production levels between the Organization of Petroleum Exporting Countries ("OPEC") members and other oil-producing countries such as Russia, as well as related global storage considerations. In response to these developments, in March 2020, we took swift action to ensure the safety of our employees and other stakeholders and initiated a number of initiatives relating to cost reduction, liquidity and operating efficiencies.</w:t>
      </w:r>
    </w:p>
    <w:p>
      <w:pPr>
        <w:spacing w:after="0" w:line="21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6"/>
          <w:szCs w:val="16"/>
          <w:color w:val="auto"/>
        </w:rPr>
        <w:t>While the pandemic and associated impacts on economic activity had a limited adverse effect on our results of operations and financial condition for the first quarter of 2020, we have since seen a sharp decline in demand and related sales as large sectors of the global economy have been adversely impacted by the crisis. Accordingly, our results of operations during the second quarter of 2020 were significantly impacted due to the effects of the pandemic. As a result, during the second quarter of 2020, we took additional steps and expanded the restructuring of our operations to include the rationalization of our global office footprint, including the transition of select offices to smaller or more cost-effective locations.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324"/>
        <w:spacing w:after="0" w:line="291" w:lineRule="auto"/>
        <w:rPr>
          <w:sz w:val="20"/>
          <w:szCs w:val="20"/>
          <w:color w:val="auto"/>
        </w:rPr>
      </w:pPr>
      <w:r>
        <w:rPr>
          <w:rFonts w:ascii="Arial" w:cs="Arial" w:eastAsia="Arial" w:hAnsi="Arial"/>
          <w:sz w:val="16"/>
          <w:szCs w:val="16"/>
          <w:color w:val="auto"/>
        </w:rPr>
        <w:t>We make estimates and assumptions that affect the reported amounts on our financial statements and accompanying notes as of the date of the financial statements. We assessed accounting estimates that require consideration of forecasted financial information, including, but not limited to, our allowance for credit losses, the carrying value of our goodwill, intangible assets, and other long-lived assets. This assessment was conducted in the context of information reasonably available to us, as well as our consideration of the future potential impacts of COVID-19 on our business as of June 30, 2020. At this time, we are unable to predict with specificity the ultimate impact of the crisis, as it will depend on the magnitude, severity and duration of the pandemic, as well as how quickly, and to what extent, normal economic and operating conditions resume on a sustainable basis globally. Accordingly, if the impact is more severe or longer in duration than we have assumed, such impact could potentially result in additional impairments and increases in credit allowances.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There have been no significant changes, other than those related to the adopted new accounting standards below, in the Company's accounting policies from those disclosed in our 2019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2019 10-K Report, and in the section below Adoption of New Accounting Standards.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included below a description of recent new accounting standards or accounting standards updates that had an impact on the Company’s Consolidated Financial Statements. New accounting standards or accounting standards updates not listed below were assessed and determined to be either not applicable or did not have a material impact on the Company’s Consolidated Financial Statements or processes.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Financial Instruments-Credit Losses (Topic 326): Measurement of Credit Losses on Financial Instruments. </w:t>
      </w:r>
      <w:r>
        <w:rPr>
          <w:rFonts w:ascii="Arial" w:cs="Arial" w:eastAsia="Arial" w:hAnsi="Arial"/>
          <w:sz w:val="17"/>
          <w:szCs w:val="17"/>
          <w:color w:val="auto"/>
        </w:rPr>
        <w:t>In June 2016,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Update ("ASU") 2016-13 was issued, which replaced the incurred loss impairment model with a model that reflects expected credit losses over the lifetime of the asset and requires consideration of a broader range of reasonable and supportable information to determine credit loss estimates. The guidance in this update, including the subsequent related codification amendments, changed how entities account for credit impairment from trade and other receivables, net investments arising from sales-type and direct financing leases, debt securities, purchased-credit impaired financial assets and other instruments in addition to loans. For receivables and certain other instruments that are not measured at fair value, entities are required to estimate expected credit losses. Under the expected loss model, an entity recognizes a loss upon initial recognition of the asset that reflects all future events that could lead to a loss being realized, regardless of whether it is probable that the future event will occur.</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adopted ASU 2016-13, including the related codification amendments, in the first quarter of 2020 utilizing the modified retrospective transition method and applying the transition provisions at the effective date.</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implemented changes to business processes and internal controls that support the new standard. As of the date of implementation on January 1, 2020, the Company recognized $11.1 million as a reduction to the opening retained earnings balance. The main drivers of the consolidated impact at transition are related to the inclusion of future economic conditions, the exclusion of freestanding credit enhancements when estimating the expected credit loss and estimating the lifetime credit losses of notes receivable.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recently issued accounting standards not yet adopted by us which are expected, upon adoption, to have a material impact on the Company’s Consolidated Financial Statements or processes.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5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We extend credit on an unsecured basis to most of our customers. Our exposure to expected credit losses depends on the financial condition of our customers and other macroeconomic factors beyond our control, such as deteriorating conditions in the world economy or in the industries we serve, changes in oil prices and political instability. While we actively manage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credit exposure and work to respond to both changes in our customers’ financial conditions or macroeconomic events, there can be no guarantee we will be able to mitigate all of these risks successfully.</w:t>
      </w:r>
    </w:p>
    <w:p>
      <w:pPr>
        <w:spacing w:after="0" w:line="197" w:lineRule="exact"/>
        <w:rPr>
          <w:sz w:val="20"/>
          <w:szCs w:val="20"/>
          <w:color w:val="auto"/>
        </w:rPr>
      </w:pPr>
    </w:p>
    <w:p>
      <w:pPr>
        <w:jc w:val="both"/>
        <w:ind w:firstLine="681"/>
        <w:spacing w:after="0" w:line="255"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based on expected exposure. Our payment terms with customers are based on each customers' creditworthiness and are generally 30-60 days, although certain markets and other customer-specific factors may warrant longer payment terms. Accounts receivable balances that are not paid within the terms of the sales agreement may be subject to finance fees based on the outstanding balance. Although we analyze customers’ payment history and expected creditworthiness, since we extend credit on an unsecured basis to most of our customers, there is a possibility that any accounts receivable not collected may ultimately need to be written off.</w:t>
      </w:r>
    </w:p>
    <w:p>
      <w:pPr>
        <w:spacing w:after="0" w:line="2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Accounts receivable are measured at amortized cost. The health of our receivables is continuously monitored using a risk-based model, taking into consideration both the timeliness and predictability of collections from our customers. We maintain a provision for expected credit losses based upon our historical experience with our customers, along with any specific customer collection issues that we have identified from current financial information and business prospects, as well as any political or economic conditions or other market factors, including certain assumptions based on reasonable forward-looking information from market sources. Principally, based on these credit risk factors, portfolio segments are defined and an internally derived risk-based credit loss reserve is established and applied to each portfolio segment. Customer account balances that are deemed to be at high risk of collectability are reserved at higher rates than customer account balances which we expect to collect without difficulty.</w:t>
      </w:r>
    </w:p>
    <w:p>
      <w:pPr>
        <w:spacing w:after="0" w:line="2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had accounts receivable of $1.4 billion and $2.9 billion as of June 30, 2020 and December 31, 2019, respectively. We also had an allowance for credit losses related to accounts receivables and other insignificant financing receivables of $48.6 million (including the $11.1 million cumulative transition adjustment to retained earnings related to the implementation of ASU 2016-13) and $35.5 million, as of June 30, 2020 and December 31, 2019, respectively. Changes to the expected credit loss provision during the six months ended June 30, 2020 include global economic outlook considerations as a result of the Company’s assessment of reasonable and supportable forward-looking information including the expected overall impact of the pandemic mainly to the aviation segment. Write-off of uncollectible receivables during the six months ended June 30, 2020 resulted from negative impacts of the pandemic combined with pre-existing financial difficulties experienced by certain customers. Based on an aging analysis as of June 30, 2020, 91% of our net accounts receivable were outstanding less than 60 days.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activities in our allowance for credit losses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02"/>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January 1, 2020</w:t>
            </w:r>
          </w:p>
        </w:tc>
        <w:tc>
          <w:tcPr>
            <w:tcW w:w="43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46.6</w:t>
            </w:r>
          </w:p>
        </w:tc>
      </w:tr>
      <w:tr>
        <w:trPr>
          <w:trHeight w:val="196"/>
        </w:trPr>
        <w:tc>
          <w:tcPr>
            <w:tcW w:w="6140" w:type="dxa"/>
            <w:vAlign w:val="bottom"/>
          </w:tcPr>
          <w:p>
            <w:pPr>
              <w:ind w:left="20"/>
              <w:spacing w:after="0"/>
              <w:rPr>
                <w:sz w:val="20"/>
                <w:szCs w:val="20"/>
                <w:color w:val="auto"/>
              </w:rPr>
            </w:pPr>
            <w:r>
              <w:rPr>
                <w:rFonts w:ascii="Arial" w:cs="Arial" w:eastAsia="Arial" w:hAnsi="Arial"/>
                <w:sz w:val="14"/>
                <w:szCs w:val="14"/>
                <w:color w:val="auto"/>
              </w:rPr>
              <w:t>Charges to provision for credit losses</w:t>
            </w:r>
          </w:p>
        </w:tc>
        <w:tc>
          <w:tcPr>
            <w:tcW w:w="43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34.6</w:t>
            </w: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Write-off of uncollectible receivables</w:t>
            </w:r>
          </w:p>
        </w:tc>
        <w:tc>
          <w:tcPr>
            <w:tcW w:w="4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r>
      <w:tr>
        <w:trPr>
          <w:trHeight w:val="196"/>
        </w:trPr>
        <w:tc>
          <w:tcPr>
            <w:tcW w:w="6140" w:type="dxa"/>
            <w:vAlign w:val="bottom"/>
          </w:tcPr>
          <w:p>
            <w:pPr>
              <w:ind w:left="20"/>
              <w:spacing w:after="0"/>
              <w:rPr>
                <w:sz w:val="20"/>
                <w:szCs w:val="20"/>
                <w:color w:val="auto"/>
              </w:rPr>
            </w:pPr>
            <w:r>
              <w:rPr>
                <w:rFonts w:ascii="Arial" w:cs="Arial" w:eastAsia="Arial" w:hAnsi="Arial"/>
                <w:sz w:val="14"/>
                <w:szCs w:val="14"/>
                <w:color w:val="auto"/>
              </w:rPr>
              <w:t>Recoveries of credit losses</w:t>
            </w:r>
          </w:p>
        </w:tc>
        <w:tc>
          <w:tcPr>
            <w:tcW w:w="43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0.4</w:t>
            </w:r>
          </w:p>
        </w:tc>
      </w:tr>
      <w:tr>
        <w:trPr>
          <w:trHeight w:val="203"/>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Translation adjustments</w:t>
            </w:r>
          </w:p>
        </w:tc>
        <w:tc>
          <w:tcPr>
            <w:tcW w:w="4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r>
      <w:tr>
        <w:trPr>
          <w:trHeight w:val="196"/>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June 30, 2020</w:t>
            </w:r>
          </w:p>
        </w:tc>
        <w:tc>
          <w:tcPr>
            <w:tcW w:w="43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48.6</w:t>
            </w:r>
          </w:p>
        </w:tc>
      </w:tr>
      <w:tr>
        <w:trPr>
          <w:trHeight w:val="26"/>
        </w:trPr>
        <w:tc>
          <w:tcPr>
            <w:tcW w:w="61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Financing programs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accounts receivable financing programs under receivables purchase agreements (“RPAs”) with Wells Fargo Bank, N.A. and Citibank, N.A. that allow for the sale of our accounts receivable in an amount up to 100% of our outstanding qualifying accounts receivable balances and receive cash consideration equal to the total balance, less a discount margin equal to LIBOR plus 1% to 3%. Accounts receivable sold under the RPAs are accounted for as sales, in accordance with FASB ASC Topic 860, </w:t>
      </w:r>
      <w:r>
        <w:rPr>
          <w:rFonts w:ascii="Arial" w:cs="Arial" w:eastAsia="Arial" w:hAnsi="Arial"/>
          <w:sz w:val="18"/>
          <w:szCs w:val="18"/>
          <w:i w:val="1"/>
          <w:iCs w:val="1"/>
          <w:color w:val="auto"/>
        </w:rPr>
        <w:t>Transfers and Servicing</w:t>
      </w:r>
      <w:r>
        <w:rPr>
          <w:rFonts w:ascii="Arial" w:cs="Arial" w:eastAsia="Arial" w:hAnsi="Arial"/>
          <w:sz w:val="18"/>
          <w:szCs w:val="18"/>
          <w:color w:val="auto"/>
        </w:rPr>
        <w:t>, and excluded from Accounts receivable, net on the accompanying Consolidated Balance Sheets. Fees and interest paid under the RPAs are recorded within Interest expense and other financing costs, net on the Consolidated Statements of Comprehensive Income.</w:t>
      </w:r>
    </w:p>
    <w:p>
      <w:pPr>
        <w:spacing w:after="0" w:line="219" w:lineRule="exact"/>
        <w:rPr>
          <w:sz w:val="20"/>
          <w:szCs w:val="20"/>
          <w:color w:val="auto"/>
        </w:rPr>
      </w:pPr>
    </w:p>
    <w:p>
      <w:pPr>
        <w:jc w:val="both"/>
        <w:ind w:firstLine="421"/>
        <w:spacing w:after="0" w:line="279" w:lineRule="auto"/>
        <w:rPr>
          <w:sz w:val="20"/>
          <w:szCs w:val="20"/>
          <w:color w:val="auto"/>
        </w:rPr>
      </w:pPr>
      <w:r>
        <w:rPr>
          <w:rFonts w:ascii="Arial" w:cs="Arial" w:eastAsia="Arial" w:hAnsi="Arial"/>
          <w:sz w:val="17"/>
          <w:szCs w:val="17"/>
          <w:color w:val="auto"/>
        </w:rPr>
        <w:t>Under the RPAs, accounts receivable sold, which remained outstanding as of June 30, 2020 and December 31, 2019, were $92.6 million and $405.9 million, respectively. The fees and interest paid under the RPAs were $5.5 million and $13.3 million for the six months ended June 30, 2020 and 2019, respectively. For the six months ended June 30, 2020 and 2019, cash payments to the owners of account receivables were $2.5 billion and $4.2 billion, respectively, and cash proceeds from the sale of account receivables were $2.2 billion and $4.2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Acquisitions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2020 Acquisitions</w:t>
      </w:r>
    </w:p>
    <w:p>
      <w:pPr>
        <w:spacing w:after="0" w:line="25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second quarter of 2020, we acquired an additional interest in a software company in our aviation segment and obtained control. The transaction was accounted for as an asset acquisition and did not have a material impact on our Consolidated Financial Statements.</w:t>
      </w:r>
    </w:p>
    <w:p>
      <w:pPr>
        <w:spacing w:after="0" w:line="1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first quarter of 2020, we completed the acquisition of the aviation fuel business from Universal Weather and Aviation, Inc. (“UVair fuel business”), which serves business and general aviation customers worldwide. The acquisition was accounted for as a business combination.</w:t>
      </w:r>
    </w:p>
    <w:p>
      <w:pPr>
        <w:spacing w:after="0" w:line="173"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7"/>
          <w:szCs w:val="17"/>
          <w:color w:val="auto"/>
        </w:rPr>
        <w:t>The following table summarizes the aggregate consideration paid for this acquisition, updated as of June 30, 2020 for certain working capital items, and the provisional amounts of the assets acquired and liabilities assumed, recognized at the acquisition date. The Company is in the process of obtaining information to finalize the valuations of certain acquired assets and assumed liabilities and expects to complete the process in the third quarter 2020. Thus, the provisional measurements of these acquired assets and assumed liabilities are subject to change (amounts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02"/>
        </w:trPr>
        <w:tc>
          <w:tcPr>
            <w:tcW w:w="10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paid for acquisition of business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128.6</w:t>
            </w:r>
          </w:p>
        </w:tc>
      </w:tr>
      <w:tr>
        <w:trPr>
          <w:trHeight w:val="196"/>
        </w:trPr>
        <w:tc>
          <w:tcPr>
            <w:tcW w:w="10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Amounts due to sellers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30.0</w:t>
            </w:r>
          </w:p>
        </w:tc>
      </w:tr>
      <w:tr>
        <w:trPr>
          <w:trHeight w:val="221"/>
        </w:trPr>
        <w:tc>
          <w:tcPr>
            <w:tcW w:w="10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Estimated purchase price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158.6</w:t>
            </w:r>
          </w:p>
        </w:tc>
      </w:tr>
      <w:tr>
        <w:trPr>
          <w:trHeight w:val="20"/>
        </w:trPr>
        <w:tc>
          <w:tcPr>
            <w:tcW w:w="10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10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3"/>
        </w:trPr>
        <w:tc>
          <w:tcPr>
            <w:tcW w:w="10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7"/>
        </w:trPr>
        <w:tc>
          <w:tcPr>
            <w:tcW w:w="1024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42.8</w:t>
            </w:r>
          </w:p>
        </w:tc>
      </w:tr>
      <w:tr>
        <w:trPr>
          <w:trHeight w:val="208"/>
        </w:trPr>
        <w:tc>
          <w:tcPr>
            <w:tcW w:w="10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identifiable intangible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123.0</w:t>
            </w:r>
          </w:p>
        </w:tc>
      </w:tr>
      <w:tr>
        <w:trPr>
          <w:trHeight w:val="196"/>
        </w:trPr>
        <w:tc>
          <w:tcPr>
            <w:tcW w:w="10240" w:type="dxa"/>
            <w:vAlign w:val="bottom"/>
          </w:tcPr>
          <w:p>
            <w:pPr>
              <w:ind w:left="20"/>
              <w:spacing w:after="0"/>
              <w:rPr>
                <w:sz w:val="20"/>
                <w:szCs w:val="20"/>
                <w:color w:val="auto"/>
              </w:rPr>
            </w:pPr>
            <w:r>
              <w:rPr>
                <w:rFonts w:ascii="Arial" w:cs="Arial" w:eastAsia="Arial" w:hAnsi="Arial"/>
                <w:sz w:val="14"/>
                <w:szCs w:val="14"/>
                <w:color w:val="auto"/>
              </w:rPr>
              <w:t>Other current and long-term assets</w:t>
            </w:r>
          </w:p>
        </w:tc>
        <w:tc>
          <w:tcPr>
            <w:tcW w:w="220" w:type="dxa"/>
            <w:vAlign w:val="bottom"/>
          </w:tcPr>
          <w:p>
            <w:pPr>
              <w:spacing w:after="0"/>
              <w:rPr>
                <w:sz w:val="17"/>
                <w:szCs w:val="17"/>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3.8</w:t>
            </w:r>
          </w:p>
        </w:tc>
      </w:tr>
      <w:tr>
        <w:trPr>
          <w:trHeight w:val="222"/>
        </w:trPr>
        <w:tc>
          <w:tcPr>
            <w:tcW w:w="10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97"/>
        </w:trPr>
        <w:tc>
          <w:tcPr>
            <w:tcW w:w="10240" w:type="dxa"/>
            <w:vAlign w:val="bottom"/>
          </w:tcPr>
          <w:p>
            <w:pPr>
              <w:ind w:left="20"/>
              <w:spacing w:after="0"/>
              <w:rPr>
                <w:sz w:val="20"/>
                <w:szCs w:val="20"/>
                <w:color w:val="auto"/>
              </w:rPr>
            </w:pPr>
            <w:r>
              <w:rPr>
                <w:rFonts w:ascii="Arial" w:cs="Arial" w:eastAsia="Arial" w:hAnsi="Arial"/>
                <w:sz w:val="14"/>
                <w:szCs w:val="14"/>
                <w:b w:val="1"/>
                <w:bCs w:val="1"/>
                <w:color w:val="auto"/>
              </w:rPr>
              <w:t>Liabilities assumed: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10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w:t>
            </w:r>
          </w:p>
        </w:tc>
      </w:tr>
      <w:tr>
        <w:trPr>
          <w:trHeight w:val="196"/>
        </w:trPr>
        <w:tc>
          <w:tcPr>
            <w:tcW w:w="10240" w:type="dxa"/>
            <w:vAlign w:val="bottom"/>
          </w:tcPr>
          <w:p>
            <w:pPr>
              <w:ind w:left="20"/>
              <w:spacing w:after="0"/>
              <w:rPr>
                <w:sz w:val="20"/>
                <w:szCs w:val="20"/>
                <w:color w:val="auto"/>
              </w:rPr>
            </w:pPr>
            <w:r>
              <w:rPr>
                <w:rFonts w:ascii="Arial" w:cs="Arial" w:eastAsia="Arial" w:hAnsi="Arial"/>
                <w:sz w:val="14"/>
                <w:szCs w:val="14"/>
                <w:color w:val="auto"/>
              </w:rPr>
              <w:t>Other current and long-term liabilities</w:t>
            </w:r>
          </w:p>
        </w:tc>
        <w:tc>
          <w:tcPr>
            <w:tcW w:w="2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222"/>
        </w:trPr>
        <w:tc>
          <w:tcPr>
            <w:tcW w:w="10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r>
      <w:tr>
        <w:trPr>
          <w:trHeight w:val="190"/>
        </w:trPr>
        <w:tc>
          <w:tcPr>
            <w:tcW w:w="10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purchase price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158.6</w:t>
            </w:r>
          </w:p>
        </w:tc>
      </w:tr>
      <w:tr>
        <w:trPr>
          <w:trHeight w:val="26"/>
        </w:trPr>
        <w:tc>
          <w:tcPr>
            <w:tcW w:w="10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goodwill of $78.7 million included the adjustments made to certain working capital items during the quarter ended June 30, 2020 and was assigned to the aviation segment. The company anticipates $70.3 million of the goodwill assigned to be deductible for tax purposes and is attributable primarily to the expected synergies and other benefits that we believe will result from combining the acquired operations with the aviation segment operations. The identifiable intangible assets were $44.3 million and primarily consisted of customer relationships and other identifiable assets.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position, results of operations and cash flows of these acquisitions have been included in our Consolidated Financial Statements since their acquisition dates and did not have a material impact on our consolidated revenue and net income for the three and six months ended June 30, 2020; accordingly, pro forma information for these acquisitions have not been provided as the impact was not considered material.</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Cash Flow Hedges. </w:t>
      </w:r>
      <w:r>
        <w:rPr>
          <w:rFonts w:ascii="Arial" w:cs="Arial" w:eastAsia="Arial" w:hAnsi="Arial"/>
          <w:sz w:val="17"/>
          <w:szCs w:val="17"/>
          <w:color w:val="auto"/>
        </w:rPr>
        <w:t>Includes derivative contracts we execute to mitigate the risk of price and interest rate volatility in forecasted transactions.</w:t>
      </w:r>
    </w:p>
    <w:p>
      <w:pPr>
        <w:spacing w:after="0" w:line="26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Non-designated Derivatives. </w:t>
      </w:r>
      <w:r>
        <w:rPr>
          <w:rFonts w:ascii="Arial" w:cs="Arial" w:eastAsia="Arial" w:hAnsi="Arial"/>
          <w:sz w:val="16"/>
          <w:szCs w:val="16"/>
          <w:color w:val="auto"/>
        </w:rPr>
        <w:t>Includes derivatives we primarily transact to mitigate the risk of market price fluctuations in swaps or futures contracts,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certain forward fixed price purchase and sale contracts to hedge the risk of currency rate fluctuations and for portfolio optimization.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ind w:firstLine="324"/>
        <w:spacing w:after="0" w:line="257" w:lineRule="auto"/>
        <w:rPr>
          <w:sz w:val="20"/>
          <w:szCs w:val="20"/>
          <w:color w:val="auto"/>
        </w:rPr>
      </w:pPr>
      <w:r>
        <w:rPr>
          <w:rFonts w:ascii="Arial" w:cs="Arial" w:eastAsia="Arial" w:hAnsi="Arial"/>
          <w:sz w:val="18"/>
          <w:szCs w:val="18"/>
          <w:color w:val="auto"/>
        </w:rPr>
        <w:t>In March 2020, we entered into a $300 million, one-month LIBOR, floating-for-fixed non-amortizing interest rate swap contract ("IR Swap") with a maturity date in March 2025. The IR Swap was designated as a cash flow hedge to mitigate potential adverse changes in interest rates related to certain variable rate debt obligations. Changes in the IR Swap's fair value recorded periodically in Accumulated other comprehensive income, are subsequently reclassified to our Consolidated Statements of Income and Comprehensive Income within Interest expense and other financing costs, net when the underlying hedged variable rate interest payments are accrued.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Gross Derivative Assets</w:t>
            </w:r>
          </w:p>
        </w:tc>
        <w:tc>
          <w:tcPr>
            <w:tcW w:w="340" w:type="dxa"/>
            <w:vAlign w:val="bottom"/>
          </w:tcPr>
          <w:p>
            <w:pPr>
              <w:spacing w:after="0"/>
              <w:rPr>
                <w:sz w:val="16"/>
                <w:szCs w:val="16"/>
                <w:color w:val="auto"/>
              </w:rPr>
            </w:pPr>
          </w:p>
        </w:tc>
        <w:tc>
          <w:tcPr>
            <w:tcW w:w="22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Gross Derivative Liabilities</w:t>
            </w:r>
          </w:p>
        </w:tc>
      </w:tr>
      <w:tr>
        <w:trPr>
          <w:trHeight w:val="20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of</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of</w:t>
            </w:r>
          </w:p>
        </w:tc>
        <w:tc>
          <w:tcPr>
            <w:tcW w:w="1060" w:type="dxa"/>
            <w:vAlign w:val="bottom"/>
            <w:tcBorders>
              <w:bottom w:val="single" w:sz="8" w:color="auto"/>
            </w:tcBorders>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December 31,</w:t>
            </w:r>
          </w:p>
        </w:tc>
        <w:tc>
          <w:tcPr>
            <w:tcW w:w="340" w:type="dxa"/>
            <w:vAlign w:val="bottom"/>
          </w:tcPr>
          <w:p>
            <w:pPr>
              <w:spacing w:after="0"/>
              <w:rPr>
                <w:sz w:val="16"/>
                <w:szCs w:val="16"/>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b w:val="1"/>
                <w:bCs w:val="1"/>
                <w:color w:val="auto"/>
                <w:w w:val="94"/>
              </w:rPr>
              <w:t>December 31,</w:t>
            </w:r>
          </w:p>
        </w:tc>
      </w:tr>
      <w:tr>
        <w:trPr>
          <w:trHeight w:val="209"/>
        </w:trPr>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196"/>
        </w:trPr>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Consolidated Balance Sheets location</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2"/>
        </w:trPr>
        <w:tc>
          <w:tcPr>
            <w:tcW w:w="610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92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60" w:type="dxa"/>
            <w:vAlign w:val="bottom"/>
            <w:gridSpan w:val="4"/>
          </w:tcPr>
          <w:p>
            <w:pPr>
              <w:ind w:left="280"/>
              <w:spacing w:after="0"/>
              <w:rPr>
                <w:sz w:val="20"/>
                <w:szCs w:val="20"/>
                <w:color w:val="auto"/>
              </w:rPr>
            </w:pPr>
            <w:r>
              <w:rPr>
                <w:rFonts w:ascii="Arial" w:cs="Arial" w:eastAsia="Arial" w:hAnsi="Arial"/>
                <w:sz w:val="14"/>
                <w:szCs w:val="14"/>
                <w:color w:val="auto"/>
              </w:rPr>
              <w:t>Short-term derivative assets, net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16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60" w:type="dxa"/>
            <w:vAlign w:val="bottom"/>
            <w:gridSpan w:val="4"/>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204.0</w:t>
            </w:r>
          </w:p>
        </w:tc>
        <w:tc>
          <w:tcPr>
            <w:tcW w:w="36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177.0</w:t>
            </w:r>
          </w:p>
        </w:tc>
        <w:tc>
          <w:tcPr>
            <w:tcW w:w="3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20.0</w:t>
            </w:r>
          </w:p>
        </w:tc>
      </w:tr>
      <w:tr>
        <w:trPr>
          <w:trHeight w:val="203"/>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w:t>
            </w:r>
          </w:p>
        </w:tc>
      </w:tr>
      <w:tr>
        <w:trPr>
          <w:trHeight w:val="202"/>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1920" w:type="dxa"/>
            <w:vAlign w:val="bottom"/>
          </w:tcPr>
          <w:p>
            <w:pPr>
              <w:ind w:left="100"/>
              <w:spacing w:after="0"/>
              <w:rPr>
                <w:sz w:val="20"/>
                <w:szCs w:val="20"/>
                <w:color w:val="auto"/>
              </w:rPr>
            </w:pPr>
            <w:r>
              <w:rPr>
                <w:rFonts w:ascii="Arial" w:cs="Arial" w:eastAsia="Arial" w:hAnsi="Arial"/>
                <w:sz w:val="14"/>
                <w:szCs w:val="14"/>
                <w:color w:val="auto"/>
              </w:rPr>
              <w:t>Interest rate contracts</w:t>
            </w:r>
          </w:p>
        </w:tc>
        <w:tc>
          <w:tcPr>
            <w:tcW w:w="4160" w:type="dxa"/>
            <w:vAlign w:val="bottom"/>
            <w:gridSpan w:val="4"/>
          </w:tcPr>
          <w:p>
            <w:pPr>
              <w:ind w:left="280"/>
              <w:spacing w:after="0"/>
              <w:rPr>
                <w:sz w:val="20"/>
                <w:szCs w:val="20"/>
                <w:color w:val="auto"/>
              </w:rPr>
            </w:pPr>
            <w:r>
              <w:rPr>
                <w:rFonts w:ascii="Arial" w:cs="Arial" w:eastAsia="Arial" w:hAnsi="Arial"/>
                <w:sz w:val="14"/>
                <w:szCs w:val="14"/>
                <w:color w:val="auto"/>
              </w:rPr>
              <w:t>Short-term derivative assets, net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16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60" w:type="dxa"/>
            <w:vAlign w:val="bottom"/>
            <w:gridSpan w:val="4"/>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spacing w:after="0"/>
              <w:rPr>
                <w:sz w:val="17"/>
                <w:szCs w:val="17"/>
                <w:color w:val="auto"/>
              </w:rPr>
            </w:pPr>
          </w:p>
        </w:tc>
        <w:tc>
          <w:tcPr>
            <w:tcW w:w="4160" w:type="dxa"/>
            <w:vAlign w:val="bottom"/>
            <w:tcBorders>
              <w:bottom w:val="single" w:sz="8" w:color="auto"/>
            </w:tcBorders>
            <w:gridSpan w:val="4"/>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6"/>
        </w:trPr>
        <w:tc>
          <w:tcPr>
            <w:tcW w:w="61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w:t>
            </w:r>
          </w:p>
        </w:tc>
      </w:tr>
      <w:tr>
        <w:trPr>
          <w:trHeight w:val="202"/>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2"/>
        </w:trPr>
        <w:tc>
          <w:tcPr>
            <w:tcW w:w="6100" w:type="dxa"/>
            <w:vAlign w:val="bottom"/>
            <w:gridSpan w:val="6"/>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w:t>
            </w:r>
          </w:p>
        </w:tc>
        <w:tc>
          <w:tcPr>
            <w:tcW w:w="416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65.7</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60" w:type="dxa"/>
            <w:vAlign w:val="bottom"/>
            <w:gridSpan w:val="4"/>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45.1</w:t>
            </w:r>
          </w:p>
        </w:tc>
        <w:tc>
          <w:tcPr>
            <w:tcW w:w="36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w:t>
            </w:r>
          </w:p>
        </w:tc>
        <w:tc>
          <w:tcPr>
            <w:tcW w:w="3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4.8</w:t>
            </w:r>
          </w:p>
        </w:tc>
      </w:tr>
      <w:tr>
        <w:trPr>
          <w:trHeight w:val="208"/>
        </w:trPr>
        <w:tc>
          <w:tcPr>
            <w:tcW w:w="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16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328.5</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203.4</w:t>
            </w:r>
          </w:p>
        </w:tc>
      </w:tr>
      <w:tr>
        <w:trPr>
          <w:trHeight w:val="197"/>
        </w:trPr>
        <w:tc>
          <w:tcPr>
            <w:tcW w:w="2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4160" w:type="dxa"/>
            <w:vAlign w:val="bottom"/>
            <w:tcBorders>
              <w:bottom w:val="single" w:sz="8" w:color="CCEEFF"/>
            </w:tcBorders>
            <w:gridSpan w:val="4"/>
          </w:tcPr>
          <w:p>
            <w:pPr>
              <w:ind w:left="28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19.7</w:t>
            </w:r>
          </w:p>
        </w:tc>
      </w:tr>
      <w:tr>
        <w:trPr>
          <w:trHeight w:val="196"/>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488.3</w:t>
            </w: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257.3</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445.9</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235.0</w:t>
            </w:r>
          </w:p>
        </w:tc>
      </w:tr>
      <w:tr>
        <w:trPr>
          <w:trHeight w:val="202"/>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416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Short-term derivative assets, net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0.2</w:t>
            </w: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60" w:type="dxa"/>
            <w:vAlign w:val="bottom"/>
            <w:gridSpan w:val="4"/>
          </w:tcPr>
          <w:p>
            <w:pPr>
              <w:ind w:left="280"/>
              <w:spacing w:after="0"/>
              <w:rPr>
                <w:sz w:val="20"/>
                <w:szCs w:val="20"/>
                <w:color w:val="auto"/>
              </w:rPr>
            </w:pPr>
            <w:r>
              <w:rPr>
                <w:rFonts w:ascii="Arial" w:cs="Arial" w:eastAsia="Arial" w:hAnsi="Arial"/>
                <w:sz w:val="14"/>
                <w:szCs w:val="14"/>
                <w:color w:val="auto"/>
              </w:rPr>
              <w:t>Identifiable intangible and other non-current assets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11.4</w:t>
            </w:r>
          </w:p>
        </w:tc>
      </w:tr>
      <w:tr>
        <w:trPr>
          <w:trHeight w:val="196"/>
        </w:trPr>
        <w:tc>
          <w:tcPr>
            <w:tcW w:w="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w:t>
            </w:r>
          </w:p>
        </w:tc>
      </w:tr>
      <w:tr>
        <w:trPr>
          <w:trHeight w:val="196"/>
        </w:trPr>
        <w:tc>
          <w:tcPr>
            <w:tcW w:w="610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259.4</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246.6</w:t>
            </w:r>
          </w:p>
        </w:tc>
      </w:tr>
      <w:tr>
        <w:trPr>
          <w:trHeight w:val="202"/>
        </w:trPr>
        <w:tc>
          <w:tcPr>
            <w:tcW w:w="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15"/>
        </w:trPr>
        <w:tc>
          <w:tcPr>
            <w:tcW w:w="1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261.1</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266.6</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information regarding our derivative instruments measured at fair value after netting and collateral, see Note 7.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ind w:right="20" w:firstLine="324"/>
        <w:spacing w:after="0" w:line="276"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June 30, 2020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b w:val="1"/>
                <w:bCs w:val="1"/>
                <w:color w:val="auto"/>
              </w:rPr>
              <w:t>As of June 30,</w:t>
            </w:r>
          </w:p>
        </w:tc>
      </w:tr>
      <w:tr>
        <w:trPr>
          <w:trHeight w:val="197"/>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333333"/>
              </w:rPr>
              <w:t>Derivative Instruments</w:t>
            </w:r>
          </w:p>
        </w:tc>
        <w:tc>
          <w:tcPr>
            <w:tcW w:w="120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333333"/>
                <w:w w:val="91"/>
              </w:rPr>
              <w:t>Units</w:t>
            </w:r>
          </w:p>
        </w:tc>
        <w:tc>
          <w:tcPr>
            <w:tcW w:w="24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202"/>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1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4"/>
                <w:szCs w:val="14"/>
                <w:color w:val="auto"/>
              </w:rPr>
              <w:t>Long</w:t>
            </w:r>
          </w:p>
        </w:tc>
        <w:tc>
          <w:tcPr>
            <w:tcW w:w="1200" w:type="dxa"/>
            <w:vAlign w:val="bottom"/>
          </w:tcPr>
          <w:p>
            <w:pPr>
              <w:jc w:val="center"/>
              <w:ind w:left="488"/>
              <w:spacing w:after="0"/>
              <w:rPr>
                <w:sz w:val="20"/>
                <w:szCs w:val="20"/>
                <w:color w:val="auto"/>
              </w:rPr>
            </w:pPr>
            <w:r>
              <w:rPr>
                <w:rFonts w:ascii="Arial" w:cs="Arial" w:eastAsia="Arial" w:hAnsi="Arial"/>
                <w:sz w:val="14"/>
                <w:szCs w:val="14"/>
                <w:color w:val="auto"/>
              </w:rPr>
              <w:t>BBL</w:t>
            </w:r>
          </w:p>
        </w:tc>
        <w:tc>
          <w:tcPr>
            <w:tcW w:w="2400" w:type="dxa"/>
            <w:vAlign w:val="bottom"/>
          </w:tcPr>
          <w:p>
            <w:pPr>
              <w:jc w:val="right"/>
              <w:ind w:right="68"/>
              <w:spacing w:after="0"/>
              <w:rPr>
                <w:sz w:val="20"/>
                <w:szCs w:val="20"/>
                <w:color w:val="auto"/>
              </w:rPr>
            </w:pPr>
            <w:r>
              <w:rPr>
                <w:rFonts w:ascii="Arial" w:cs="Arial" w:eastAsia="Arial" w:hAnsi="Arial"/>
                <w:sz w:val="14"/>
                <w:szCs w:val="14"/>
                <w:color w:val="auto"/>
              </w:rPr>
              <w:t>65.0</w:t>
            </w:r>
          </w:p>
        </w:tc>
      </w:tr>
      <w:tr>
        <w:trPr>
          <w:trHeight w:val="203"/>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Short</w:t>
            </w:r>
          </w:p>
        </w:tc>
        <w:tc>
          <w:tcPr>
            <w:tcW w:w="120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BBL</w:t>
            </w:r>
          </w:p>
        </w:tc>
        <w:tc>
          <w:tcPr>
            <w:tcW w:w="2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r>
      <w:tr>
        <w:trPr>
          <w:trHeight w:val="202"/>
        </w:trPr>
        <w:tc>
          <w:tcPr>
            <w:tcW w:w="7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 exchange contracts</w:t>
            </w:r>
          </w:p>
        </w:tc>
        <w:tc>
          <w:tcPr>
            <w:tcW w:w="12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197"/>
        </w:trPr>
        <w:tc>
          <w:tcPr>
            <w:tcW w:w="7640" w:type="dxa"/>
            <w:vAlign w:val="bottom"/>
          </w:tcPr>
          <w:p>
            <w:pPr>
              <w:ind w:left="20"/>
              <w:spacing w:after="0"/>
              <w:rPr>
                <w:sz w:val="20"/>
                <w:szCs w:val="20"/>
                <w:color w:val="auto"/>
              </w:rPr>
            </w:pPr>
            <w:r>
              <w:rPr>
                <w:rFonts w:ascii="Arial" w:cs="Arial" w:eastAsia="Arial" w:hAnsi="Arial"/>
                <w:sz w:val="14"/>
                <w:szCs w:val="14"/>
                <w:color w:val="auto"/>
              </w:rPr>
              <w:t>Sell U.S. dollar, buy other currencies</w:t>
            </w:r>
          </w:p>
        </w:tc>
        <w:tc>
          <w:tcPr>
            <w:tcW w:w="1200" w:type="dxa"/>
            <w:vAlign w:val="bottom"/>
          </w:tcPr>
          <w:p>
            <w:pPr>
              <w:jc w:val="center"/>
              <w:ind w:left="488"/>
              <w:spacing w:after="0"/>
              <w:rPr>
                <w:sz w:val="20"/>
                <w:szCs w:val="20"/>
                <w:color w:val="auto"/>
              </w:rPr>
            </w:pPr>
            <w:r>
              <w:rPr>
                <w:rFonts w:ascii="Arial" w:cs="Arial" w:eastAsia="Arial" w:hAnsi="Arial"/>
                <w:sz w:val="14"/>
                <w:szCs w:val="14"/>
                <w:color w:val="auto"/>
                <w:w w:val="94"/>
              </w:rPr>
              <w:t>USD</w:t>
            </w:r>
          </w:p>
        </w:tc>
        <w:tc>
          <w:tcPr>
            <w:tcW w:w="2400" w:type="dxa"/>
            <w:vAlign w:val="bottom"/>
          </w:tcPr>
          <w:p>
            <w:pPr>
              <w:jc w:val="right"/>
              <w:ind w:right="28"/>
              <w:spacing w:after="0"/>
              <w:rPr>
                <w:sz w:val="20"/>
                <w:szCs w:val="20"/>
                <w:color w:val="auto"/>
              </w:rPr>
            </w:pPr>
            <w:r>
              <w:rPr>
                <w:rFonts w:ascii="Arial" w:cs="Arial" w:eastAsia="Arial" w:hAnsi="Arial"/>
                <w:sz w:val="14"/>
                <w:szCs w:val="14"/>
                <w:color w:val="auto"/>
              </w:rPr>
              <w:t>(70.3)</w:t>
            </w:r>
          </w:p>
        </w:tc>
      </w:tr>
      <w:tr>
        <w:trPr>
          <w:trHeight w:val="228"/>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Buy U.S. dollar, sell other currencies</w:t>
            </w:r>
          </w:p>
        </w:tc>
        <w:tc>
          <w:tcPr>
            <w:tcW w:w="120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w w:val="94"/>
              </w:rPr>
              <w:t>USD</w:t>
            </w:r>
          </w:p>
        </w:tc>
        <w:tc>
          <w:tcPr>
            <w:tcW w:w="2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422.6</w:t>
            </w:r>
          </w:p>
        </w:tc>
      </w:tr>
      <w:tr>
        <w:trPr>
          <w:trHeight w:val="20"/>
        </w:trPr>
        <w:tc>
          <w:tcPr>
            <w:tcW w:w="7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2020, and December 31, 2019, the following amounts were recorded on our Consolidated Balance Sheets related to cumulative basis adjustments for fair value hedges (in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Line item in the Consolidated Balance Sheets in which the</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0" w:type="dxa"/>
            <w:vAlign w:val="bottom"/>
          </w:tcPr>
          <w:p>
            <w:pPr>
              <w:spacing w:after="0"/>
              <w:rPr>
                <w:sz w:val="1"/>
                <w:szCs w:val="1"/>
                <w:color w:val="auto"/>
              </w:rPr>
            </w:pPr>
          </w:p>
        </w:tc>
      </w:tr>
      <w:tr>
        <w:trPr>
          <w:trHeight w:val="149"/>
        </w:trPr>
        <w:tc>
          <w:tcPr>
            <w:tcW w:w="3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360" w:type="dxa"/>
            <w:vAlign w:val="bottom"/>
            <w:gridSpan w:val="3"/>
            <w:vMerge w:val="restart"/>
          </w:tcPr>
          <w:p>
            <w:pPr>
              <w:jc w:val="center"/>
              <w:ind w:right="148"/>
              <w:spacing w:after="0"/>
              <w:rPr>
                <w:sz w:val="20"/>
                <w:szCs w:val="20"/>
                <w:color w:val="auto"/>
              </w:rPr>
            </w:pPr>
            <w:r>
              <w:rPr>
                <w:rFonts w:ascii="Arial" w:cs="Arial" w:eastAsia="Arial" w:hAnsi="Arial"/>
                <w:sz w:val="14"/>
                <w:szCs w:val="14"/>
                <w:b w:val="1"/>
                <w:bCs w:val="1"/>
                <w:color w:val="auto"/>
                <w:w w:val="93"/>
              </w:rPr>
              <w:t>Carrying Amount of Hedged Assets/(Liabilities)</w:t>
            </w:r>
          </w:p>
        </w:tc>
        <w:tc>
          <w:tcPr>
            <w:tcW w:w="220" w:type="dxa"/>
            <w:vAlign w:val="bottom"/>
          </w:tcPr>
          <w:p>
            <w:pPr>
              <w:spacing w:after="0"/>
              <w:rPr>
                <w:sz w:val="12"/>
                <w:szCs w:val="12"/>
                <w:color w:val="auto"/>
              </w:rPr>
            </w:pPr>
          </w:p>
        </w:tc>
        <w:tc>
          <w:tcPr>
            <w:tcW w:w="350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Included in the Carrying Amount of the Hedged</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hedged item is included</w:t>
            </w:r>
          </w:p>
        </w:tc>
        <w:tc>
          <w:tcPr>
            <w:tcW w:w="3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3"/>
              </w:rPr>
              <w:t>Asset/(Liabilities)</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1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December 31, 2019</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June 30, 2020</w:t>
            </w: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21"/>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Inventory</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firstLine="324"/>
        <w:spacing w:after="0" w:line="277" w:lineRule="auto"/>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 Income and Comprehensive Income (in millions):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Total amounts of income and expense line items in which the effects of fair value or cash flow hedged are recorded</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Gains or Loss on fair value hedge relationships: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Commodity contracts:</w:t>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Hedged Item</w:t>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Derivatives designated as hedging</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instruments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Gains or Loss on cash flow hedge relationships: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Commodity contracts:</w:t>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Amount of Gain (Loss) Reclassified</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from AOCI into Income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 rate contracts: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left="120" w:right="60"/>
        <w:spacing w:after="0" w:line="258" w:lineRule="auto"/>
        <w:rPr>
          <w:sz w:val="20"/>
          <w:szCs w:val="20"/>
          <w:color w:val="auto"/>
        </w:rPr>
      </w:pPr>
      <w:r>
        <w:rPr>
          <w:rFonts w:ascii="Arial" w:cs="Arial" w:eastAsia="Arial" w:hAnsi="Arial"/>
          <w:sz w:val="14"/>
          <w:szCs w:val="14"/>
          <w:b w:val="1"/>
          <w:bCs w:val="1"/>
          <w:color w:val="auto"/>
        </w:rPr>
        <w:t>Location and Amount of Gain and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378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890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9"/>
              </w:rPr>
              <w:t>For the Three Months Ended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4"/>
              </w:rPr>
              <w:t>Interest</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1"/>
              </w:rPr>
              <w:t>Cost of</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expense and</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expense and</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780" w:type="dxa"/>
            <w:vAlign w:val="bottom"/>
            <w:vMerge w:val="restart"/>
          </w:tcPr>
          <w:p>
            <w:pPr>
              <w:jc w:val="right"/>
              <w:ind w:right="128"/>
              <w:spacing w:after="0" w:line="149" w:lineRule="exact"/>
              <w:rPr>
                <w:sz w:val="20"/>
                <w:szCs w:val="20"/>
                <w:color w:val="auto"/>
              </w:rPr>
            </w:pPr>
            <w:r>
              <w:rPr>
                <w:rFonts w:ascii="Arial" w:cs="Arial" w:eastAsia="Arial" w:hAnsi="Arial"/>
                <w:sz w:val="14"/>
                <w:szCs w:val="14"/>
                <w:b w:val="1"/>
                <w:bCs w:val="1"/>
                <w:color w:val="auto"/>
                <w:w w:val="95"/>
              </w:rPr>
              <w:t>Revenue</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other</w:t>
            </w:r>
          </w:p>
        </w:tc>
        <w:tc>
          <w:tcPr>
            <w:tcW w:w="980" w:type="dxa"/>
            <w:vAlign w:val="bottom"/>
            <w:vMerge w:val="restart"/>
          </w:tcPr>
          <w:p>
            <w:pPr>
              <w:jc w:val="right"/>
              <w:ind w:right="128"/>
              <w:spacing w:after="0" w:line="149" w:lineRule="exact"/>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81"/>
        </w:trPr>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financing</w:t>
            </w: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43"/>
        </w:trPr>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5"/>
              </w:rPr>
              <w:t>costs, net</w:t>
            </w: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costs, net</w:t>
            </w:r>
          </w:p>
        </w:tc>
        <w:tc>
          <w:tcPr>
            <w:tcW w:w="0" w:type="dxa"/>
            <w:vAlign w:val="bottom"/>
          </w:tcPr>
          <w:p>
            <w:pPr>
              <w:spacing w:after="0"/>
              <w:rPr>
                <w:sz w:val="1"/>
                <w:szCs w:val="1"/>
                <w:color w:val="auto"/>
              </w:rPr>
            </w:pPr>
          </w:p>
        </w:tc>
      </w:tr>
      <w:tr>
        <w:trPr>
          <w:trHeight w:val="258"/>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3,158.3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2,944.5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   9,459.4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9,190.8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675"/>
        </w:trPr>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20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(0.9)</w:t>
            </w:r>
          </w:p>
        </w:tc>
        <w:tc>
          <w:tcPr>
            <w:tcW w:w="18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20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(0.6)</w:t>
            </w:r>
          </w:p>
        </w:tc>
        <w:tc>
          <w:tcPr>
            <w:tcW w:w="18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6"/>
        </w:trPr>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27.0</w:t>
            </w:r>
          </w:p>
        </w:tc>
        <w:tc>
          <w:tcPr>
            <w:tcW w:w="26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(56.2)</w:t>
            </w:r>
          </w:p>
        </w:tc>
        <w:tc>
          <w:tcPr>
            <w:tcW w:w="20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25.8</w:t>
            </w:r>
          </w:p>
        </w:tc>
        <w:tc>
          <w:tcPr>
            <w:tcW w:w="18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-1765935</wp:posOffset>
            </wp:positionV>
            <wp:extent cx="708914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5143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-1028700</wp:posOffset>
            </wp:positionV>
            <wp:extent cx="708914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-771525</wp:posOffset>
            </wp:positionV>
            <wp:extent cx="708914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-420370</wp:posOffset>
            </wp:positionV>
            <wp:extent cx="708914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-163195</wp:posOffset>
            </wp:positionV>
            <wp:extent cx="708914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222885"/>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4860" w:space="340"/>
            <w:col w:w="604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040" w:type="dxa"/>
            <w:vAlign w:val="bottom"/>
            <w:shd w:val="clear" w:color="auto" w:fill="CCEEFF"/>
          </w:tcPr>
          <w:p>
            <w:pPr>
              <w:ind w:left="2760"/>
              <w:spacing w:after="0"/>
              <w:rPr>
                <w:sz w:val="20"/>
                <w:szCs w:val="20"/>
                <w:color w:val="auto"/>
              </w:rPr>
            </w:pPr>
            <w:r>
              <w:rPr>
                <w:rFonts w:ascii="Arial" w:cs="Arial" w:eastAsia="Arial" w:hAnsi="Arial"/>
                <w:sz w:val="14"/>
                <w:szCs w:val="14"/>
                <w:color w:val="auto"/>
              </w:rPr>
              <w:t>Amount of Gain (Loss) Reclassified</w:t>
            </w:r>
          </w:p>
        </w:tc>
        <w:tc>
          <w:tcPr>
            <w:tcW w:w="3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5040" w:type="dxa"/>
            <w:vAlign w:val="bottom"/>
            <w:vMerge w:val="restart"/>
            <w:shd w:val="clear" w:color="auto" w:fill="CCEEFF"/>
          </w:tcPr>
          <w:p>
            <w:pPr>
              <w:ind w:left="2760"/>
              <w:spacing w:after="0"/>
              <w:rPr>
                <w:sz w:val="20"/>
                <w:szCs w:val="20"/>
                <w:color w:val="auto"/>
              </w:rPr>
            </w:pPr>
            <w:r>
              <w:rPr>
                <w:rFonts w:ascii="Arial" w:cs="Arial" w:eastAsia="Arial" w:hAnsi="Arial"/>
                <w:sz w:val="14"/>
                <w:szCs w:val="14"/>
                <w:color w:val="auto"/>
              </w:rPr>
              <w:t>from AOCI into Income</w:t>
            </w:r>
          </w:p>
        </w:tc>
        <w:tc>
          <w:tcPr>
            <w:tcW w:w="38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040" w:type="dxa"/>
            <w:vAlign w:val="bottom"/>
            <w:tcBorders>
              <w:bottom w:val="single" w:sz="8" w:color="auto"/>
            </w:tcBorders>
            <w:vMerge w:val="continue"/>
            <w:shd w:val="clear" w:color="auto" w:fill="CCEEFF"/>
          </w:tcPr>
          <w:p>
            <w:pPr>
              <w:spacing w:after="0"/>
              <w:rPr>
                <w:sz w:val="7"/>
                <w:szCs w:val="7"/>
                <w:color w:val="auto"/>
              </w:rPr>
            </w:pPr>
          </w:p>
        </w:tc>
        <w:tc>
          <w:tcPr>
            <w:tcW w:w="38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3,131.4</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2,892.6</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9,461.9</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9,215.1</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120015</wp:posOffset>
            </wp:positionV>
            <wp:extent cx="37890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line="253" w:lineRule="auto"/>
        <w:rPr>
          <w:sz w:val="20"/>
          <w:szCs w:val="20"/>
          <w:color w:val="auto"/>
        </w:rPr>
      </w:pPr>
      <w:r>
        <w:rPr>
          <w:rFonts w:ascii="Arial" w:cs="Arial" w:eastAsia="Arial" w:hAnsi="Arial"/>
          <w:sz w:val="14"/>
          <w:szCs w:val="14"/>
          <w:color w:val="auto"/>
        </w:rPr>
        <w:t>Total amounts of income and expense line items in which the effects of fair value or cash flow hedged are recorded</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Gains or Loss on fair value hedge relationships: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Commodity contracts:</w:t>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Hedged Item</w:t>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Derivatives designated as hedging</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instruments</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Gains or Loss on cash flow hedge relationships:</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Commodity contracts:</w:t>
      </w:r>
    </w:p>
    <w:p>
      <w:pPr>
        <w:spacing w:after="0" w:line="42" w:lineRule="exact"/>
        <w:rPr>
          <w:sz w:val="20"/>
          <w:szCs w:val="20"/>
          <w:color w:val="auto"/>
        </w:rPr>
      </w:pPr>
    </w:p>
    <w:p>
      <w:pPr>
        <w:ind w:left="2760"/>
        <w:spacing w:after="0"/>
        <w:rPr>
          <w:sz w:val="20"/>
          <w:szCs w:val="20"/>
          <w:color w:val="auto"/>
        </w:rPr>
      </w:pPr>
      <w:r>
        <w:rPr>
          <w:rFonts w:ascii="Arial" w:cs="Arial" w:eastAsia="Arial" w:hAnsi="Arial"/>
          <w:sz w:val="13"/>
          <w:szCs w:val="13"/>
          <w:color w:val="auto"/>
        </w:rPr>
        <w:t>Amount of Gain (Loss) Reclassified</w:t>
      </w:r>
    </w:p>
    <w:p>
      <w:pPr>
        <w:spacing w:after="0" w:line="1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from AOCI into Income</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 rate contracts: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left="120" w:right="60"/>
        <w:spacing w:after="0" w:line="258" w:lineRule="auto"/>
        <w:rPr>
          <w:sz w:val="20"/>
          <w:szCs w:val="20"/>
          <w:color w:val="auto"/>
        </w:rPr>
      </w:pPr>
      <w:r>
        <w:rPr>
          <w:rFonts w:ascii="Arial" w:cs="Arial" w:eastAsia="Arial" w:hAnsi="Arial"/>
          <w:sz w:val="14"/>
          <w:szCs w:val="14"/>
          <w:b w:val="1"/>
          <w:bCs w:val="1"/>
          <w:color w:val="auto"/>
        </w:rPr>
        <w:t>Location and Amount of Gain and (Loss) Recognized in Income on Fair 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37890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3"/>
              </w:rPr>
              <w:t>For the Six Months Ended</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68"/>
              <w:spacing w:after="0" w:line="153" w:lineRule="exact"/>
              <w:rPr>
                <w:sz w:val="20"/>
                <w:szCs w:val="20"/>
                <w:color w:val="auto"/>
              </w:rPr>
            </w:pPr>
            <w:r>
              <w:rPr>
                <w:rFonts w:ascii="Arial" w:cs="Arial" w:eastAsia="Arial" w:hAnsi="Arial"/>
                <w:sz w:val="14"/>
                <w:szCs w:val="14"/>
                <w:b w:val="1"/>
                <w:bCs w:val="1"/>
                <w:color w:val="auto"/>
                <w:w w:val="94"/>
              </w:rPr>
              <w:t>Interest</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of</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expense and</w:t>
            </w:r>
          </w:p>
        </w:tc>
        <w:tc>
          <w:tcPr>
            <w:tcW w:w="94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expense and</w:t>
            </w:r>
          </w:p>
        </w:tc>
        <w:tc>
          <w:tcPr>
            <w:tcW w:w="0" w:type="dxa"/>
            <w:vAlign w:val="bottom"/>
          </w:tcPr>
          <w:p>
            <w:pPr>
              <w:spacing w:after="0"/>
              <w:rPr>
                <w:sz w:val="1"/>
                <w:szCs w:val="1"/>
                <w:color w:val="auto"/>
              </w:rPr>
            </w:pPr>
          </w:p>
        </w:tc>
      </w:tr>
      <w:tr>
        <w:trPr>
          <w:trHeight w:val="68"/>
        </w:trPr>
        <w:tc>
          <w:tcPr>
            <w:tcW w:w="920" w:type="dxa"/>
            <w:vAlign w:val="bottom"/>
            <w:vMerge w:val="restart"/>
          </w:tcPr>
          <w:p>
            <w:pPr>
              <w:jc w:val="right"/>
              <w:ind w:right="128"/>
              <w:spacing w:after="0" w:line="149" w:lineRule="exact"/>
              <w:rPr>
                <w:sz w:val="20"/>
                <w:szCs w:val="20"/>
                <w:color w:val="auto"/>
              </w:rPr>
            </w:pPr>
            <w:r>
              <w:rPr>
                <w:rFonts w:ascii="Arial" w:cs="Arial" w:eastAsia="Arial" w:hAnsi="Arial"/>
                <w:sz w:val="14"/>
                <w:szCs w:val="14"/>
                <w:b w:val="1"/>
                <w:bCs w:val="1"/>
                <w:color w:val="auto"/>
              </w:rPr>
              <w:t>Revenue</w:t>
            </w:r>
          </w:p>
        </w:tc>
        <w:tc>
          <w:tcPr>
            <w:tcW w:w="10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other</w:t>
            </w:r>
          </w:p>
        </w:tc>
        <w:tc>
          <w:tcPr>
            <w:tcW w:w="940" w:type="dxa"/>
            <w:vAlign w:val="bottom"/>
            <w:vMerge w:val="restart"/>
          </w:tcPr>
          <w:p>
            <w:pPr>
              <w:jc w:val="right"/>
              <w:ind w:right="88"/>
              <w:spacing w:after="0" w:line="149" w:lineRule="exact"/>
              <w:rPr>
                <w:sz w:val="20"/>
                <w:szCs w:val="20"/>
                <w:color w:val="auto"/>
              </w:rPr>
            </w:pPr>
            <w:r>
              <w:rPr>
                <w:rFonts w:ascii="Arial" w:cs="Arial" w:eastAsia="Arial" w:hAnsi="Arial"/>
                <w:sz w:val="14"/>
                <w:szCs w:val="14"/>
                <w:b w:val="1"/>
                <w:bCs w:val="1"/>
                <w:color w:val="auto"/>
              </w:rPr>
              <w:t>Revenue</w:t>
            </w:r>
          </w:p>
        </w:tc>
        <w:tc>
          <w:tcPr>
            <w:tcW w:w="10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9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financing</w:t>
            </w:r>
          </w:p>
        </w:tc>
        <w:tc>
          <w:tcPr>
            <w:tcW w:w="9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5"/>
              </w:rPr>
              <w:t>costs, net</w:t>
            </w:r>
          </w:p>
        </w:tc>
        <w:tc>
          <w:tcPr>
            <w:tcW w:w="9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costs, net</w:t>
            </w:r>
          </w:p>
        </w:tc>
        <w:tc>
          <w:tcPr>
            <w:tcW w:w="0" w:type="dxa"/>
            <w:vAlign w:val="bottom"/>
          </w:tcPr>
          <w:p>
            <w:pPr>
              <w:spacing w:after="0"/>
              <w:rPr>
                <w:sz w:val="1"/>
                <w:szCs w:val="1"/>
                <w:color w:val="auto"/>
              </w:rPr>
            </w:pPr>
          </w:p>
        </w:tc>
      </w:tr>
      <w:tr>
        <w:trPr>
          <w:trHeight w:val="258"/>
        </w:trPr>
        <w:tc>
          <w:tcPr>
            <w:tcW w:w="920" w:type="dxa"/>
            <w:vAlign w:val="bottom"/>
          </w:tcPr>
          <w:p>
            <w:pPr>
              <w:jc w:val="right"/>
              <w:ind w:right="68"/>
              <w:spacing w:after="0"/>
              <w:rPr>
                <w:sz w:val="20"/>
                <w:szCs w:val="20"/>
                <w:color w:val="auto"/>
              </w:rPr>
            </w:pPr>
            <w:r>
              <w:rPr>
                <w:rFonts w:ascii="Arial" w:cs="Arial" w:eastAsia="Arial" w:hAnsi="Arial"/>
                <w:sz w:val="14"/>
                <w:szCs w:val="14"/>
                <w:color w:val="auto"/>
              </w:rPr>
              <w:t>$   11,173.5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   10,700.9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26.9</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  18,138.2</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   17,618.5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675"/>
        </w:trPr>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(14.3)</w:t>
            </w:r>
          </w:p>
        </w:tc>
        <w:tc>
          <w:tcPr>
            <w:tcW w:w="1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15.4</w:t>
            </w:r>
          </w:p>
        </w:tc>
        <w:tc>
          <w:tcPr>
            <w:tcW w:w="18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13.8</w:t>
            </w:r>
          </w:p>
        </w:tc>
        <w:tc>
          <w:tcPr>
            <w:tcW w:w="18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18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56"/>
        </w:trPr>
        <w:tc>
          <w:tcPr>
            <w:tcW w:w="920" w:type="dxa"/>
            <w:vAlign w:val="bottom"/>
          </w:tcPr>
          <w:p>
            <w:pPr>
              <w:jc w:val="right"/>
              <w:ind w:right="68"/>
              <w:spacing w:after="0"/>
              <w:rPr>
                <w:sz w:val="20"/>
                <w:szCs w:val="20"/>
                <w:color w:val="auto"/>
              </w:rPr>
            </w:pPr>
            <w:r>
              <w:rPr>
                <w:rFonts w:ascii="Arial" w:cs="Arial" w:eastAsia="Arial" w:hAnsi="Arial"/>
                <w:sz w:val="14"/>
                <w:szCs w:val="14"/>
                <w:color w:val="auto"/>
              </w:rPr>
              <w:t>41.0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(57.3)</w:t>
            </w:r>
          </w:p>
        </w:tc>
        <w:tc>
          <w:tcPr>
            <w:tcW w:w="180" w:type="dxa"/>
            <w:vAlign w:val="bottom"/>
          </w:tcPr>
          <w:p>
            <w:pPr>
              <w:spacing w:after="0"/>
              <w:rPr>
                <w:sz w:val="24"/>
                <w:szCs w:val="2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17.4</w:t>
            </w:r>
          </w:p>
        </w:tc>
        <w:tc>
          <w:tcPr>
            <w:tcW w:w="18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-1765935</wp:posOffset>
            </wp:positionV>
            <wp:extent cx="7089140" cy="514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9140" cy="5143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-1028700</wp:posOffset>
            </wp:positionV>
            <wp:extent cx="708914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-771525</wp:posOffset>
            </wp:positionV>
            <wp:extent cx="708914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-420370</wp:posOffset>
            </wp:positionV>
            <wp:extent cx="708914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-163195</wp:posOffset>
            </wp:positionV>
            <wp:extent cx="708914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9140" cy="222885"/>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4860" w:space="340"/>
            <w:col w:w="604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040" w:type="dxa"/>
            <w:vAlign w:val="bottom"/>
            <w:shd w:val="clear" w:color="auto" w:fill="CCEEFF"/>
          </w:tcPr>
          <w:p>
            <w:pPr>
              <w:ind w:left="2760"/>
              <w:spacing w:after="0"/>
              <w:rPr>
                <w:sz w:val="20"/>
                <w:szCs w:val="20"/>
                <w:color w:val="auto"/>
              </w:rPr>
            </w:pPr>
            <w:r>
              <w:rPr>
                <w:rFonts w:ascii="Arial" w:cs="Arial" w:eastAsia="Arial" w:hAnsi="Arial"/>
                <w:sz w:val="14"/>
                <w:szCs w:val="14"/>
                <w:color w:val="auto"/>
              </w:rPr>
              <w:t>Amount of Gain (Loss) Reclassified</w:t>
            </w: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5040" w:type="dxa"/>
            <w:vAlign w:val="bottom"/>
            <w:vMerge w:val="restart"/>
            <w:shd w:val="clear" w:color="auto" w:fill="CCEEFF"/>
          </w:tcPr>
          <w:p>
            <w:pPr>
              <w:ind w:left="2760"/>
              <w:spacing w:after="0"/>
              <w:rPr>
                <w:sz w:val="20"/>
                <w:szCs w:val="20"/>
                <w:color w:val="auto"/>
              </w:rPr>
            </w:pPr>
            <w:r>
              <w:rPr>
                <w:rFonts w:ascii="Arial" w:cs="Arial" w:eastAsia="Arial" w:hAnsi="Arial"/>
                <w:sz w:val="14"/>
                <w:szCs w:val="14"/>
                <w:color w:val="auto"/>
              </w:rPr>
              <w:t>from AOCI into Income</w:t>
            </w:r>
          </w:p>
        </w:tc>
        <w:tc>
          <w:tcPr>
            <w:tcW w:w="108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040" w:type="dxa"/>
            <w:vAlign w:val="bottom"/>
            <w:tcBorders>
              <w:bottom w:val="single" w:sz="8" w:color="auto"/>
            </w:tcBorders>
            <w:vMerge w:val="continue"/>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shd w:val="clear" w:color="auto" w:fill="CCEEFF"/>
          </w:tcPr>
          <w:p>
            <w:pPr>
              <w:spacing w:after="0"/>
              <w:rPr>
                <w:sz w:val="7"/>
                <w:szCs w:val="7"/>
                <w:color w:val="auto"/>
              </w:rPr>
            </w:pPr>
          </w:p>
        </w:tc>
        <w:tc>
          <w:tcPr>
            <w:tcW w:w="102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11,132.5</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   10,643.1</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26.9</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18,144.5</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17,637.2</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6"/>
        </w:trPr>
        <w:tc>
          <w:tcPr>
            <w:tcW w:w="5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and six months ended June 30, 2020 and 2019, there were no gains or losses recognized in earnings related to our fair value or cash flow hedges that were excluded from the assessment of hedge effectiveness.</w:t>
      </w:r>
    </w:p>
    <w:p>
      <w:pPr>
        <w:spacing w:after="0" w:line="197" w:lineRule="exact"/>
        <w:rPr>
          <w:sz w:val="20"/>
          <w:szCs w:val="20"/>
          <w:color w:val="auto"/>
        </w:rPr>
      </w:pPr>
    </w:p>
    <w:p>
      <w:pPr>
        <w:ind w:firstLine="482"/>
        <w:spacing w:after="0" w:line="308" w:lineRule="auto"/>
        <w:rPr>
          <w:sz w:val="20"/>
          <w:szCs w:val="20"/>
          <w:color w:val="auto"/>
        </w:rPr>
      </w:pPr>
      <w:r>
        <w:rPr>
          <w:rFonts w:ascii="Arial" w:cs="Arial" w:eastAsia="Arial" w:hAnsi="Arial"/>
          <w:sz w:val="17"/>
          <w:szCs w:val="17"/>
          <w:color w:val="auto"/>
        </w:rPr>
        <w:t>As of June 30, 2020, on a pre-tax basis for commodity cash flow hedges, $160.8 million and $170.8 million is scheduled to be reclassified from Accumulated other comprehensive loss as an increase to Revenue and increase to Cost of revenue, respectively, over the next twelve months.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6" w:name="page17"/>
    <w:bookmarkEnd w:id="16"/>
    <w:p>
      <w:pPr>
        <w:ind w:left="340"/>
        <w:spacing w:after="0"/>
        <w:rPr>
          <w:sz w:val="20"/>
          <w:szCs w:val="20"/>
          <w:color w:val="auto"/>
        </w:rPr>
      </w:pPr>
      <w:r>
        <w:rPr>
          <w:rFonts w:ascii="Arial" w:cs="Arial" w:eastAsia="Arial" w:hAnsi="Arial"/>
          <w:sz w:val="17"/>
          <w:szCs w:val="17"/>
          <w:color w:val="auto"/>
        </w:rPr>
        <w:t>The following table presents the effect and financial statement location of our derivative instruments in cash flow hedging relationships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and Consolidated Statements of Income and Comprehensive Income (in millions):</w:t>
      </w:r>
    </w:p>
    <w:p>
      <w:pPr>
        <w:sectPr>
          <w:pgSz w:w="11900" w:h="16838" w:orient="portrait"/>
          <w:cols w:equalWidth="0" w:num="1">
            <w:col w:w="11240"/>
          </w:cols>
          <w:pgMar w:left="320" w:top="1138" w:right="33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w w:val="92"/>
              </w:rPr>
              <w:t>Amount of Gain (Loss) Recognized in Accumulated</w:t>
            </w: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66"/>
        </w:trPr>
        <w:tc>
          <w:tcPr>
            <w:tcW w:w="3200" w:type="dxa"/>
            <w:vAlign w:val="bottom"/>
          </w:tcPr>
          <w:p>
            <w:pPr>
              <w:ind w:left="680"/>
              <w:spacing w:after="0"/>
              <w:rPr>
                <w:sz w:val="20"/>
                <w:szCs w:val="20"/>
                <w:color w:val="auto"/>
              </w:rPr>
            </w:pPr>
            <w:r>
              <w:rPr>
                <w:rFonts w:ascii="Arial" w:cs="Arial" w:eastAsia="Arial" w:hAnsi="Arial"/>
                <w:sz w:val="14"/>
                <w:szCs w:val="14"/>
                <w:b w:val="1"/>
                <w:bCs w:val="1"/>
                <w:color w:val="auto"/>
              </w:rPr>
              <w:t>Other Comprehensive Income</w:t>
            </w:r>
          </w:p>
        </w:tc>
        <w:tc>
          <w:tcPr>
            <w:tcW w:w="820" w:type="dxa"/>
            <w:vAlign w:val="bottom"/>
          </w:tcPr>
          <w:p>
            <w:pPr>
              <w:spacing w:after="0"/>
              <w:rPr>
                <w:sz w:val="14"/>
                <w:szCs w:val="14"/>
                <w:color w:val="auto"/>
              </w:rPr>
            </w:pPr>
          </w:p>
        </w:tc>
        <w:tc>
          <w:tcPr>
            <w:tcW w:w="1540" w:type="dxa"/>
            <w:vAlign w:val="bottom"/>
            <w:vMerge w:val="restart"/>
          </w:tcPr>
          <w:p>
            <w:pPr>
              <w:jc w:val="center"/>
              <w:ind w:right="74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3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68"/>
        </w:trPr>
        <w:tc>
          <w:tcPr>
            <w:tcW w:w="32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8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32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vMerge w:val="restart"/>
          </w:tcPr>
          <w:p>
            <w:pPr>
              <w:jc w:val="center"/>
              <w:ind w:right="72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100"/>
            <w:col w:w="5580"/>
          </w:cols>
          <w:pgMar w:left="320" w:top="1138"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30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(148.5)</w:t>
            </w:r>
          </w:p>
        </w:tc>
        <w:tc>
          <w:tcPr>
            <w:tcW w:w="4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6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27.0</w:t>
            </w:r>
          </w:p>
        </w:tc>
        <w:tc>
          <w:tcPr>
            <w:tcW w:w="5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197"/>
        </w:trPr>
        <w:tc>
          <w:tcPr>
            <w:tcW w:w="224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30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100.3</w:t>
            </w:r>
          </w:p>
        </w:tc>
        <w:tc>
          <w:tcPr>
            <w:tcW w:w="48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6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(56.2)</w:t>
            </w:r>
          </w:p>
        </w:tc>
        <w:tc>
          <w:tcPr>
            <w:tcW w:w="5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25.8</w:t>
            </w:r>
          </w:p>
        </w:tc>
      </w:tr>
      <w:tr>
        <w:trPr>
          <w:trHeight w:val="203"/>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rate contracts</w:t>
            </w:r>
          </w:p>
        </w:tc>
        <w:tc>
          <w:tcPr>
            <w:tcW w:w="1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4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 and other financing costs, net</w:t>
            </w:r>
          </w:p>
        </w:tc>
        <w:tc>
          <w:tcPr>
            <w:tcW w:w="6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(50.3)</w:t>
            </w:r>
          </w:p>
        </w:tc>
        <w:tc>
          <w:tcPr>
            <w:tcW w:w="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23.3</w:t>
            </w:r>
          </w:p>
        </w:tc>
      </w:tr>
      <w:tr>
        <w:trPr>
          <w:trHeight w:val="27"/>
        </w:trPr>
        <w:tc>
          <w:tcPr>
            <w:tcW w:w="2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190" w:lineRule="exact"/>
        <w:rPr>
          <w:sz w:val="20"/>
          <w:szCs w:val="20"/>
          <w:color w:val="auto"/>
        </w:rPr>
      </w:pPr>
    </w:p>
    <w:p>
      <w:pPr>
        <w:sectPr>
          <w:pgSz w:w="11900" w:h="16838" w:orient="portrait"/>
          <w:cols w:equalWidth="0" w:num="1">
            <w:col w:w="11240"/>
          </w:cols>
          <w:pgMar w:left="320" w:top="1138" w:right="3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w w:val="92"/>
              </w:rPr>
              <w:t>Amount of Gain (Loss) Recognized in Accumulated</w:t>
            </w:r>
          </w:p>
        </w:tc>
        <w:tc>
          <w:tcPr>
            <w:tcW w:w="2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66"/>
        </w:trPr>
        <w:tc>
          <w:tcPr>
            <w:tcW w:w="3200" w:type="dxa"/>
            <w:vAlign w:val="bottom"/>
          </w:tcPr>
          <w:p>
            <w:pPr>
              <w:ind w:left="680"/>
              <w:spacing w:after="0"/>
              <w:rPr>
                <w:sz w:val="20"/>
                <w:szCs w:val="20"/>
                <w:color w:val="auto"/>
              </w:rPr>
            </w:pPr>
            <w:r>
              <w:rPr>
                <w:rFonts w:ascii="Arial" w:cs="Arial" w:eastAsia="Arial" w:hAnsi="Arial"/>
                <w:sz w:val="14"/>
                <w:szCs w:val="14"/>
                <w:b w:val="1"/>
                <w:bCs w:val="1"/>
                <w:color w:val="auto"/>
              </w:rPr>
              <w:t>Other Comprehensive Income</w:t>
            </w:r>
          </w:p>
        </w:tc>
        <w:tc>
          <w:tcPr>
            <w:tcW w:w="820" w:type="dxa"/>
            <w:vAlign w:val="bottom"/>
          </w:tcPr>
          <w:p>
            <w:pPr>
              <w:spacing w:after="0"/>
              <w:rPr>
                <w:sz w:val="14"/>
                <w:szCs w:val="14"/>
                <w:color w:val="auto"/>
              </w:rPr>
            </w:pPr>
          </w:p>
        </w:tc>
        <w:tc>
          <w:tcPr>
            <w:tcW w:w="1540" w:type="dxa"/>
            <w:vAlign w:val="bottom"/>
            <w:vMerge w:val="restart"/>
          </w:tcPr>
          <w:p>
            <w:pPr>
              <w:jc w:val="center"/>
              <w:ind w:right="74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45"/>
        </w:trPr>
        <w:tc>
          <w:tcPr>
            <w:tcW w:w="3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9"/>
        </w:trPr>
        <w:tc>
          <w:tcPr>
            <w:tcW w:w="3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68"/>
        </w:trPr>
        <w:tc>
          <w:tcPr>
            <w:tcW w:w="32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8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32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vMerge w:val="restart"/>
          </w:tcPr>
          <w:p>
            <w:pPr>
              <w:jc w:val="center"/>
              <w:ind w:right="728"/>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100"/>
            <w:col w:w="5580"/>
          </w:cols>
          <w:pgMar w:left="320" w:top="1138"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130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185.6</w:t>
            </w:r>
          </w:p>
        </w:tc>
        <w:tc>
          <w:tcPr>
            <w:tcW w:w="4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(177.7)</w:t>
            </w:r>
          </w:p>
        </w:tc>
        <w:tc>
          <w:tcPr>
            <w:tcW w:w="100" w:type="dxa"/>
            <w:vAlign w:val="bottom"/>
          </w:tcPr>
          <w:p>
            <w:pPr>
              <w:spacing w:after="0"/>
              <w:rPr>
                <w:sz w:val="18"/>
                <w:szCs w:val="18"/>
                <w:color w:val="auto"/>
              </w:rPr>
            </w:pPr>
          </w:p>
        </w:tc>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62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41.0</w:t>
            </w:r>
          </w:p>
        </w:tc>
        <w:tc>
          <w:tcPr>
            <w:tcW w:w="5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197"/>
        </w:trPr>
        <w:tc>
          <w:tcPr>
            <w:tcW w:w="224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130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(197.4)</w:t>
            </w:r>
          </w:p>
        </w:tc>
        <w:tc>
          <w:tcPr>
            <w:tcW w:w="4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6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50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17.4</w:t>
            </w:r>
          </w:p>
        </w:tc>
      </w:tr>
      <w:tr>
        <w:trPr>
          <w:trHeight w:val="203"/>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rate contracts</w:t>
            </w:r>
          </w:p>
        </w:tc>
        <w:tc>
          <w:tcPr>
            <w:tcW w:w="1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 and other financing costs, net</w:t>
            </w:r>
          </w:p>
        </w:tc>
        <w:tc>
          <w:tcPr>
            <w:tcW w:w="6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Gain (Loss)</w:t>
            </w: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w:t>
            </w:r>
          </w:p>
        </w:tc>
        <w:tc>
          <w:tcPr>
            <w:tcW w:w="5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w:t>
            </w:r>
          </w:p>
        </w:tc>
      </w:tr>
      <w:tr>
        <w:trPr>
          <w:trHeight w:val="27"/>
        </w:trPr>
        <w:tc>
          <w:tcPr>
            <w:tcW w:w="2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effect and financial statement location of our derivative instruments not designated as hedging instruments 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(in millions):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ind w:left="220"/>
              <w:spacing w:after="0"/>
              <w:rPr>
                <w:sz w:val="20"/>
                <w:szCs w:val="20"/>
                <w:color w:val="auto"/>
              </w:rPr>
            </w:pPr>
            <w:r>
              <w:rPr>
                <w:rFonts w:ascii="Arial" w:cs="Arial" w:eastAsia="Arial" w:hAnsi="Arial"/>
                <w:sz w:val="14"/>
                <w:szCs w:val="14"/>
                <w:b w:val="1"/>
                <w:bCs w:val="1"/>
                <w:color w:val="auto"/>
              </w:rPr>
              <w:t>For the Three Months Ended</w:t>
            </w:r>
          </w:p>
        </w:tc>
      </w:tr>
      <w:tr>
        <w:trPr>
          <w:trHeight w:val="209"/>
        </w:trPr>
        <w:tc>
          <w:tcPr>
            <w:tcW w:w="46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196"/>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50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Location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r>
      <w:tr>
        <w:trPr>
          <w:trHeight w:val="202"/>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4680" w:type="dxa"/>
            <w:vAlign w:val="bottom"/>
          </w:tcPr>
          <w:p>
            <w:pPr>
              <w:spacing w:after="0"/>
              <w:rPr>
                <w:sz w:val="17"/>
                <w:szCs w:val="17"/>
                <w:color w:val="auto"/>
              </w:rPr>
            </w:pPr>
          </w:p>
        </w:tc>
        <w:tc>
          <w:tcPr>
            <w:tcW w:w="3500" w:type="dxa"/>
            <w:vAlign w:val="bottom"/>
          </w:tcPr>
          <w:p>
            <w:pPr>
              <w:ind w:left="172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34.1</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ind w:left="660"/>
              <w:spacing w:after="0"/>
              <w:rPr>
                <w:sz w:val="20"/>
                <w:szCs w:val="20"/>
                <w:color w:val="auto"/>
              </w:rPr>
            </w:pPr>
            <w:r>
              <w:rPr>
                <w:rFonts w:ascii="Arial" w:cs="Arial" w:eastAsia="Arial" w:hAnsi="Arial"/>
                <w:sz w:val="14"/>
                <w:szCs w:val="14"/>
                <w:color w:val="auto"/>
              </w:rPr>
              <w:t>69.4</w:t>
            </w:r>
          </w:p>
        </w:tc>
      </w:tr>
      <w:tr>
        <w:trPr>
          <w:trHeight w:val="203"/>
        </w:trPr>
        <w:tc>
          <w:tcPr>
            <w:tcW w:w="4680" w:type="dxa"/>
            <w:vAlign w:val="bottom"/>
            <w:shd w:val="clear" w:color="auto" w:fill="CCEEFF"/>
          </w:tcPr>
          <w:p>
            <w:pPr>
              <w:spacing w:after="0"/>
              <w:rPr>
                <w:sz w:val="17"/>
                <w:szCs w:val="17"/>
                <w:color w:val="auto"/>
              </w:rPr>
            </w:pPr>
          </w:p>
        </w:tc>
        <w:tc>
          <w:tcPr>
            <w:tcW w:w="350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(57.1)</w:t>
            </w:r>
          </w:p>
        </w:tc>
      </w:tr>
      <w:tr>
        <w:trPr>
          <w:trHeight w:val="196"/>
        </w:trPr>
        <w:tc>
          <w:tcPr>
            <w:tcW w:w="468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12.4</w:t>
            </w:r>
          </w:p>
        </w:tc>
      </w:tr>
      <w:tr>
        <w:trPr>
          <w:trHeight w:val="188"/>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7"/>
        </w:trPr>
        <w:tc>
          <w:tcPr>
            <w:tcW w:w="4680" w:type="dxa"/>
            <w:vAlign w:val="bottom"/>
          </w:tcPr>
          <w:p>
            <w:pPr>
              <w:spacing w:after="0"/>
              <w:rPr>
                <w:sz w:val="17"/>
                <w:szCs w:val="17"/>
                <w:color w:val="auto"/>
              </w:rPr>
            </w:pPr>
          </w:p>
        </w:tc>
        <w:tc>
          <w:tcPr>
            <w:tcW w:w="3500" w:type="dxa"/>
            <w:vAlign w:val="bottom"/>
          </w:tcPr>
          <w:p>
            <w:pPr>
              <w:ind w:left="1720"/>
              <w:spacing w:after="0"/>
              <w:rPr>
                <w:sz w:val="20"/>
                <w:szCs w:val="20"/>
                <w:color w:val="auto"/>
              </w:rPr>
            </w:pPr>
            <w:r>
              <w:rPr>
                <w:rFonts w:ascii="Arial" w:cs="Arial" w:eastAsia="Arial" w:hAnsi="Arial"/>
                <w:sz w:val="14"/>
                <w:szCs w:val="14"/>
                <w:color w:val="auto"/>
              </w:rPr>
              <w:t>Revenue</w:t>
            </w:r>
          </w:p>
        </w:tc>
        <w:tc>
          <w:tcPr>
            <w:tcW w:w="3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500" w:type="dxa"/>
            <w:vAlign w:val="bottom"/>
          </w:tcPr>
          <w:p>
            <w:pPr>
              <w:spacing w:after="0"/>
              <w:rPr>
                <w:sz w:val="17"/>
                <w:szCs w:val="17"/>
                <w:color w:val="auto"/>
              </w:rPr>
            </w:pPr>
          </w:p>
        </w:tc>
        <w:tc>
          <w:tcPr>
            <w:tcW w:w="10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203"/>
        </w:trPr>
        <w:tc>
          <w:tcPr>
            <w:tcW w:w="4680" w:type="dxa"/>
            <w:vAlign w:val="bottom"/>
            <w:shd w:val="clear" w:color="auto" w:fill="CCEEFF"/>
          </w:tcPr>
          <w:p>
            <w:pPr>
              <w:spacing w:after="0"/>
              <w:rPr>
                <w:sz w:val="17"/>
                <w:szCs w:val="17"/>
                <w:color w:val="auto"/>
              </w:rPr>
            </w:pPr>
          </w:p>
        </w:tc>
        <w:tc>
          <w:tcPr>
            <w:tcW w:w="350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Other (expense), net</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(1.3)</w:t>
            </w:r>
          </w:p>
        </w:tc>
      </w:tr>
      <w:tr>
        <w:trPr>
          <w:trHeight w:val="196"/>
        </w:trPr>
        <w:tc>
          <w:tcPr>
            <w:tcW w:w="46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(1.3)</w:t>
            </w:r>
          </w:p>
        </w:tc>
      </w:tr>
      <w:tr>
        <w:trPr>
          <w:trHeight w:val="221"/>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35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5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11.1</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46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196"/>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350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Location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2"/>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7"/>
        </w:trPr>
        <w:tc>
          <w:tcPr>
            <w:tcW w:w="4680" w:type="dxa"/>
            <w:vAlign w:val="bottom"/>
          </w:tcPr>
          <w:p>
            <w:pPr>
              <w:spacing w:after="0"/>
              <w:rPr>
                <w:sz w:val="17"/>
                <w:szCs w:val="17"/>
                <w:color w:val="auto"/>
              </w:rPr>
            </w:pPr>
          </w:p>
        </w:tc>
        <w:tc>
          <w:tcPr>
            <w:tcW w:w="3500" w:type="dxa"/>
            <w:vAlign w:val="bottom"/>
          </w:tcPr>
          <w:p>
            <w:pPr>
              <w:ind w:left="1720"/>
              <w:spacing w:after="0"/>
              <w:rPr>
                <w:sz w:val="20"/>
                <w:szCs w:val="20"/>
                <w:color w:val="auto"/>
              </w:rPr>
            </w:pPr>
            <w:r>
              <w:rPr>
                <w:rFonts w:ascii="Arial" w:cs="Arial" w:eastAsia="Arial" w:hAnsi="Arial"/>
                <w:sz w:val="14"/>
                <w:szCs w:val="14"/>
                <w:color w:val="auto"/>
              </w:rPr>
              <w:t>Revenue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113.3</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144.5</w:t>
            </w:r>
          </w:p>
        </w:tc>
      </w:tr>
      <w:tr>
        <w:trPr>
          <w:trHeight w:val="203"/>
        </w:trPr>
        <w:tc>
          <w:tcPr>
            <w:tcW w:w="4680" w:type="dxa"/>
            <w:vAlign w:val="bottom"/>
            <w:shd w:val="clear" w:color="auto" w:fill="CCEEFF"/>
          </w:tcPr>
          <w:p>
            <w:pPr>
              <w:spacing w:after="0"/>
              <w:rPr>
                <w:sz w:val="17"/>
                <w:szCs w:val="17"/>
                <w:color w:val="auto"/>
              </w:rPr>
            </w:pPr>
          </w:p>
        </w:tc>
        <w:tc>
          <w:tcPr>
            <w:tcW w:w="350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Cost of revenue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(123.0)</w:t>
            </w:r>
          </w:p>
        </w:tc>
      </w:tr>
      <w:tr>
        <w:trPr>
          <w:trHeight w:val="196"/>
        </w:trPr>
        <w:tc>
          <w:tcPr>
            <w:tcW w:w="468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102.9</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w:t>
            </w:r>
          </w:p>
        </w:tc>
      </w:tr>
      <w:tr>
        <w:trPr>
          <w:trHeight w:val="188"/>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7"/>
        </w:trPr>
        <w:tc>
          <w:tcPr>
            <w:tcW w:w="4680" w:type="dxa"/>
            <w:vAlign w:val="bottom"/>
          </w:tcPr>
          <w:p>
            <w:pPr>
              <w:spacing w:after="0"/>
              <w:rPr>
                <w:sz w:val="17"/>
                <w:szCs w:val="17"/>
                <w:color w:val="auto"/>
              </w:rPr>
            </w:pPr>
          </w:p>
        </w:tc>
        <w:tc>
          <w:tcPr>
            <w:tcW w:w="3500" w:type="dxa"/>
            <w:vAlign w:val="bottom"/>
          </w:tcPr>
          <w:p>
            <w:pPr>
              <w:ind w:left="1720"/>
              <w:spacing w:after="0"/>
              <w:rPr>
                <w:sz w:val="20"/>
                <w:szCs w:val="20"/>
                <w:color w:val="auto"/>
              </w:rPr>
            </w:pPr>
            <w:r>
              <w:rPr>
                <w:rFonts w:ascii="Arial" w:cs="Arial" w:eastAsia="Arial" w:hAnsi="Arial"/>
                <w:sz w:val="14"/>
                <w:szCs w:val="14"/>
                <w:color w:val="auto"/>
              </w:rPr>
              <w:t>Revenue</w:t>
            </w:r>
          </w:p>
        </w:tc>
        <w:tc>
          <w:tcPr>
            <w:tcW w:w="34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(0.1)</w:t>
            </w:r>
          </w:p>
        </w:tc>
      </w:tr>
      <w:tr>
        <w:trPr>
          <w:trHeight w:val="203"/>
        </w:trPr>
        <w:tc>
          <w:tcPr>
            <w:tcW w:w="4680" w:type="dxa"/>
            <w:vAlign w:val="bottom"/>
            <w:shd w:val="clear" w:color="auto" w:fill="CCEEFF"/>
          </w:tcPr>
          <w:p>
            <w:pPr>
              <w:spacing w:after="0"/>
              <w:rPr>
                <w:sz w:val="17"/>
                <w:szCs w:val="17"/>
                <w:color w:val="auto"/>
              </w:rPr>
            </w:pPr>
          </w:p>
        </w:tc>
        <w:tc>
          <w:tcPr>
            <w:tcW w:w="350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Other (expense), net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10.7</w:t>
            </w:r>
          </w:p>
        </w:tc>
        <w:tc>
          <w:tcPr>
            <w:tcW w:w="5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r>
      <w:tr>
        <w:trPr>
          <w:trHeight w:val="196"/>
        </w:trPr>
        <w:tc>
          <w:tcPr>
            <w:tcW w:w="46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r>
      <w:tr>
        <w:trPr>
          <w:trHeight w:val="221"/>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35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113.6</w:t>
            </w:r>
          </w:p>
        </w:tc>
        <w:tc>
          <w:tcPr>
            <w:tcW w:w="5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20.6</w:t>
            </w: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enter into derivative contracts, which may require us to provide collateral periodically. Additionally, certain derivative contracts contain credit-risk-related contingent clauses that are triggered by credit events. These credit events may include the requirement to provide additional collateral or the immediate settlement of the derivative instruments upon the occurrence of such credit event or default. The following table presents the potential collateral requirements for derivative liabilities with credit-risk-contingent features as of June 30, 2020 and December 31, 2019 (in millions):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333333"/>
              </w:rPr>
              <w:t>Potential Collateral Requirements for</w:t>
            </w:r>
          </w:p>
        </w:tc>
        <w:tc>
          <w:tcPr>
            <w:tcW w:w="500" w:type="dxa"/>
            <w:vAlign w:val="bottom"/>
          </w:tcPr>
          <w:p>
            <w:pPr>
              <w:spacing w:after="0"/>
              <w:rPr>
                <w:sz w:val="14"/>
                <w:szCs w:val="14"/>
                <w:color w:val="auto"/>
              </w:rPr>
            </w:pPr>
          </w:p>
        </w:tc>
      </w:tr>
      <w:tr>
        <w:trPr>
          <w:trHeight w:val="148"/>
        </w:trPr>
        <w:tc>
          <w:tcPr>
            <w:tcW w:w="7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2"/>
          </w:tcPr>
          <w:p>
            <w:pPr>
              <w:jc w:val="right"/>
              <w:ind w:right="388"/>
              <w:spacing w:after="0" w:line="149" w:lineRule="exact"/>
              <w:rPr>
                <w:sz w:val="20"/>
                <w:szCs w:val="20"/>
                <w:color w:val="auto"/>
              </w:rPr>
            </w:pPr>
            <w:r>
              <w:rPr>
                <w:rFonts w:ascii="Arial" w:cs="Arial" w:eastAsia="Arial" w:hAnsi="Arial"/>
                <w:sz w:val="14"/>
                <w:szCs w:val="14"/>
                <w:b w:val="1"/>
                <w:bCs w:val="1"/>
                <w:color w:val="333333"/>
              </w:rPr>
              <w:t>Derivative Liabilities with</w:t>
            </w:r>
          </w:p>
        </w:tc>
        <w:tc>
          <w:tcPr>
            <w:tcW w:w="500" w:type="dxa"/>
            <w:vAlign w:val="bottom"/>
          </w:tcPr>
          <w:p>
            <w:pPr>
              <w:spacing w:after="0"/>
              <w:rPr>
                <w:sz w:val="12"/>
                <w:szCs w:val="12"/>
                <w:color w:val="auto"/>
              </w:rPr>
            </w:pPr>
          </w:p>
        </w:tc>
      </w:tr>
      <w:tr>
        <w:trPr>
          <w:trHeight w:val="192"/>
        </w:trPr>
        <w:tc>
          <w:tcPr>
            <w:tcW w:w="7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333333"/>
              </w:rPr>
              <w:t>Credit-Risk-Contingent Features</w:t>
            </w:r>
          </w:p>
        </w:tc>
        <w:tc>
          <w:tcPr>
            <w:tcW w:w="50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333333"/>
                <w:w w:val="95"/>
              </w:rPr>
              <w:t>As of June 30, 2020</w:t>
            </w:r>
          </w:p>
        </w:tc>
        <w:tc>
          <w:tcPr>
            <w:tcW w:w="18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333333"/>
              </w:rPr>
              <w:t>As of December 31, 2019</w:t>
            </w:r>
          </w:p>
        </w:tc>
      </w:tr>
      <w:tr>
        <w:trPr>
          <w:trHeight w:val="20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derivative liability positions with credit contingent features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w:t>
            </w:r>
          </w:p>
        </w:tc>
        <w:tc>
          <w:tcPr>
            <w:tcW w:w="13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45.6</w:t>
            </w:r>
          </w:p>
        </w:tc>
      </w:tr>
      <w:tr>
        <w:trPr>
          <w:trHeight w:val="19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Collateral posted and held by our counterparties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21"/>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Maximum additional potential collateral requirements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65.2</w:t>
            </w:r>
          </w:p>
        </w:tc>
        <w:tc>
          <w:tcPr>
            <w:tcW w:w="132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45.6</w:t>
            </w:r>
          </w:p>
        </w:tc>
      </w:tr>
      <w:tr>
        <w:trPr>
          <w:trHeight w:val="20"/>
        </w:trPr>
        <w:tc>
          <w:tcPr>
            <w:tcW w:w="7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Goodwill arises because the purchase price paid for our acquisitions reflects numerous factors, including the strategic fit and expected synergies these acquisitions bring to our existing operations. Goodwill is recorded at fair value and is reviewed at least annually for impairment.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the components of and changes in the carrying amount of goodwill for the six months ended June 30, 2020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Aviation</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xml:space="preserve">Land </w:t>
            </w:r>
            <w:r>
              <w:rPr>
                <w:rFonts w:ascii="Arial" w:cs="Arial" w:eastAsia="Arial" w:hAnsi="Arial"/>
                <w:sz w:val="9"/>
                <w:szCs w:val="9"/>
                <w:b w:val="1"/>
                <w:bCs w:val="1"/>
                <w:color w:val="auto"/>
              </w:rPr>
              <w:t>(1)</w:t>
            </w: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0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26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323.6</w:t>
            </w:r>
          </w:p>
        </w:tc>
        <w:tc>
          <w:tcPr>
            <w:tcW w:w="62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520.1</w:t>
            </w:r>
          </w:p>
        </w:tc>
        <w:tc>
          <w:tcPr>
            <w:tcW w:w="58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843.7</w:t>
            </w:r>
          </w:p>
        </w:tc>
      </w:tr>
      <w:tr>
        <w:trPr>
          <w:trHeight w:val="196"/>
        </w:trPr>
        <w:tc>
          <w:tcPr>
            <w:tcW w:w="4460" w:type="dxa"/>
            <w:vAlign w:val="bottom"/>
          </w:tcPr>
          <w:p>
            <w:pPr>
              <w:ind w:left="20"/>
              <w:spacing w:after="0"/>
              <w:rPr>
                <w:sz w:val="20"/>
                <w:szCs w:val="20"/>
                <w:color w:val="auto"/>
              </w:rPr>
            </w:pPr>
            <w:r>
              <w:rPr>
                <w:rFonts w:ascii="Arial" w:cs="Arial" w:eastAsia="Arial" w:hAnsi="Arial"/>
                <w:sz w:val="14"/>
                <w:szCs w:val="14"/>
                <w:color w:val="auto"/>
              </w:rPr>
              <w:t>Additions</w:t>
            </w:r>
          </w:p>
        </w:tc>
        <w:tc>
          <w:tcPr>
            <w:tcW w:w="262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78.7</w:t>
            </w:r>
          </w:p>
        </w:tc>
        <w:tc>
          <w:tcPr>
            <w:tcW w:w="62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78.7</w:t>
            </w:r>
          </w:p>
        </w:tc>
      </w:tr>
      <w:tr>
        <w:trPr>
          <w:trHeight w:val="203"/>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exchange and other adjustments</w:t>
            </w:r>
          </w:p>
        </w:tc>
        <w:tc>
          <w:tcPr>
            <w:tcW w:w="26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6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w:t>
            </w:r>
          </w:p>
        </w:tc>
        <w:tc>
          <w:tcPr>
            <w:tcW w:w="5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r>
      <w:tr>
        <w:trPr>
          <w:trHeight w:val="196"/>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June 30, 2020</w:t>
            </w:r>
          </w:p>
        </w:tc>
        <w:tc>
          <w:tcPr>
            <w:tcW w:w="26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402.2</w:t>
            </w:r>
          </w:p>
        </w:tc>
        <w:tc>
          <w:tcPr>
            <w:tcW w:w="6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511.3</w:t>
            </w:r>
          </w:p>
        </w:tc>
        <w:tc>
          <w:tcPr>
            <w:tcW w:w="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913.5</w:t>
            </w:r>
          </w:p>
        </w:tc>
      </w:tr>
      <w:tr>
        <w:trPr>
          <w:trHeight w:val="26"/>
        </w:trPr>
        <w:tc>
          <w:tcPr>
            <w:tcW w:w="44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ind w:left="300"/>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At June 30, 2020, $446.7 million of the land segment's goodwill amount relates to the land reporting unit.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Interest Income, Expense and Other Finance Costs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consisted of the following as of June 30, 2020 and December 31, 2019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1"/>
              </w:rPr>
              <w:t>As of</w:t>
            </w:r>
          </w:p>
        </w:tc>
        <w:tc>
          <w:tcPr>
            <w:tcW w:w="1300" w:type="dxa"/>
            <w:vAlign w:val="bottom"/>
            <w:tcBorders>
              <w:bottom w:val="single" w:sz="8" w:color="auto"/>
            </w:tcBorders>
          </w:tcPr>
          <w:p>
            <w:pPr>
              <w:spacing w:after="0"/>
              <w:rPr>
                <w:sz w:val="16"/>
                <w:szCs w:val="16"/>
                <w:color w:val="auto"/>
              </w:rPr>
            </w:pPr>
          </w:p>
        </w:tc>
      </w:tr>
      <w:tr>
        <w:trPr>
          <w:trHeight w:val="190"/>
        </w:trPr>
        <w:tc>
          <w:tcPr>
            <w:tcW w:w="8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8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96"/>
        </w:trPr>
        <w:tc>
          <w:tcPr>
            <w:tcW w:w="8100" w:type="dxa"/>
            <w:vAlign w:val="bottom"/>
          </w:tcPr>
          <w:p>
            <w:pPr>
              <w:ind w:left="20"/>
              <w:spacing w:after="0"/>
              <w:rPr>
                <w:sz w:val="20"/>
                <w:szCs w:val="20"/>
                <w:color w:val="auto"/>
              </w:rPr>
            </w:pPr>
            <w:r>
              <w:rPr>
                <w:rFonts w:ascii="Arial" w:cs="Arial" w:eastAsia="Arial" w:hAnsi="Arial"/>
                <w:sz w:val="14"/>
                <w:szCs w:val="14"/>
                <w:color w:val="auto"/>
              </w:rPr>
              <w:t>Credit Facility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530.0</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55.0</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515.6</w:t>
            </w:r>
          </w:p>
        </w:tc>
      </w:tr>
      <w:tr>
        <w:trPr>
          <w:trHeight w:val="197"/>
        </w:trPr>
        <w:tc>
          <w:tcPr>
            <w:tcW w:w="810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w:t>
            </w:r>
          </w:p>
        </w:tc>
        <w:tc>
          <w:tcPr>
            <w:tcW w:w="440" w:type="dxa"/>
            <w:vAlign w:val="bottom"/>
          </w:tcPr>
          <w:p>
            <w:pPr>
              <w:spacing w:after="0"/>
              <w:rPr>
                <w:sz w:val="17"/>
                <w:szCs w:val="17"/>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18.7</w:t>
            </w:r>
          </w:p>
        </w:tc>
      </w:tr>
      <w:tr>
        <w:trPr>
          <w:trHeight w:val="20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9"/>
                <w:szCs w:val="9"/>
                <w:color w:val="auto"/>
              </w:rPr>
              <w:t>(1)</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4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39.5</w:t>
            </w:r>
          </w:p>
        </w:tc>
      </w:tr>
      <w:tr>
        <w:trPr>
          <w:trHeight w:val="19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debt</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1,097.2</w:t>
            </w: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628.8</w:t>
            </w:r>
          </w:p>
        </w:tc>
      </w:tr>
      <w:tr>
        <w:trPr>
          <w:trHeight w:val="202"/>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maturities of long-term debt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r>
      <w:tr>
        <w:trPr>
          <w:trHeight w:val="19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1,043.3</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574.7</w:t>
            </w:r>
          </w:p>
        </w:tc>
      </w:tr>
      <w:tr>
        <w:trPr>
          <w:trHeight w:val="27"/>
        </w:trPr>
        <w:tc>
          <w:tcPr>
            <w:tcW w:w="8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13" w:lineRule="exact"/>
        <w:rPr>
          <w:sz w:val="20"/>
          <w:szCs w:val="20"/>
          <w:color w:val="auto"/>
        </w:rPr>
      </w:pPr>
    </w:p>
    <w:p>
      <w:pPr>
        <w:ind w:left="520" w:hanging="152"/>
        <w:spacing w:after="0"/>
        <w:tabs>
          <w:tab w:leader="none" w:pos="52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secured borrowings of $37.7 million (EUR 33.6 million), due within 12 months, for the transfer of tax receivables as of June 30,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for the three and six months ended June 30, 2020 and 2019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4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For the Six Months Ended</w:t>
            </w:r>
          </w:p>
        </w:tc>
      </w:tr>
      <w:tr>
        <w:trPr>
          <w:trHeight w:val="209"/>
        </w:trPr>
        <w:tc>
          <w:tcPr>
            <w:tcW w:w="5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196"/>
        </w:trPr>
        <w:tc>
          <w:tcPr>
            <w:tcW w:w="5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r>
      <w:tr>
        <w:trPr>
          <w:trHeight w:val="20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10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w:t>
            </w:r>
          </w:p>
        </w:tc>
        <w:tc>
          <w:tcPr>
            <w:tcW w:w="4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r>
      <w:tr>
        <w:trPr>
          <w:trHeight w:val="19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financing costs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w:t>
            </w:r>
          </w:p>
        </w:tc>
        <w:tc>
          <w:tcPr>
            <w:tcW w:w="10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w:t>
            </w:r>
          </w:p>
        </w:tc>
      </w:tr>
      <w:tr>
        <w:trPr>
          <w:trHeight w:val="221"/>
        </w:trPr>
        <w:tc>
          <w:tcPr>
            <w:tcW w:w="5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0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4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w:t>
            </w: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carrying amounts of cash and cash equivalents, net accounts receivable, accounts payable and accrued expenses and other current liabilities approximate fair value based on their short-term maturities. The carrying values of our debt and notes receivable approximate fair value since these instruments bear interest either at variable rates or fixed rates, which are not significantly different from market rates. Based on the fair value hierarchy, our total debt of $1.1 billion and $628.8 million as of June 30, 2020 and December 31, 2019, respectively, and our notes receivable of $23.4 million and $21.0 million as of June 30, 2020 and December 31, 2019, respectively, were categorized as Level 2.</w:t>
      </w: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following tables present information about our gross assets and liabilities that are measured at fair value on a recurring basis as of June 30, 2020 and December 31, 2019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Fair Value Measurements as of June 30, 2020</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6"/>
        </w:trPr>
        <w:tc>
          <w:tcPr>
            <w:tcW w:w="4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3 Inputs</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202"/>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7"/>
        </w:trPr>
        <w:tc>
          <w:tcPr>
            <w:tcW w:w="4120" w:type="dxa"/>
            <w:vAlign w:val="bottom"/>
          </w:tcPr>
          <w:p>
            <w:pPr>
              <w:ind w:left="120"/>
              <w:spacing w:after="0"/>
              <w:rPr>
                <w:sz w:val="20"/>
                <w:szCs w:val="20"/>
                <w:color w:val="auto"/>
              </w:rPr>
            </w:pPr>
            <w:r>
              <w:rPr>
                <w:rFonts w:ascii="Arial" w:cs="Arial" w:eastAsia="Arial" w:hAnsi="Arial"/>
                <w:sz w:val="14"/>
                <w:szCs w:val="14"/>
                <w:color w:val="auto"/>
              </w:rPr>
              <w:t>Commodities contracts</w:t>
            </w: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417.8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259.7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14.8</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692.4</w:t>
            </w:r>
          </w:p>
        </w:tc>
      </w:tr>
      <w:tr>
        <w:trPr>
          <w:trHeight w:val="208"/>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contracts</w:t>
            </w: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r>
      <w:tr>
        <w:trPr>
          <w:trHeight w:val="197"/>
        </w:trPr>
        <w:tc>
          <w:tcPr>
            <w:tcW w:w="4120" w:type="dxa"/>
            <w:vAlign w:val="bottom"/>
          </w:tcPr>
          <w:p>
            <w:pPr>
              <w:ind w:left="120"/>
              <w:spacing w:after="0"/>
              <w:rPr>
                <w:sz w:val="20"/>
                <w:szCs w:val="20"/>
                <w:color w:val="auto"/>
              </w:rPr>
            </w:pPr>
            <w:r>
              <w:rPr>
                <w:rFonts w:ascii="Arial" w:cs="Arial" w:eastAsia="Arial" w:hAnsi="Arial"/>
                <w:sz w:val="14"/>
                <w:szCs w:val="14"/>
                <w:color w:val="auto"/>
              </w:rPr>
              <w:t>Interest rate contract</w:t>
            </w:r>
          </w:p>
        </w:tc>
        <w:tc>
          <w:tcPr>
            <w:tcW w:w="200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41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Cash surrender value of life insurance</w:t>
            </w:r>
          </w:p>
        </w:tc>
        <w:tc>
          <w:tcPr>
            <w:tcW w:w="20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9.2</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w:t>
            </w:r>
          </w:p>
        </w:tc>
      </w:tr>
      <w:tr>
        <w:trPr>
          <w:trHeight w:val="19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assets at fair value</w:t>
            </w:r>
          </w:p>
        </w:tc>
        <w:tc>
          <w:tcPr>
            <w:tcW w:w="2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417.8</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271.3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14.8</w:t>
            </w: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704.0</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Commodities contracts</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437.7</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181.7</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3.8</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623.2</w:t>
            </w:r>
          </w:p>
        </w:tc>
      </w:tr>
      <w:tr>
        <w:trPr>
          <w:trHeight w:val="196"/>
        </w:trPr>
        <w:tc>
          <w:tcPr>
            <w:tcW w:w="412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200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10.9</w:t>
            </w:r>
          </w:p>
        </w:tc>
        <w:tc>
          <w:tcPr>
            <w:tcW w:w="280" w:type="dxa"/>
            <w:vAlign w:val="bottom"/>
          </w:tcPr>
          <w:p>
            <w:pPr>
              <w:spacing w:after="0"/>
              <w:rPr>
                <w:sz w:val="17"/>
                <w:szCs w:val="17"/>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10.9</w:t>
            </w:r>
          </w:p>
        </w:tc>
      </w:tr>
      <w:tr>
        <w:trPr>
          <w:trHeight w:val="203"/>
        </w:trPr>
        <w:tc>
          <w:tcPr>
            <w:tcW w:w="41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Interest rate contract</w:t>
            </w:r>
          </w:p>
        </w:tc>
        <w:tc>
          <w:tcPr>
            <w:tcW w:w="20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4.9</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r>
      <w:tr>
        <w:trPr>
          <w:trHeight w:val="19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liabilities at fair value</w:t>
            </w:r>
          </w:p>
        </w:tc>
        <w:tc>
          <w:tcPr>
            <w:tcW w:w="2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437.7</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197.6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w:t>
            </w: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639.1</w:t>
            </w:r>
          </w:p>
        </w:tc>
      </w:tr>
      <w:tr>
        <w:trPr>
          <w:trHeight w:val="26"/>
        </w:trPr>
        <w:tc>
          <w:tcPr>
            <w:tcW w:w="4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gridSpan w:val="6"/>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20"/>
        </w:trPr>
        <w:tc>
          <w:tcPr>
            <w:tcW w:w="4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6"/>
          </w:tcPr>
          <w:p>
            <w:pPr>
              <w:jc w:val="right"/>
              <w:ind w:right="288"/>
              <w:spacing w:after="0"/>
              <w:rPr>
                <w:sz w:val="20"/>
                <w:szCs w:val="20"/>
                <w:color w:val="auto"/>
              </w:rPr>
            </w:pPr>
            <w:r>
              <w:rPr>
                <w:rFonts w:ascii="Arial" w:cs="Arial" w:eastAsia="Arial" w:hAnsi="Arial"/>
                <w:sz w:val="14"/>
                <w:szCs w:val="14"/>
                <w:b w:val="1"/>
                <w:bCs w:val="1"/>
                <w:color w:val="auto"/>
              </w:rPr>
              <w:t>Fair Value Measurements as of December 31, 2019</w:t>
            </w:r>
          </w:p>
        </w:tc>
        <w:tc>
          <w:tcPr>
            <w:tcW w:w="820" w:type="dxa"/>
            <w:vAlign w:val="bottom"/>
            <w:tcBorders>
              <w:bottom w:val="single" w:sz="8" w:color="auto"/>
            </w:tcBorders>
          </w:tcPr>
          <w:p>
            <w:pPr>
              <w:spacing w:after="0"/>
              <w:rPr>
                <w:sz w:val="24"/>
                <w:szCs w:val="24"/>
                <w:color w:val="auto"/>
              </w:rPr>
            </w:pPr>
          </w:p>
        </w:tc>
      </w:tr>
      <w:tr>
        <w:trPr>
          <w:trHeight w:val="196"/>
        </w:trPr>
        <w:tc>
          <w:tcPr>
            <w:tcW w:w="4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 Inputs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 Inputs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Level 3 Inputs</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Assets:</w:t>
            </w:r>
          </w:p>
        </w:tc>
        <w:tc>
          <w:tcPr>
            <w:tcW w:w="2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8"/>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Commodities contracts</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148.3</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10.7</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259.0</w:t>
            </w:r>
          </w:p>
        </w:tc>
      </w:tr>
      <w:tr>
        <w:trPr>
          <w:trHeight w:val="197"/>
        </w:trPr>
        <w:tc>
          <w:tcPr>
            <w:tcW w:w="4120" w:type="dxa"/>
            <w:vAlign w:val="bottom"/>
          </w:tcPr>
          <w:p>
            <w:pPr>
              <w:ind w:left="120"/>
              <w:spacing w:after="0"/>
              <w:rPr>
                <w:sz w:val="20"/>
                <w:szCs w:val="20"/>
                <w:color w:val="auto"/>
              </w:rPr>
            </w:pPr>
            <w:r>
              <w:rPr>
                <w:rFonts w:ascii="Arial" w:cs="Arial" w:eastAsia="Arial" w:hAnsi="Arial"/>
                <w:sz w:val="14"/>
                <w:szCs w:val="14"/>
                <w:color w:val="auto"/>
              </w:rPr>
              <w:t>Foreign currency contracts</w:t>
            </w:r>
          </w:p>
        </w:tc>
        <w:tc>
          <w:tcPr>
            <w:tcW w:w="200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7"/>
                <w:szCs w:val="17"/>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2.0</w:t>
            </w:r>
          </w:p>
        </w:tc>
      </w:tr>
      <w:tr>
        <w:trPr>
          <w:trHeight w:val="203"/>
        </w:trPr>
        <w:tc>
          <w:tcPr>
            <w:tcW w:w="41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Cash surrender value of life insurance</w:t>
            </w:r>
          </w:p>
        </w:tc>
        <w:tc>
          <w:tcPr>
            <w:tcW w:w="20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9.4</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w:t>
            </w:r>
          </w:p>
        </w:tc>
      </w:tr>
      <w:tr>
        <w:trPr>
          <w:trHeight w:val="196"/>
        </w:trPr>
        <w:tc>
          <w:tcPr>
            <w:tcW w:w="41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Total assets at fair value</w:t>
            </w:r>
          </w:p>
        </w:tc>
        <w:tc>
          <w:tcPr>
            <w:tcW w:w="2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148.3</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111.4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10.7</w:t>
            </w: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270.4</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196"/>
        </w:trPr>
        <w:tc>
          <w:tcPr>
            <w:tcW w:w="41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4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Commodities contracts</w:t>
            </w:r>
          </w:p>
        </w:tc>
        <w:tc>
          <w:tcPr>
            <w:tcW w:w="2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177.6</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69.3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8.1</w:t>
            </w: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255.0</w:t>
            </w:r>
          </w:p>
        </w:tc>
      </w:tr>
      <w:tr>
        <w:trPr>
          <w:trHeight w:val="196"/>
        </w:trPr>
        <w:tc>
          <w:tcPr>
            <w:tcW w:w="41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Foreign currency contracts</w:t>
            </w:r>
          </w:p>
        </w:tc>
        <w:tc>
          <w:tcPr>
            <w:tcW w:w="2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11.6</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w:t>
            </w:r>
          </w:p>
        </w:tc>
      </w:tr>
      <w:tr>
        <w:trPr>
          <w:trHeight w:val="221"/>
        </w:trPr>
        <w:tc>
          <w:tcPr>
            <w:tcW w:w="4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Total liabilities at fair value</w:t>
            </w:r>
          </w:p>
        </w:tc>
        <w:tc>
          <w:tcPr>
            <w:tcW w:w="2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177.6</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80.9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8.1</w:t>
            </w: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266.6</w:t>
            </w:r>
          </w:p>
        </w:tc>
      </w:tr>
      <w:tr>
        <w:trPr>
          <w:trHeight w:val="20"/>
        </w:trPr>
        <w:tc>
          <w:tcPr>
            <w:tcW w:w="41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left="340"/>
        <w:spacing w:after="0"/>
        <w:rPr>
          <w:sz w:val="20"/>
          <w:szCs w:val="20"/>
          <w:color w:val="auto"/>
        </w:rPr>
      </w:pPr>
      <w:r>
        <w:rPr>
          <w:rFonts w:ascii="Arial" w:cs="Arial" w:eastAsia="Arial" w:hAnsi="Arial"/>
          <w:sz w:val="16"/>
          <w:szCs w:val="16"/>
          <w:color w:val="auto"/>
        </w:rPr>
        <w:t>The fair values of our commodity contracts measured using Level 3 inputs were not material at June 30, 2020 and December 31, 2019, respectively.</w:t>
      </w:r>
    </w:p>
    <w:p>
      <w:pPr>
        <w:spacing w:after="0" w:line="2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tables summarize those derivative balances subject to the right of offset as presented on our Consolidated Balance Sheets as of June 30, 2020 and December 31, 2019. We have elected to offset the recognized fair value amounts for multiple derivative instruments executed with the same counterparty in our financial statements when a legal right of offset exists.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Fair Value as of June 30, 2020</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0"/>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Gross Amounts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17"/>
                <w:szCs w:val="17"/>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Gross Amounts</w:t>
            </w:r>
          </w:p>
        </w:tc>
        <w:tc>
          <w:tcPr>
            <w:tcW w:w="2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Net Amounts</w:t>
            </w:r>
          </w:p>
        </w:tc>
        <w:tc>
          <w:tcPr>
            <w:tcW w:w="320" w:type="dxa"/>
            <w:vAlign w:val="bottom"/>
          </w:tcPr>
          <w:p>
            <w:pPr>
              <w:spacing w:after="0"/>
              <w:rPr>
                <w:sz w:val="17"/>
                <w:szCs w:val="17"/>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87"/>
              </w:rPr>
              <w:t>Cash</w:t>
            </w:r>
          </w:p>
        </w:tc>
        <w:tc>
          <w:tcPr>
            <w:tcW w:w="260" w:type="dxa"/>
            <w:vAlign w:val="bottom"/>
          </w:tcPr>
          <w:p>
            <w:pPr>
              <w:spacing w:after="0"/>
              <w:rPr>
                <w:sz w:val="17"/>
                <w:szCs w:val="17"/>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without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Offset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Presented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7"/>
              </w:rPr>
              <w:t>Collateral</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Right of Offset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292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692.4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507.5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184.9</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177.4</w:t>
            </w:r>
          </w:p>
        </w:tc>
      </w:tr>
      <w:tr>
        <w:trPr>
          <w:trHeight w:val="208"/>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currency contracts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w:t>
            </w:r>
          </w:p>
        </w:tc>
      </w:tr>
      <w:tr>
        <w:trPr>
          <w:trHeight w:val="221"/>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assets at fair value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694.8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185.1</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177.7</w:t>
            </w: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623.2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507.5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115.7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19.5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96.2</w:t>
            </w: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w:t>
            </w:r>
          </w:p>
        </w:tc>
      </w:tr>
      <w:tr>
        <w:trPr>
          <w:trHeight w:val="19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currency contracts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w:t>
            </w:r>
          </w:p>
        </w:tc>
      </w:tr>
      <w:tr>
        <w:trPr>
          <w:trHeight w:val="221"/>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liabilities at fair value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129.4</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109.9</w:t>
            </w: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2"/>
              </w:rPr>
              <w:t>Fair Value as of December 31, 2019</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90"/>
        </w:trPr>
        <w:tc>
          <w:tcPr>
            <w:tcW w:w="2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Gross Amounts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17"/>
                <w:szCs w:val="17"/>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Gross Amounts</w:t>
            </w:r>
          </w:p>
        </w:tc>
        <w:tc>
          <w:tcPr>
            <w:tcW w:w="220" w:type="dxa"/>
            <w:vAlign w:val="bottom"/>
          </w:tcPr>
          <w:p>
            <w:pPr>
              <w:spacing w:after="0"/>
              <w:rPr>
                <w:sz w:val="17"/>
                <w:szCs w:val="17"/>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Net Amounts</w:t>
            </w:r>
          </w:p>
        </w:tc>
        <w:tc>
          <w:tcPr>
            <w:tcW w:w="320" w:type="dxa"/>
            <w:vAlign w:val="bottom"/>
          </w:tcPr>
          <w:p>
            <w:pPr>
              <w:spacing w:after="0"/>
              <w:rPr>
                <w:sz w:val="17"/>
                <w:szCs w:val="17"/>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auto"/>
                <w:w w:val="87"/>
              </w:rPr>
              <w:t>Cash</w:t>
            </w:r>
          </w:p>
        </w:tc>
        <w:tc>
          <w:tcPr>
            <w:tcW w:w="260" w:type="dxa"/>
            <w:vAlign w:val="bottom"/>
          </w:tcPr>
          <w:p>
            <w:pPr>
              <w:spacing w:after="0"/>
              <w:rPr>
                <w:sz w:val="17"/>
                <w:szCs w:val="17"/>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without</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Offset</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Presented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7"/>
              </w:rPr>
              <w:t>Collateral</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2"/>
              </w:rPr>
              <w:t>Right of Offset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7"/>
        </w:trPr>
        <w:tc>
          <w:tcPr>
            <w:tcW w:w="2920" w:type="dxa"/>
            <w:vAlign w:val="bottom"/>
          </w:tcPr>
          <w:p>
            <w:pPr>
              <w:ind w:left="20"/>
              <w:spacing w:after="0"/>
              <w:rPr>
                <w:sz w:val="20"/>
                <w:szCs w:val="20"/>
                <w:color w:val="auto"/>
              </w:rPr>
            </w:pPr>
            <w:r>
              <w:rPr>
                <w:rFonts w:ascii="Arial" w:cs="Arial" w:eastAsia="Arial" w:hAnsi="Arial"/>
                <w:sz w:val="14"/>
                <w:szCs w:val="14"/>
                <w:color w:val="auto"/>
              </w:rPr>
              <w:t>Commodities contracts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259.0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129.0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129.0</w:t>
            </w:r>
          </w:p>
        </w:tc>
      </w:tr>
      <w:tr>
        <w:trPr>
          <w:trHeight w:val="202"/>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2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19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assets at fair value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130.0</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130.0</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197"/>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8"/>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Commodities contracts</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29.3</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95.7</w:t>
            </w:r>
          </w:p>
        </w:tc>
      </w:tr>
      <w:tr>
        <w:trPr>
          <w:trHeight w:val="19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Foreign currency contracts</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w:t>
            </w:r>
          </w:p>
        </w:tc>
      </w:tr>
      <w:tr>
        <w:trPr>
          <w:trHeight w:val="221"/>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liabilities at fair value</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135.5</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106.3</w:t>
            </w: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2020 and December 31, 2019, we did not present any amounts gross on our Consolidated Balance Sheets where we had the right of offset.</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Concentration of Credit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June 30, 2020, one of our counterparties, with an exposure amount of $18.7 million, represented over 10% of our credit exposure to OTC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8.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and the respective effective income tax rates are as follows (in millions, except for income tax rates):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4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For the Three Months Ended</w:t>
            </w: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50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3"/>
              </w:rPr>
              <w:t>For the Six Months Ended</w:t>
            </w:r>
          </w:p>
        </w:tc>
        <w:tc>
          <w:tcPr>
            <w:tcW w:w="160" w:type="dxa"/>
            <w:vAlign w:val="bottom"/>
          </w:tcPr>
          <w:p>
            <w:pPr>
              <w:spacing w:after="0"/>
              <w:rPr>
                <w:sz w:val="16"/>
                <w:szCs w:val="16"/>
                <w:color w:val="auto"/>
              </w:rPr>
            </w:pPr>
          </w:p>
        </w:tc>
      </w:tr>
      <w:tr>
        <w:trPr>
          <w:trHeight w:val="209"/>
        </w:trPr>
        <w:tc>
          <w:tcPr>
            <w:tcW w:w="5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r>
      <w:tr>
        <w:trPr>
          <w:trHeight w:val="196"/>
        </w:trPr>
        <w:tc>
          <w:tcPr>
            <w:tcW w:w="5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r>
      <w:tr>
        <w:trPr>
          <w:trHeight w:val="221"/>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7.7</w:t>
            </w:r>
          </w:p>
        </w:tc>
        <w:tc>
          <w:tcPr>
            <w:tcW w:w="96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6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6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60" w:type="dxa"/>
            <w:vAlign w:val="bottom"/>
            <w:tcBorders>
              <w:bottom w:val="single" w:sz="8" w:color="auto"/>
            </w:tcBorders>
            <w:shd w:val="clear" w:color="auto" w:fill="CCEEFF"/>
          </w:tcPr>
          <w:p>
            <w:pPr>
              <w:spacing w:after="0"/>
              <w:rPr>
                <w:sz w:val="18"/>
                <w:szCs w:val="18"/>
                <w:color w:val="auto"/>
              </w:rPr>
            </w:pP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15"/>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7"/>
              </w:rPr>
              <w:t>(258) %</w:t>
            </w:r>
          </w:p>
        </w:tc>
        <w:tc>
          <w:tcPr>
            <w:tcW w:w="9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62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66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9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9"/>
        <w:spacing w:after="0" w:line="286" w:lineRule="auto"/>
        <w:rPr>
          <w:sz w:val="20"/>
          <w:szCs w:val="20"/>
          <w:color w:val="auto"/>
        </w:rPr>
      </w:pPr>
      <w:r>
        <w:rPr>
          <w:rFonts w:ascii="Arial" w:cs="Arial" w:eastAsia="Arial" w:hAnsi="Arial"/>
          <w:sz w:val="17"/>
          <w:szCs w:val="17"/>
          <w:color w:val="auto"/>
        </w:rPr>
        <w:t>Our provision for income taxes for the three months ended June 30, 2020, was $7.7 million, resulting in an effective income tax rate of (258%). The provision includes a net discrete tax expense of $3.4 million for the period related primarily to return to provision adjustments resulting from tax return filings in several foreign jurisdictions. Without the $3.4 million in discrete items, the effective income tax rate would have been (144)%.</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provision for income taxes for the three months ended June 30, 2019, was $20.0 million resulting in an effective tax rate of 35%. The provision includes a net discrete income tax expense of $0.8 million for the period. Without the $0.8 million in discrete items, the effective income tax rate would have been 33%.</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provision for income taxes for the six months ended June 30, 2020, was $23.7 million, resulting in an effective income tax rate of 43%. The provision includes a net discrete tax expense of $4.4 million for the period related primarily to return to provision adjustments resulting from tax return filings in several foreign jurisdictions. Without the $4.4 million in discrete items, the effective income tax rate would have been 35%.</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provision for income taxes for the six months ended June 30, 2019, was $34.0 million resulting in an effective tax rate of 31%. The provision includes a net discrete income tax benefit of $2.0 million for the period. Without the $2.0 million in discrete items, the effective income tax rate would have been 33%.</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income tax concession in Singapore, which reduces the income tax rate on qualified sales and derivative gains and losses decreased foreign income taxes by $0.8 million and $0.6 million for the three months ended June 30, 2020 and 2019, respectively. The impact of the income tax concession on basic earnings per common share was $0.01 and $0.01 for the three months ended June 30, 2020 and 2019, respectively and $0.01 and $0.01 on a diluted earnings per common share basis, respectively.</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income tax concession decreased foreign income taxes by $2.7 million and $1.5 million for the six months ended June 30, 2020 and 2019, respectively. The impact of the income tax concession on basic earnings per common share was $0.04 and $0.02 for the six months ended June 30, 2020 and 2019, respectively and $0.04 and $0.02 on a diluted earnings per common share basis, respectively.</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provision for income taxes for the three and six months ended June 30, 2020 and 2019 was calculated based on the estimated annual effective income tax rate for the 2020 and 2019 fiscal years. The actual effective income tax rate for the 2020 fiscal year may be materially different as a result of differences between estimated versus actual results and the geographic tax jurisdictions in which the results are earned.</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20, 2020, the Internal Revenue Service (“IRS”) released final regulations relating to the high tax exception rules under the global intangible low-tax income ("GILTI") and Subpart F income provisions of the Code which are effective for years beginning after July 23, 2020; however taxpayers may choose to apply the regulations for tax years beginning after December 31, 2017. The company is in the process of reviewing the final regulations and determining the potential impact if any.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ind w:firstLine="324"/>
        <w:spacing w:after="0" w:line="270" w:lineRule="auto"/>
        <w:rPr>
          <w:sz w:val="20"/>
          <w:szCs w:val="20"/>
          <w:color w:val="auto"/>
        </w:rPr>
      </w:pPr>
      <w:r>
        <w:rPr>
          <w:rFonts w:ascii="Arial" w:cs="Arial" w:eastAsia="Arial" w:hAnsi="Arial"/>
          <w:sz w:val="17"/>
          <w:szCs w:val="17"/>
          <w:color w:val="auto"/>
        </w:rPr>
        <w:t>We have various tax returns under examination both in the U.S. and foreign jurisdictions. The most significant of these are in Denmark for the 2013 to 2015 tax years, South Korea for the 2011 to 2014 tax years, and the U.S. for the 2017 to 2018 tax years. In 2018, one of our subsidiaries in Denmark received an audit inquiry from the Danish tax authorities regarding transfer pricing and other related matters for the tax years 2013 to 2015. In the second quarter 2019, it received a proposed tax adjustment of approximately $1.7 million (DKK 11.2 million) related to the 2013 tax year and on April 30, 2020, it received a proposed tax adjustment of approximately $1.3 million (DKK 8.6 million) related to the 2014 tax year. We are responding to the proposed income adjustments and other information requests from the Danish tax authorities. In 2017, the Korean Branch of one of our subsidiaries received income tax assessment notices for $9.4 million (KRW 11.3 billion) from the South Korea tax authorities. We believe that these assessments are without merit and are currently appealing the actions. On March 11, 2020, the U.S. Internal Revenue Service began the audit of our 2017 and 2018 tax years, and we are currently responding to their information requests.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 unfavorable resolution of one or more of the above matters could have a material adverse effect on our result of operations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256"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8"/>
          <w:szCs w:val="18"/>
          <w:color w:val="auto"/>
        </w:rPr>
        <w:t>Our contracts with customers primarily require us to deliver fuel and fuel-related products, while other arrangements require us to complete agreed-upon services. Revenue from the sale of fuel is recognized when our customers obtain control of the fuel, which is typically upon delivery of each promised gallon or barrel to an agreed-upon delivery point. We generally recognize revenue for services provided over the contract period when services have been performed based on our right to invoice for those services.</w:t>
      </w:r>
    </w:p>
    <w:p>
      <w:pPr>
        <w:spacing w:after="0" w:line="214" w:lineRule="exact"/>
        <w:rPr>
          <w:sz w:val="20"/>
          <w:szCs w:val="20"/>
          <w:color w:val="auto"/>
        </w:rPr>
      </w:pPr>
    </w:p>
    <w:p>
      <w:pPr>
        <w:jc w:val="both"/>
        <w:ind w:firstLine="511"/>
        <w:spacing w:after="0" w:line="275" w:lineRule="auto"/>
        <w:rPr>
          <w:sz w:val="20"/>
          <w:szCs w:val="20"/>
          <w:color w:val="auto"/>
        </w:rPr>
      </w:pPr>
      <w:r>
        <w:rPr>
          <w:rFonts w:ascii="Arial" w:cs="Arial" w:eastAsia="Arial" w:hAnsi="Arial"/>
          <w:sz w:val="17"/>
          <w:szCs w:val="17"/>
          <w:color w:val="auto"/>
        </w:rPr>
        <w:t>Our contracts may contain fixed or variable pricing (such as market or index-based pricing) or some combination of those. Within our land and aviation segments,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have elected to apply the optional exemption from estimating and disclosing the variable consideration from our remaining performance obligations under these contracts.</w:t>
      </w:r>
    </w:p>
    <w:p>
      <w:pPr>
        <w:spacing w:after="0" w:line="203" w:lineRule="exact"/>
        <w:rPr>
          <w:sz w:val="20"/>
          <w:szCs w:val="20"/>
          <w:color w:val="auto"/>
        </w:rPr>
      </w:pPr>
    </w:p>
    <w:p>
      <w:pPr>
        <w:jc w:val="both"/>
        <w:ind w:firstLine="508"/>
        <w:spacing w:after="0" w:line="255" w:lineRule="auto"/>
        <w:rPr>
          <w:sz w:val="20"/>
          <w:szCs w:val="20"/>
          <w:color w:val="auto"/>
        </w:rPr>
      </w:pPr>
      <w:r>
        <w:rPr>
          <w:rFonts w:ascii="Arial" w:cs="Arial" w:eastAsia="Arial" w:hAnsi="Arial"/>
          <w:sz w:val="18"/>
          <w:szCs w:val="18"/>
          <w:color w:val="auto"/>
        </w:rPr>
        <w:t>We also have fixed price fuel and fuel-related product sale contracts with a contract term of less than one year (typically one month). For these contracts, we apply the optional exemption to not disclose the amount of transaction price allocated to remaining performance obligations. We also apply this exemption to those contracts in which the right to consideration corresponds directly with the value to the customer of the entity's performance to date. In limited cases, we may have multi-period fixed price contracts. Because our long-term supply arrangements that exceed one year are typically based on market index prices as previously discussed, the transaction price associated with remaining performance obligations under multi-year fixed price fuel sale contracts is not significant.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firstLine="324"/>
        <w:spacing w:after="0" w:line="277"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we conduct business in for the three and six months ended June 30, 2020 and 2019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32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196"/>
        </w:trPr>
        <w:tc>
          <w:tcPr>
            <w:tcW w:w="5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103.9</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340.8</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357.9</w:t>
            </w:r>
          </w:p>
        </w:tc>
        <w:tc>
          <w:tcPr>
            <w:tcW w:w="4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705.2</w:t>
            </w:r>
          </w:p>
        </w:tc>
      </w:tr>
      <w:tr>
        <w:trPr>
          <w:trHeight w:val="196"/>
        </w:trPr>
        <w:tc>
          <w:tcPr>
            <w:tcW w:w="5980" w:type="dxa"/>
            <w:vAlign w:val="bottom"/>
          </w:tcPr>
          <w:p>
            <w:pPr>
              <w:ind w:left="20"/>
              <w:spacing w:after="0"/>
              <w:rPr>
                <w:sz w:val="20"/>
                <w:szCs w:val="20"/>
                <w:color w:val="auto"/>
              </w:rPr>
            </w:pPr>
            <w:r>
              <w:rPr>
                <w:rFonts w:ascii="Arial" w:cs="Arial" w:eastAsia="Arial" w:hAnsi="Arial"/>
                <w:sz w:val="14"/>
                <w:szCs w:val="14"/>
                <w:color w:val="auto"/>
              </w:rPr>
              <w:t>Land</w:t>
            </w:r>
          </w:p>
        </w:tc>
        <w:tc>
          <w:tcPr>
            <w:tcW w:w="2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4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3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4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9.0</w:t>
            </w:r>
          </w:p>
        </w:tc>
      </w:tr>
      <w:tr>
        <w:trPr>
          <w:trHeight w:val="203"/>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441.0</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719.5</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1,365.7</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1,428.4</w:t>
            </w:r>
          </w:p>
        </w:tc>
      </w:tr>
      <w:tr>
        <w:trPr>
          <w:trHeight w:val="196"/>
        </w:trPr>
        <w:tc>
          <w:tcPr>
            <w:tcW w:w="5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Asia Pacific</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545.8</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1,064.5</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1,729.1</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2,142.6</w:t>
            </w:r>
          </w:p>
        </w:tc>
      </w:tr>
      <w:tr>
        <w:trPr>
          <w:trHeight w:val="202"/>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5980" w:type="dxa"/>
            <w:vAlign w:val="bottom"/>
          </w:tcPr>
          <w:p>
            <w:pPr>
              <w:ind w:left="20"/>
              <w:spacing w:after="0"/>
              <w:rPr>
                <w:sz w:val="20"/>
                <w:szCs w:val="20"/>
                <w:color w:val="auto"/>
              </w:rPr>
            </w:pPr>
            <w:r>
              <w:rPr>
                <w:rFonts w:ascii="Arial" w:cs="Arial" w:eastAsia="Arial" w:hAnsi="Arial"/>
                <w:sz w:val="14"/>
                <w:szCs w:val="14"/>
                <w:color w:val="auto"/>
              </w:rPr>
              <w:t>Aviation</w:t>
            </w:r>
          </w:p>
        </w:tc>
        <w:tc>
          <w:tcPr>
            <w:tcW w:w="2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157.8</w:t>
            </w:r>
          </w:p>
        </w:tc>
        <w:tc>
          <w:tcPr>
            <w:tcW w:w="4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1,008.8</w:t>
            </w:r>
          </w:p>
        </w:tc>
        <w:tc>
          <w:tcPr>
            <w:tcW w:w="3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796.6</w:t>
            </w:r>
          </w:p>
        </w:tc>
        <w:tc>
          <w:tcPr>
            <w:tcW w:w="4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1,727.9</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569.7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932.1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1,210.2</w:t>
            </w:r>
          </w:p>
        </w:tc>
      </w:tr>
      <w:tr>
        <w:trPr>
          <w:trHeight w:val="196"/>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Marine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285.0</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736.3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896.2</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1,391.1</w:t>
            </w:r>
          </w:p>
        </w:tc>
      </w:tr>
      <w:tr>
        <w:trPr>
          <w:trHeight w:val="196"/>
        </w:trPr>
        <w:tc>
          <w:tcPr>
            <w:tcW w:w="5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EMEA</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756.7</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2,314.9</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2,625.0</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4,329.2</w:t>
            </w: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77.2</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614.6</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656.7</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1,160.3</w:t>
            </w:r>
          </w:p>
        </w:tc>
      </w:tr>
      <w:tr>
        <w:trPr>
          <w:trHeight w:val="197"/>
        </w:trPr>
        <w:tc>
          <w:tcPr>
            <w:tcW w:w="5980" w:type="dxa"/>
            <w:vAlign w:val="bottom"/>
          </w:tcPr>
          <w:p>
            <w:pPr>
              <w:ind w:left="20"/>
              <w:spacing w:after="0"/>
              <w:rPr>
                <w:sz w:val="20"/>
                <w:szCs w:val="20"/>
                <w:color w:val="auto"/>
              </w:rPr>
            </w:pPr>
            <w:r>
              <w:rPr>
                <w:rFonts w:ascii="Arial" w:cs="Arial" w:eastAsia="Arial" w:hAnsi="Arial"/>
                <w:sz w:val="14"/>
                <w:szCs w:val="14"/>
                <w:color w:val="auto"/>
              </w:rPr>
              <w:t>Land</w:t>
            </w:r>
          </w:p>
        </w:tc>
        <w:tc>
          <w:tcPr>
            <w:tcW w:w="2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76.4</w:t>
            </w:r>
          </w:p>
        </w:tc>
        <w:tc>
          <w:tcPr>
            <w:tcW w:w="4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149.6</w:t>
            </w:r>
          </w:p>
        </w:tc>
        <w:tc>
          <w:tcPr>
            <w:tcW w:w="3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206.8</w:t>
            </w:r>
          </w:p>
        </w:tc>
        <w:tc>
          <w:tcPr>
            <w:tcW w:w="4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288.5</w:t>
            </w:r>
          </w:p>
        </w:tc>
      </w:tr>
      <w:tr>
        <w:trPr>
          <w:trHeight w:val="203"/>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83.1</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143.4</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316.4</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334.9</w:t>
            </w:r>
          </w:p>
        </w:tc>
      </w:tr>
      <w:tr>
        <w:trPr>
          <w:trHeight w:val="196"/>
        </w:trPr>
        <w:tc>
          <w:tcPr>
            <w:tcW w:w="5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LATAM</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236.7</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907.6</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1,179.9</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1,783.7</w:t>
            </w:r>
          </w:p>
        </w:tc>
      </w:tr>
      <w:tr>
        <w:trPr>
          <w:trHeight w:val="202"/>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7"/>
        </w:trPr>
        <w:tc>
          <w:tcPr>
            <w:tcW w:w="5980" w:type="dxa"/>
            <w:vAlign w:val="bottom"/>
          </w:tcPr>
          <w:p>
            <w:pPr>
              <w:ind w:left="20"/>
              <w:spacing w:after="0"/>
              <w:rPr>
                <w:sz w:val="20"/>
                <w:szCs w:val="20"/>
                <w:color w:val="auto"/>
              </w:rPr>
            </w:pPr>
            <w:r>
              <w:rPr>
                <w:rFonts w:ascii="Arial" w:cs="Arial" w:eastAsia="Arial" w:hAnsi="Arial"/>
                <w:sz w:val="14"/>
                <w:szCs w:val="14"/>
                <w:color w:val="auto"/>
              </w:rPr>
              <w:t>Aviation</w:t>
            </w:r>
          </w:p>
        </w:tc>
        <w:tc>
          <w:tcPr>
            <w:tcW w:w="24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500.6</w:t>
            </w:r>
          </w:p>
        </w:tc>
        <w:tc>
          <w:tcPr>
            <w:tcW w:w="4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2,828.5</w:t>
            </w:r>
          </w:p>
        </w:tc>
        <w:tc>
          <w:tcPr>
            <w:tcW w:w="380" w:type="dxa"/>
            <w:vAlign w:val="bottom"/>
          </w:tcPr>
          <w:p>
            <w:pPr>
              <w:spacing w:after="0"/>
              <w:rPr>
                <w:sz w:val="17"/>
                <w:szCs w:val="17"/>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2,607.1</w:t>
            </w:r>
          </w:p>
        </w:tc>
        <w:tc>
          <w:tcPr>
            <w:tcW w:w="48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5,476.5</w:t>
            </w:r>
          </w:p>
        </w:tc>
      </w:tr>
      <w:tr>
        <w:trPr>
          <w:trHeight w:val="208"/>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804.9</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1,884.6</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2,134.2</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3,519.0</w:t>
            </w:r>
          </w:p>
        </w:tc>
      </w:tr>
      <w:tr>
        <w:trPr>
          <w:trHeight w:val="19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Marine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134.2</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347.9</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476.4</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682.4</w:t>
            </w:r>
          </w:p>
        </w:tc>
      </w:tr>
      <w:tr>
        <w:trPr>
          <w:trHeight w:val="196"/>
        </w:trPr>
        <w:tc>
          <w:tcPr>
            <w:tcW w:w="5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North America</w:t>
            </w: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1,439.7</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5,061.0</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5,217.7</w:t>
            </w:r>
          </w:p>
        </w:tc>
        <w:tc>
          <w:tcPr>
            <w:tcW w:w="4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9,677.9</w:t>
            </w:r>
          </w:p>
        </w:tc>
      </w:tr>
      <w:tr>
        <w:trPr>
          <w:trHeight w:val="202"/>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Other revenues (excluded from ASC 606) </w:t>
            </w:r>
            <w:r>
              <w:rPr>
                <w:rFonts w:ascii="Arial" w:cs="Arial" w:eastAsia="Arial" w:hAnsi="Arial"/>
                <w:sz w:val="9"/>
                <w:szCs w:val="9"/>
                <w:color w:val="auto"/>
              </w:rPr>
              <w:t>(1)</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179.6</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111.3</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421.9</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204.8</w:t>
            </w:r>
          </w:p>
        </w:tc>
      </w:tr>
      <w:tr>
        <w:trPr>
          <w:trHeight w:val="216"/>
        </w:trPr>
        <w:tc>
          <w:tcPr>
            <w:tcW w:w="5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5"/>
        </w:trPr>
        <w:tc>
          <w:tcPr>
            <w:tcW w:w="59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3,158.3</w:t>
            </w:r>
          </w:p>
        </w:tc>
        <w:tc>
          <w:tcPr>
            <w:tcW w:w="4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9,459.4</w:t>
            </w:r>
          </w:p>
        </w:tc>
        <w:tc>
          <w:tcPr>
            <w:tcW w:w="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11,173.5</w:t>
            </w:r>
          </w:p>
        </w:tc>
        <w:tc>
          <w:tcPr>
            <w:tcW w:w="4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18,138.2</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40" w:hanging="144"/>
        <w:spacing w:after="0"/>
        <w:tabs>
          <w:tab w:leader="none" w:pos="44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revenue from leases and other transactions that we account for under separate guidance.</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nature of the receivables related to revenue from contracts with customers and Other revenues (excluded from ASC 606) are substantially similar, as they are both generated from transactions with the same type of counterparties (e.g., separate fuel sales and storage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Furthermore, as of June 30, 2020 and December 31, 2019, the contract assets and contract liabilities recognized by the Company were not material.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third-tier airlines, cargo carriers, regional and low cost carriers, airports, fixed based operators, corporate fleets, fractional operators, private aircraft. In addition, we supply products and services to U.S. and foreign government, intergovernmental and military customers, such as the North Atlantic Treaty Organization (NATO) and the U.S. Defense Logistics Agency.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jc w:val="both"/>
        <w:ind w:firstLine="324"/>
        <w:spacing w:after="0" w:line="263" w:lineRule="auto"/>
        <w:rPr>
          <w:sz w:val="20"/>
          <w:szCs w:val="20"/>
          <w:color w:val="auto"/>
        </w:rPr>
      </w:pPr>
      <w:r>
        <w:rPr>
          <w:rFonts w:ascii="Arial" w:cs="Arial" w:eastAsia="Arial" w:hAnsi="Arial"/>
          <w:sz w:val="18"/>
          <w:szCs w:val="18"/>
          <w:color w:val="auto"/>
        </w:rPr>
        <w:t>In our land segment, we offer fuel, lubricants, power and natural gas solutions through World Kinect global energy management brand, our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concerning our revenue, gross profit and income from operations by reportable segment is as follows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2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2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40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r>
      <w:tr>
        <w:trPr>
          <w:trHeight w:val="19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Revenue:</w:t>
            </w:r>
          </w:p>
        </w:tc>
        <w:tc>
          <w:tcPr>
            <w:tcW w:w="2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02"/>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2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1,020.6</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4,785.0</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4,784.8</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9,037.7</w:t>
            </w:r>
          </w:p>
        </w:tc>
      </w:tr>
      <w:tr>
        <w:trPr>
          <w:trHeight w:val="197"/>
        </w:trPr>
        <w:tc>
          <w:tcPr>
            <w:tcW w:w="4060" w:type="dxa"/>
            <w:vAlign w:val="bottom"/>
          </w:tcPr>
          <w:p>
            <w:pPr>
              <w:ind w:left="120"/>
              <w:spacing w:after="0"/>
              <w:rPr>
                <w:sz w:val="20"/>
                <w:szCs w:val="20"/>
                <w:color w:val="auto"/>
              </w:rPr>
            </w:pPr>
            <w:r>
              <w:rPr>
                <w:rFonts w:ascii="Arial" w:cs="Arial" w:eastAsia="Arial" w:hAnsi="Arial"/>
                <w:sz w:val="14"/>
                <w:szCs w:val="14"/>
                <w:color w:val="auto"/>
              </w:rPr>
              <w:t>Land segment</w:t>
            </w:r>
          </w:p>
        </w:tc>
        <w:tc>
          <w:tcPr>
            <w:tcW w:w="2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1,197.6</w:t>
            </w:r>
          </w:p>
        </w:tc>
        <w:tc>
          <w:tcPr>
            <w:tcW w:w="4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2,663.0</w:t>
            </w:r>
          </w:p>
        </w:tc>
        <w:tc>
          <w:tcPr>
            <w:tcW w:w="3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3,303.6</w:t>
            </w:r>
          </w:p>
        </w:tc>
        <w:tc>
          <w:tcPr>
            <w:tcW w:w="4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5,156.6</w:t>
            </w:r>
          </w:p>
        </w:tc>
      </w:tr>
      <w:tr>
        <w:trPr>
          <w:trHeight w:val="203"/>
        </w:trPr>
        <w:tc>
          <w:tcPr>
            <w:tcW w:w="4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2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940.2</w:t>
            </w: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2,011.4</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3,085.2</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3,943.9</w:t>
            </w:r>
          </w:p>
        </w:tc>
      </w:tr>
      <w:tr>
        <w:trPr>
          <w:trHeight w:val="196"/>
        </w:trPr>
        <w:tc>
          <w:tcPr>
            <w:tcW w:w="40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3,158.3</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9,459.4</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11,173.5</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18,138.2</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3"/>
        </w:trPr>
        <w:tc>
          <w:tcPr>
            <w:tcW w:w="406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196"/>
        </w:trPr>
        <w:tc>
          <w:tcPr>
            <w:tcW w:w="406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2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91.9</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140.5</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254.8</w:t>
            </w:r>
          </w:p>
        </w:tc>
      </w:tr>
      <w:tr>
        <w:trPr>
          <w:trHeight w:val="196"/>
        </w:trPr>
        <w:tc>
          <w:tcPr>
            <w:tcW w:w="4060" w:type="dxa"/>
            <w:vAlign w:val="bottom"/>
          </w:tcPr>
          <w:p>
            <w:pPr>
              <w:ind w:left="120"/>
              <w:spacing w:after="0"/>
              <w:rPr>
                <w:sz w:val="20"/>
                <w:szCs w:val="20"/>
                <w:color w:val="auto"/>
              </w:rPr>
            </w:pPr>
            <w:r>
              <w:rPr>
                <w:rFonts w:ascii="Arial" w:cs="Arial" w:eastAsia="Arial" w:hAnsi="Arial"/>
                <w:sz w:val="14"/>
                <w:szCs w:val="14"/>
                <w:color w:val="auto"/>
              </w:rPr>
              <w:t>Land segment</w:t>
            </w:r>
          </w:p>
        </w:tc>
        <w:tc>
          <w:tcPr>
            <w:tcW w:w="2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84.8</w:t>
            </w:r>
          </w:p>
        </w:tc>
        <w:tc>
          <w:tcPr>
            <w:tcW w:w="4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3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191.0</w:t>
            </w:r>
          </w:p>
        </w:tc>
        <w:tc>
          <w:tcPr>
            <w:tcW w:w="4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193.2</w:t>
            </w:r>
          </w:p>
        </w:tc>
      </w:tr>
      <w:tr>
        <w:trPr>
          <w:trHeight w:val="203"/>
        </w:trPr>
        <w:tc>
          <w:tcPr>
            <w:tcW w:w="4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2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96.6</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71.6</w:t>
            </w:r>
          </w:p>
        </w:tc>
      </w:tr>
      <w:tr>
        <w:trPr>
          <w:trHeight w:val="175"/>
        </w:trPr>
        <w:tc>
          <w:tcPr>
            <w:tcW w:w="40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213.9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268.6</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472.6</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519.7</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7"/>
        </w:trPr>
        <w:tc>
          <w:tcPr>
            <w:tcW w:w="406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2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8"/>
        </w:trPr>
        <w:tc>
          <w:tcPr>
            <w:tcW w:w="4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2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73.5</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w:t>
            </w:r>
          </w:p>
        </w:tc>
        <w:tc>
          <w:tcPr>
            <w:tcW w:w="4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129.1</w:t>
            </w:r>
          </w:p>
        </w:tc>
      </w:tr>
      <w:tr>
        <w:trPr>
          <w:trHeight w:val="197"/>
        </w:trPr>
        <w:tc>
          <w:tcPr>
            <w:tcW w:w="4060" w:type="dxa"/>
            <w:vAlign w:val="bottom"/>
          </w:tcPr>
          <w:p>
            <w:pPr>
              <w:ind w:left="120"/>
              <w:spacing w:after="0"/>
              <w:rPr>
                <w:sz w:val="20"/>
                <w:szCs w:val="20"/>
                <w:color w:val="auto"/>
              </w:rPr>
            </w:pPr>
            <w:r>
              <w:rPr>
                <w:rFonts w:ascii="Arial" w:cs="Arial" w:eastAsia="Arial" w:hAnsi="Arial"/>
                <w:sz w:val="14"/>
                <w:szCs w:val="14"/>
                <w:color w:val="auto"/>
              </w:rPr>
              <w:t>Land segment</w:t>
            </w:r>
          </w:p>
        </w:tc>
        <w:tc>
          <w:tcPr>
            <w:tcW w:w="2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4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3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35.3</w:t>
            </w:r>
          </w:p>
        </w:tc>
        <w:tc>
          <w:tcPr>
            <w:tcW w:w="4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32.8</w:t>
            </w:r>
          </w:p>
        </w:tc>
      </w:tr>
      <w:tr>
        <w:trPr>
          <w:trHeight w:val="203"/>
        </w:trPr>
        <w:tc>
          <w:tcPr>
            <w:tcW w:w="4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2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47.2</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23.6</w:t>
            </w:r>
          </w:p>
        </w:tc>
      </w:tr>
      <w:tr>
        <w:trPr>
          <w:trHeight w:val="196"/>
        </w:trPr>
        <w:tc>
          <w:tcPr>
            <w:tcW w:w="4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32.0</w:t>
            </w:r>
          </w:p>
        </w:tc>
        <w:tc>
          <w:tcPr>
            <w:tcW w:w="4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95.4</w:t>
            </w:r>
          </w:p>
        </w:tc>
        <w:tc>
          <w:tcPr>
            <w:tcW w:w="3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120.6</w:t>
            </w:r>
          </w:p>
        </w:tc>
        <w:tc>
          <w:tcPr>
            <w:tcW w:w="4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185.5</w:t>
            </w:r>
          </w:p>
        </w:tc>
      </w:tr>
      <w:tr>
        <w:trPr>
          <w:trHeight w:val="203"/>
        </w:trPr>
        <w:tc>
          <w:tcPr>
            <w:tcW w:w="4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Corporate overhead - unallocated</w:t>
            </w:r>
          </w:p>
        </w:tc>
        <w:tc>
          <w:tcPr>
            <w:tcW w:w="2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4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r>
      <w:tr>
        <w:trPr>
          <w:trHeight w:val="196"/>
        </w:trPr>
        <w:tc>
          <w:tcPr>
            <w:tcW w:w="40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75.2</w:t>
            </w: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82.7</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w:t>
            </w:r>
          </w:p>
        </w:tc>
      </w:tr>
      <w:tr>
        <w:trPr>
          <w:trHeight w:val="27"/>
        </w:trPr>
        <w:tc>
          <w:tcPr>
            <w:tcW w:w="40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concerning our accounts receivable, net and total assets by segment is as follows as of June 30, 2020 and December 31, 2019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1"/>
              </w:rPr>
              <w:t>As of</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8"/>
        </w:trPr>
        <w:tc>
          <w:tcPr>
            <w:tcW w:w="7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620" w:type="dxa"/>
            <w:vAlign w:val="bottom"/>
          </w:tcPr>
          <w:p>
            <w:pPr>
              <w:ind w:left="140"/>
              <w:spacing w:after="0" w:line="135" w:lineRule="exact"/>
              <w:rPr>
                <w:sz w:val="20"/>
                <w:szCs w:val="20"/>
                <w:color w:val="auto"/>
              </w:rPr>
            </w:pPr>
            <w:r>
              <w:rPr>
                <w:rFonts w:ascii="Arial" w:cs="Arial" w:eastAsia="Arial" w:hAnsi="Arial"/>
                <w:sz w:val="14"/>
                <w:szCs w:val="14"/>
                <w:color w:val="auto"/>
              </w:rPr>
              <w:t>Aviation segment, net of allowance for credit losses of $33.0 and $14.6 as of June 30, 2020 and December 31, 2019,</w:t>
            </w:r>
          </w:p>
        </w:tc>
        <w:tc>
          <w:tcPr>
            <w:tcW w:w="1140" w:type="dxa"/>
            <w:vAlign w:val="bottom"/>
            <w:vMerge w:val="restart"/>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412.6</w:t>
            </w:r>
          </w:p>
        </w:tc>
        <w:tc>
          <w:tcPr>
            <w:tcW w:w="5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88"/>
              <w:spacing w:after="0"/>
              <w:rPr>
                <w:sz w:val="20"/>
                <w:szCs w:val="20"/>
                <w:color w:val="auto"/>
              </w:rPr>
            </w:pPr>
            <w:r>
              <w:rPr>
                <w:rFonts w:ascii="Arial" w:cs="Arial" w:eastAsia="Arial" w:hAnsi="Arial"/>
                <w:sz w:val="14"/>
                <w:szCs w:val="14"/>
                <w:color w:val="auto"/>
              </w:rPr>
              <w:t>1,098.2</w:t>
            </w:r>
          </w:p>
        </w:tc>
        <w:tc>
          <w:tcPr>
            <w:tcW w:w="0" w:type="dxa"/>
            <w:vAlign w:val="bottom"/>
          </w:tcPr>
          <w:p>
            <w:pPr>
              <w:spacing w:after="0"/>
              <w:rPr>
                <w:sz w:val="1"/>
                <w:szCs w:val="1"/>
                <w:color w:val="auto"/>
              </w:rPr>
            </w:pPr>
          </w:p>
        </w:tc>
      </w:tr>
      <w:tr>
        <w:trPr>
          <w:trHeight w:val="186"/>
        </w:trPr>
        <w:tc>
          <w:tcPr>
            <w:tcW w:w="762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1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Land segment, net of allowance for credit losses of $8.3 and $2.8 as of June 30, 2020 and December 31, 2019, respectively</w:t>
            </w: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590.9</w:t>
            </w:r>
          </w:p>
        </w:tc>
        <w:tc>
          <w:tcPr>
            <w:tcW w:w="5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863.2</w:t>
            </w:r>
          </w:p>
        </w:tc>
        <w:tc>
          <w:tcPr>
            <w:tcW w:w="0" w:type="dxa"/>
            <w:vAlign w:val="bottom"/>
          </w:tcPr>
          <w:p>
            <w:pPr>
              <w:spacing w:after="0"/>
              <w:rPr>
                <w:sz w:val="1"/>
                <w:szCs w:val="1"/>
                <w:color w:val="auto"/>
              </w:rPr>
            </w:pPr>
          </w:p>
        </w:tc>
      </w:tr>
      <w:tr>
        <w:trPr>
          <w:trHeight w:val="196"/>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4"/>
              </w:rPr>
              <w:t>Marine segment, net of allowance for credit losses of $4.3 and $18.0 as of June 30, 2020 and December 31, 2019, respectively</w:t>
            </w:r>
          </w:p>
        </w:tc>
        <w:tc>
          <w:tcPr>
            <w:tcW w:w="1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412.5</w:t>
            </w:r>
          </w:p>
        </w:tc>
        <w:tc>
          <w:tcPr>
            <w:tcW w:w="5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930.5</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1,415.9</w:t>
            </w:r>
          </w:p>
        </w:tc>
        <w:tc>
          <w:tcPr>
            <w:tcW w:w="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2,891.9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1,817.4</w:t>
            </w:r>
          </w:p>
        </w:tc>
        <w:tc>
          <w:tcPr>
            <w:tcW w:w="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2,416.5</w:t>
            </w:r>
          </w:p>
        </w:tc>
        <w:tc>
          <w:tcPr>
            <w:tcW w:w="0" w:type="dxa"/>
            <w:vAlign w:val="bottom"/>
          </w:tcPr>
          <w:p>
            <w:pPr>
              <w:spacing w:after="0"/>
              <w:rPr>
                <w:sz w:val="1"/>
                <w:szCs w:val="1"/>
                <w:color w:val="auto"/>
              </w:rPr>
            </w:pPr>
          </w:p>
        </w:tc>
      </w:tr>
      <w:tr>
        <w:trPr>
          <w:trHeight w:val="197"/>
        </w:trPr>
        <w:tc>
          <w:tcPr>
            <w:tcW w:w="7620" w:type="dxa"/>
            <w:vAlign w:val="bottom"/>
          </w:tcPr>
          <w:p>
            <w:pPr>
              <w:ind w:left="120"/>
              <w:spacing w:after="0"/>
              <w:rPr>
                <w:sz w:val="20"/>
                <w:szCs w:val="20"/>
                <w:color w:val="auto"/>
              </w:rPr>
            </w:pPr>
            <w:r>
              <w:rPr>
                <w:rFonts w:ascii="Arial" w:cs="Arial" w:eastAsia="Arial" w:hAnsi="Arial"/>
                <w:sz w:val="14"/>
                <w:szCs w:val="14"/>
                <w:color w:val="auto"/>
              </w:rPr>
              <w:t>Land segment</w:t>
            </w:r>
          </w:p>
        </w:tc>
        <w:tc>
          <w:tcPr>
            <w:tcW w:w="1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1,881.6</w:t>
            </w:r>
          </w:p>
        </w:tc>
        <w:tc>
          <w:tcPr>
            <w:tcW w:w="520" w:type="dxa"/>
            <w:vAlign w:val="bottom"/>
          </w:tcPr>
          <w:p>
            <w:pPr>
              <w:spacing w:after="0"/>
              <w:rPr>
                <w:sz w:val="17"/>
                <w:szCs w:val="17"/>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2,089.4</w:t>
            </w:r>
          </w:p>
        </w:tc>
        <w:tc>
          <w:tcPr>
            <w:tcW w:w="0" w:type="dxa"/>
            <w:vAlign w:val="bottom"/>
          </w:tcPr>
          <w:p>
            <w:pPr>
              <w:spacing w:after="0"/>
              <w:rPr>
                <w:sz w:val="1"/>
                <w:szCs w:val="1"/>
                <w:color w:val="auto"/>
              </w:rPr>
            </w:pPr>
          </w:p>
        </w:tc>
      </w:tr>
      <w:tr>
        <w:trPr>
          <w:trHeight w:val="208"/>
        </w:trPr>
        <w:tc>
          <w:tcPr>
            <w:tcW w:w="7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812.6</w:t>
            </w:r>
          </w:p>
        </w:tc>
        <w:tc>
          <w:tcPr>
            <w:tcW w:w="5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1,189.7</w:t>
            </w:r>
          </w:p>
        </w:tc>
        <w:tc>
          <w:tcPr>
            <w:tcW w:w="0" w:type="dxa"/>
            <w:vAlign w:val="bottom"/>
          </w:tcPr>
          <w:p>
            <w:pPr>
              <w:spacing w:after="0"/>
              <w:rPr>
                <w:sz w:val="1"/>
                <w:szCs w:val="1"/>
                <w:color w:val="auto"/>
              </w:rPr>
            </w:pPr>
          </w:p>
        </w:tc>
      </w:tr>
      <w:tr>
        <w:trPr>
          <w:trHeight w:val="197"/>
        </w:trPr>
        <w:tc>
          <w:tcPr>
            <w:tcW w:w="76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Corporate</w:t>
            </w:r>
          </w:p>
        </w:tc>
        <w:tc>
          <w:tcPr>
            <w:tcW w:w="1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369.3</w:t>
            </w:r>
          </w:p>
        </w:tc>
        <w:tc>
          <w:tcPr>
            <w:tcW w:w="5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296.8</w:t>
            </w:r>
          </w:p>
        </w:tc>
        <w:tc>
          <w:tcPr>
            <w:tcW w:w="0" w:type="dxa"/>
            <w:vAlign w:val="bottom"/>
          </w:tcPr>
          <w:p>
            <w:pPr>
              <w:spacing w:after="0"/>
              <w:rPr>
                <w:sz w:val="1"/>
                <w:szCs w:val="1"/>
                <w:color w:val="auto"/>
              </w:rPr>
            </w:pPr>
          </w:p>
        </w:tc>
      </w:tr>
      <w:tr>
        <w:trPr>
          <w:trHeight w:val="221"/>
        </w:trPr>
        <w:tc>
          <w:tcPr>
            <w:tcW w:w="7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4,881.0</w:t>
            </w:r>
          </w:p>
        </w:tc>
        <w:tc>
          <w:tcPr>
            <w:tcW w:w="5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5,992.4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ind w:firstLine="452"/>
        <w:spacing w:after="0" w:line="271" w:lineRule="auto"/>
        <w:rPr>
          <w:sz w:val="20"/>
          <w:szCs w:val="20"/>
          <w:color w:val="auto"/>
        </w:rPr>
      </w:pPr>
      <w:r>
        <w:rPr>
          <w:rFonts w:ascii="Arial" w:cs="Arial" w:eastAsia="Arial" w:hAnsi="Arial"/>
          <w:sz w:val="17"/>
          <w:szCs w:val="17"/>
          <w:color w:val="auto"/>
        </w:rPr>
        <w:t>During each of the periods presented on the Consolidated Statements of Income and Comprehensive Income,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See Item 1A. Risk Factors of our 2019 10-K Report for more information.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For the Six Months Ended</w:t>
            </w:r>
          </w:p>
        </w:tc>
      </w:tr>
      <w:tr>
        <w:trPr>
          <w:trHeight w:val="208"/>
        </w:trPr>
        <w:tc>
          <w:tcPr>
            <w:tcW w:w="57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196"/>
        </w:trPr>
        <w:tc>
          <w:tcPr>
            <w:tcW w:w="5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0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7"/>
        </w:trPr>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income attributable to World Fuel</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2"/>
              </w:rPr>
              <w:t>(10.2)</w:t>
            </w:r>
          </w:p>
        </w:tc>
        <w:tc>
          <w:tcPr>
            <w:tcW w:w="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37.0</w:t>
            </w: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74.2</w:t>
            </w:r>
          </w:p>
        </w:tc>
      </w:tr>
      <w:tr>
        <w:trPr>
          <w:trHeight w:val="20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6"/>
        </w:trPr>
        <w:tc>
          <w:tcPr>
            <w:tcW w:w="5720" w:type="dxa"/>
            <w:vAlign w:val="bottom"/>
          </w:tcPr>
          <w:p>
            <w:pPr>
              <w:ind w:left="120"/>
              <w:spacing w:after="0"/>
              <w:rPr>
                <w:sz w:val="20"/>
                <w:szCs w:val="20"/>
                <w:color w:val="auto"/>
              </w:rPr>
            </w:pPr>
            <w:r>
              <w:rPr>
                <w:rFonts w:ascii="Arial" w:cs="Arial" w:eastAsia="Arial" w:hAnsi="Arial"/>
                <w:sz w:val="14"/>
                <w:szCs w:val="14"/>
                <w:color w:val="auto"/>
              </w:rPr>
              <w:t>Weighted average common shares for basic earnings per common share</w:t>
            </w:r>
          </w:p>
        </w:tc>
        <w:tc>
          <w:tcPr>
            <w:tcW w:w="8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63.3</w:t>
            </w:r>
          </w:p>
        </w:tc>
        <w:tc>
          <w:tcPr>
            <w:tcW w:w="980" w:type="dxa"/>
            <w:vAlign w:val="bottom"/>
          </w:tcPr>
          <w:p>
            <w:pPr>
              <w:spacing w:after="0"/>
              <w:rPr>
                <w:sz w:val="17"/>
                <w:szCs w:val="17"/>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w w:val="95"/>
              </w:rPr>
              <w:t>66.7</w:t>
            </w:r>
          </w:p>
        </w:tc>
        <w:tc>
          <w:tcPr>
            <w:tcW w:w="4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64.1</w:t>
            </w:r>
          </w:p>
        </w:tc>
        <w:tc>
          <w:tcPr>
            <w:tcW w:w="4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66.9</w:t>
            </w:r>
          </w:p>
        </w:tc>
      </w:tr>
      <w:tr>
        <w:trPr>
          <w:trHeight w:val="203"/>
        </w:trPr>
        <w:tc>
          <w:tcPr>
            <w:tcW w:w="57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Effect of dilutive securities</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r>
      <w:tr>
        <w:trPr>
          <w:trHeight w:val="196"/>
        </w:trPr>
        <w:tc>
          <w:tcPr>
            <w:tcW w:w="57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Weighted average common shares for diluted earnings per common share</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63.3</w:t>
            </w: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67.0</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64.4</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67.2</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3"/>
        </w:trPr>
        <w:tc>
          <w:tcPr>
            <w:tcW w:w="57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r>
      <w:tr>
        <w:trPr>
          <w:trHeight w:val="150"/>
        </w:trPr>
        <w:tc>
          <w:tcPr>
            <w:tcW w:w="5720" w:type="dxa"/>
            <w:vAlign w:val="bottom"/>
          </w:tcPr>
          <w:p>
            <w:pPr>
              <w:ind w:left="20"/>
              <w:spacing w:after="0" w:line="151" w:lineRule="exact"/>
              <w:rPr>
                <w:sz w:val="20"/>
                <w:szCs w:val="20"/>
                <w:color w:val="auto"/>
              </w:rPr>
            </w:pPr>
            <w:r>
              <w:rPr>
                <w:rFonts w:ascii="Arial" w:cs="Arial" w:eastAsia="Arial" w:hAnsi="Arial"/>
                <w:sz w:val="14"/>
                <w:szCs w:val="14"/>
                <w:color w:val="auto"/>
                <w:w w:val="99"/>
              </w:rPr>
              <w:t>Weighted average securities which are not included in the calculation of diluted earnings per</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5720" w:type="dxa"/>
            <w:vAlign w:val="bottom"/>
          </w:tcPr>
          <w:p>
            <w:pPr>
              <w:ind w:left="20"/>
              <w:spacing w:after="0" w:line="149" w:lineRule="exact"/>
              <w:rPr>
                <w:sz w:val="20"/>
                <w:szCs w:val="20"/>
                <w:color w:val="auto"/>
              </w:rPr>
            </w:pPr>
            <w:r>
              <w:rPr>
                <w:rFonts w:ascii="Arial" w:cs="Arial" w:eastAsia="Arial" w:hAnsi="Arial"/>
                <w:sz w:val="14"/>
                <w:szCs w:val="14"/>
                <w:color w:val="auto"/>
                <w:w w:val="99"/>
              </w:rPr>
              <w:t>common share because their impact is anti-dilutive or their performance conditions have not</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been met</w:t>
            </w: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w:t>
            </w: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9"/>
        </w:trPr>
        <w:tc>
          <w:tcPr>
            <w:tcW w:w="57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Basic earnings per common share</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2"/>
              </w:rPr>
              <w:t>(0.16)</w:t>
            </w:r>
          </w:p>
        </w:tc>
        <w:tc>
          <w:tcPr>
            <w:tcW w:w="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0.56</w:t>
            </w: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0.49</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9"/>
        </w:trPr>
        <w:tc>
          <w:tcPr>
            <w:tcW w:w="57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 earnings per common share</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2"/>
              </w:rPr>
              <w:t>(0.16)</w:t>
            </w:r>
          </w:p>
        </w:tc>
        <w:tc>
          <w:tcPr>
            <w:tcW w:w="9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0.55</w:t>
            </w:r>
          </w:p>
        </w:tc>
        <w:tc>
          <w:tcPr>
            <w:tcW w:w="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0.48</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w:t>
            </w:r>
          </w:p>
        </w:tc>
      </w:tr>
      <w:tr>
        <w:trPr>
          <w:trHeight w:val="26"/>
        </w:trPr>
        <w:tc>
          <w:tcPr>
            <w:tcW w:w="5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left="340" w:right="8420" w:hanging="332"/>
        <w:spacing w:after="0" w:line="503"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Tax Matters</w:t>
      </w:r>
    </w:p>
    <w:p>
      <w:pPr>
        <w:jc w:val="both"/>
        <w:ind w:firstLine="379"/>
        <w:spacing w:after="0" w:line="263" w:lineRule="auto"/>
        <w:rPr>
          <w:sz w:val="20"/>
          <w:szCs w:val="20"/>
          <w:color w:val="auto"/>
        </w:rPr>
      </w:pPr>
      <w:r>
        <w:rPr>
          <w:rFonts w:ascii="Arial" w:cs="Arial" w:eastAsia="Arial" w:hAnsi="Arial"/>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quarter ended December 31, 2016, the Korean branch of one of our subsidiaries received assessments of approximately $9.4 million (KRW 11.3 billion) and during the quarter ended June 30, 2017, an assessment for an additional $16.8 million (KRW 20.1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of approximately $9.0 million (BRL 49.1 million) from the Brazilian tax authorities relating to the ICMS rate used for certain transactions. The assessment primarily consists of</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interest and penalties. We believe that the assessment is without merit and are pursuing our remedies in the judicial court system.</w:t>
      </w:r>
    </w:p>
    <w:p>
      <w:pPr>
        <w:spacing w:after="0" w:line="225" w:lineRule="exact"/>
        <w:rPr>
          <w:sz w:val="20"/>
          <w:szCs w:val="20"/>
          <w:color w:val="auto"/>
        </w:rPr>
      </w:pPr>
    </w:p>
    <w:p>
      <w:pPr>
        <w:jc w:val="both"/>
        <w:ind w:firstLine="506"/>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June 30, 2020, we had recorded certain reserves that were not material. For those matters where a reserve has not been established and for which we believe a loss is reasonably possible, as well as for matters where a reserve has been recorded but for which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65" w:lineRule="exact"/>
        <w:rPr>
          <w:sz w:val="20"/>
          <w:szCs w:val="20"/>
          <w:color w:val="auto"/>
        </w:rPr>
      </w:pPr>
    </w:p>
    <w:p>
      <w:pPr>
        <w:jc w:val="both"/>
        <w:ind w:firstLine="580"/>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continued review of our land business and changes in the overall economic landscape for all reportable segments as a result of the COVID-19 pandemic, we are implementing a restructuring initiative focused on further streamlining our operations and sharpening our deployment of resources in 2020. While the company took several actions during the second quarter of 2020, we continue to evaluate and define the overall restructuring plan as the full impact of COVID-19 on our business and our customers is unknown.</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six months ended June 30, 2020, we incurred $4.8 million in restructuring costs, comprised principally of certain severance costs included in Restructuring charges in our Consolidated Statements of Income and Comprehensive Income. Our accrued restructuring charges as of June 30, 2020 are included in Accrued expenses and other current liabilities on our Consolidated Balance Sheet.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our restructuring activities during the six months ended June 30, 2020 (in millions):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5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94"/>
              </w:rPr>
              <w:t>Aviation</w:t>
            </w: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5"/>
              </w:rPr>
              <w:t>Land</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rPr>
              <w:t>Marine</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0"/>
              </w:rPr>
              <w:t>Consolidated</w:t>
            </w:r>
          </w:p>
        </w:tc>
      </w:tr>
      <w:tr>
        <w:trPr>
          <w:trHeight w:val="202"/>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15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348"/>
              <w:spacing w:after="0"/>
              <w:rPr>
                <w:sz w:val="20"/>
                <w:szCs w:val="20"/>
                <w:color w:val="auto"/>
              </w:rPr>
            </w:pPr>
            <w:r>
              <w:rPr>
                <w:rFonts w:ascii="Arial" w:cs="Arial" w:eastAsia="Arial" w:hAnsi="Arial"/>
                <w:sz w:val="14"/>
                <w:szCs w:val="14"/>
                <w:color w:val="auto"/>
                <w:w w:val="92"/>
              </w:rPr>
              <w:t>0.5</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w w:val="92"/>
              </w:rPr>
              <w:t>7.5</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2"/>
              </w:rPr>
              <w:t>1.3</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w w:val="92"/>
              </w:rPr>
              <w:t>0.2</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w w:val="92"/>
              </w:rPr>
              <w:t>9.5</w:t>
            </w:r>
          </w:p>
        </w:tc>
      </w:tr>
      <w:tr>
        <w:trPr>
          <w:trHeight w:val="197"/>
        </w:trPr>
        <w:tc>
          <w:tcPr>
            <w:tcW w:w="3560" w:type="dxa"/>
            <w:vAlign w:val="bottom"/>
          </w:tcPr>
          <w:p>
            <w:pPr>
              <w:ind w:left="20"/>
              <w:spacing w:after="0"/>
              <w:rPr>
                <w:sz w:val="20"/>
                <w:szCs w:val="20"/>
                <w:color w:val="auto"/>
              </w:rPr>
            </w:pPr>
            <w:r>
              <w:rPr>
                <w:rFonts w:ascii="Arial" w:cs="Arial" w:eastAsia="Arial" w:hAnsi="Arial"/>
                <w:sz w:val="14"/>
                <w:szCs w:val="14"/>
                <w:color w:val="auto"/>
              </w:rPr>
              <w:t>Severance costs</w:t>
            </w:r>
          </w:p>
        </w:tc>
        <w:tc>
          <w:tcPr>
            <w:tcW w:w="1520" w:type="dxa"/>
            <w:vAlign w:val="bottom"/>
          </w:tcPr>
          <w:p>
            <w:pPr>
              <w:spacing w:after="0"/>
              <w:rPr>
                <w:sz w:val="17"/>
                <w:szCs w:val="17"/>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2"/>
              </w:rPr>
              <w:t>0.7</w:t>
            </w:r>
          </w:p>
        </w:tc>
        <w:tc>
          <w:tcPr>
            <w:tcW w:w="500" w:type="dxa"/>
            <w:vAlign w:val="bottom"/>
          </w:tcPr>
          <w:p>
            <w:pPr>
              <w:spacing w:after="0"/>
              <w:rPr>
                <w:sz w:val="17"/>
                <w:szCs w:val="17"/>
                <w:color w:val="auto"/>
              </w:rPr>
            </w:pPr>
          </w:p>
        </w:tc>
        <w:tc>
          <w:tcPr>
            <w:tcW w:w="800" w:type="dxa"/>
            <w:vAlign w:val="bottom"/>
          </w:tcPr>
          <w:p>
            <w:pPr>
              <w:jc w:val="center"/>
              <w:ind w:left="268"/>
              <w:spacing w:after="0"/>
              <w:rPr>
                <w:sz w:val="20"/>
                <w:szCs w:val="20"/>
                <w:color w:val="auto"/>
              </w:rPr>
            </w:pPr>
            <w:r>
              <w:rPr>
                <w:rFonts w:ascii="Arial" w:cs="Arial" w:eastAsia="Arial" w:hAnsi="Arial"/>
                <w:sz w:val="14"/>
                <w:szCs w:val="14"/>
                <w:color w:val="auto"/>
                <w:w w:val="92"/>
              </w:rPr>
              <w:t>2.7</w:t>
            </w:r>
          </w:p>
        </w:tc>
        <w:tc>
          <w:tcPr>
            <w:tcW w:w="460" w:type="dxa"/>
            <w:vAlign w:val="bottom"/>
          </w:tcPr>
          <w:p>
            <w:pPr>
              <w:spacing w:after="0"/>
              <w:rPr>
                <w:sz w:val="17"/>
                <w:szCs w:val="17"/>
                <w:color w:val="auto"/>
              </w:rPr>
            </w:pPr>
          </w:p>
        </w:tc>
        <w:tc>
          <w:tcPr>
            <w:tcW w:w="860" w:type="dxa"/>
            <w:vAlign w:val="bottom"/>
          </w:tcPr>
          <w:p>
            <w:pPr>
              <w:jc w:val="center"/>
              <w:ind w:left="328"/>
              <w:spacing w:after="0"/>
              <w:rPr>
                <w:sz w:val="20"/>
                <w:szCs w:val="20"/>
                <w:color w:val="auto"/>
              </w:rPr>
            </w:pPr>
            <w:r>
              <w:rPr>
                <w:rFonts w:ascii="Arial" w:cs="Arial" w:eastAsia="Arial" w:hAnsi="Arial"/>
                <w:sz w:val="14"/>
                <w:szCs w:val="14"/>
                <w:color w:val="auto"/>
                <w:w w:val="92"/>
              </w:rPr>
              <w:t>0.4</w:t>
            </w:r>
          </w:p>
        </w:tc>
        <w:tc>
          <w:tcPr>
            <w:tcW w:w="360" w:type="dxa"/>
            <w:vAlign w:val="bottom"/>
          </w:tcPr>
          <w:p>
            <w:pPr>
              <w:spacing w:after="0"/>
              <w:rPr>
                <w:sz w:val="17"/>
                <w:szCs w:val="17"/>
                <w:color w:val="auto"/>
              </w:rPr>
            </w:pPr>
          </w:p>
        </w:tc>
        <w:tc>
          <w:tcPr>
            <w:tcW w:w="940" w:type="dxa"/>
            <w:vAlign w:val="bottom"/>
          </w:tcPr>
          <w:p>
            <w:pPr>
              <w:jc w:val="center"/>
              <w:ind w:left="408"/>
              <w:spacing w:after="0"/>
              <w:rPr>
                <w:sz w:val="20"/>
                <w:szCs w:val="20"/>
                <w:color w:val="auto"/>
              </w:rPr>
            </w:pPr>
            <w:r>
              <w:rPr>
                <w:rFonts w:ascii="Arial" w:cs="Arial" w:eastAsia="Arial" w:hAnsi="Arial"/>
                <w:sz w:val="14"/>
                <w:szCs w:val="14"/>
                <w:color w:val="auto"/>
                <w:w w:val="92"/>
              </w:rPr>
              <w:t>1.0</w:t>
            </w:r>
          </w:p>
        </w:tc>
        <w:tc>
          <w:tcPr>
            <w:tcW w:w="300" w:type="dxa"/>
            <w:vAlign w:val="bottom"/>
          </w:tcPr>
          <w:p>
            <w:pPr>
              <w:spacing w:after="0"/>
              <w:rPr>
                <w:sz w:val="17"/>
                <w:szCs w:val="17"/>
                <w:color w:val="auto"/>
              </w:rPr>
            </w:pPr>
          </w:p>
        </w:tc>
        <w:tc>
          <w:tcPr>
            <w:tcW w:w="1020" w:type="dxa"/>
            <w:vAlign w:val="bottom"/>
          </w:tcPr>
          <w:p>
            <w:pPr>
              <w:jc w:val="center"/>
              <w:ind w:left="448"/>
              <w:spacing w:after="0"/>
              <w:rPr>
                <w:sz w:val="20"/>
                <w:szCs w:val="20"/>
                <w:color w:val="auto"/>
              </w:rPr>
            </w:pPr>
            <w:r>
              <w:rPr>
                <w:rFonts w:ascii="Arial" w:cs="Arial" w:eastAsia="Arial" w:hAnsi="Arial"/>
                <w:sz w:val="14"/>
                <w:szCs w:val="14"/>
                <w:color w:val="auto"/>
                <w:w w:val="92"/>
              </w:rPr>
              <w:t>4.8</w:t>
            </w:r>
          </w:p>
        </w:tc>
      </w:tr>
      <w:tr>
        <w:trPr>
          <w:trHeight w:val="203"/>
        </w:trPr>
        <w:tc>
          <w:tcPr>
            <w:tcW w:w="3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Payments</w:t>
            </w:r>
          </w:p>
        </w:tc>
        <w:tc>
          <w:tcPr>
            <w:tcW w:w="15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w w:val="90"/>
              </w:rPr>
              <w:t>(0.5)</w:t>
            </w: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w w:val="97"/>
              </w:rPr>
              <w:t>(4.5)</w:t>
            </w: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w w:val="90"/>
              </w:rPr>
              <w:t>(1.0)</w:t>
            </w: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w w:val="97"/>
              </w:rPr>
              <w:t>(0.5)</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w w:val="97"/>
              </w:rPr>
              <w:t>(6.5)</w:t>
            </w:r>
          </w:p>
        </w:tc>
      </w:tr>
      <w:tr>
        <w:trPr>
          <w:trHeight w:val="196"/>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Restructuring charges as of June 30, 2020</w:t>
            </w:r>
          </w:p>
        </w:tc>
        <w:tc>
          <w:tcPr>
            <w:tcW w:w="1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0.7</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w w:val="92"/>
              </w:rPr>
              <w:t>5.7</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92"/>
              </w:rPr>
              <w:t>0.7</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color w:val="auto"/>
                <w:w w:val="92"/>
              </w:rPr>
              <w:t>0.8</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2"/>
              </w:rPr>
              <w:t>7.9</w:t>
            </w:r>
          </w:p>
        </w:tc>
      </w:tr>
      <w:tr>
        <w:trPr>
          <w:trHeight w:val="27"/>
        </w:trPr>
        <w:tc>
          <w:tcPr>
            <w:tcW w:w="3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second quarter of 2020, we implemented a cost reduction initiative to rationalize our global office footprint and approved the abandonment of certain office leases, including the transition of select offices to smaller or more cost-effective locations. These asset groups, consisting mainly of right-of-use assets and leasehold improvements, were tested for impairment. We concluded that the carrying amounts of these asset groups were not recoverable and the fair value determined was concluded to be nominal based on a discounted cash flow model. As a result, an $18.6 million impairment charge was recognized and is included within Asset impairments on our Consolidated Statements of Income and Comprehensive Income.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The following table provides a summary of this impairment by reportable business segment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Aviation</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Marine</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Consolidated</w:t>
            </w:r>
          </w:p>
        </w:tc>
      </w:tr>
      <w:tr>
        <w:trPr>
          <w:trHeight w:val="221"/>
        </w:trPr>
        <w:tc>
          <w:tcPr>
            <w:tcW w:w="2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Asset impairments</w:t>
            </w:r>
          </w:p>
        </w:tc>
        <w:tc>
          <w:tcPr>
            <w:tcW w:w="22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18.6</w:t>
            </w: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30, 2020, we entered into a definitive agreement to sell our Multi Service payment solutions business. Subject to certain closing adjustments, we will receive a total of approximately $350.0 million in cash, consisting of approximately $275.0 million at closing and $75.0 million deferred for future payment, of which $50.0 million will be conditioned on MSTS' achievement of financial targets in 2021 and 2022. The closing is subject to customary conditions, including regulatory approvals. We expect the sale to be completed within 90 days from the date of the agreement. Multi Service, which is mainly reported within the land segment, did not qualify as held for sale as of June 30, 2020 and will not meet the criteria to be reported as a discontinued operation. The net carrying amount of Multi Service as of June 30, 2020 was $222.5 million.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discussion should be read in conjunction with our 2019 10-K Report and the Consolidated Financial Statements and related notes in Item 1 — Financial Statements appearing elsewhere in this 10-Q Report. The following discussion may contain forward-looking statements, and our actual results may differ materially from the results suggested by these forward-looking statements. Some factors that may cause our results to differ are disclosed in Item 1A - Risk Factors of our 2019 10-K Report as updated and supplemented by Part II - Item 1A of this 10-Q Report.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51" w:lineRule="auto"/>
        <w:rPr>
          <w:sz w:val="20"/>
          <w:szCs w:val="20"/>
          <w:color w:val="auto"/>
        </w:rPr>
      </w:pPr>
      <w:r>
        <w:rPr>
          <w:rFonts w:ascii="Arial" w:cs="Arial" w:eastAsia="Arial" w:hAnsi="Arial"/>
          <w:sz w:val="17"/>
          <w:szCs w:val="17"/>
          <w:color w:val="auto"/>
        </w:rPr>
        <w:t>This 10-Q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 Specifically, this 10-Q Report includes forward-looking statements about (i) the impact of COVID-19 on us and our customers, including our expectations about demand, volume, profitability and the impact of fuel prices, (ii) our expectations regarding the conditions in the aviation, land, and marine markets and their impact on our business, (iii) our expectations regarding government-related activity in Afghanistan with the North Atlantic Treaty Organization (NATO) and the impact of the U.S. troop withdrawal, as well as the related profit contribution, (iv) our estimates regarding the expected benefits from our actions to reduce cost and our restructuring initiatives, including the rationalization of our global office footprint, (v) our expectations regarding our working capital, liquidity, capital expenditure requirements, (vi) our expectations and estimates regarding certain tax, legal and accounting matters, including the impact on our financial statements, (vii) our expectations regarding the financial impact and other benefits of previous acquisitions, including estimates of future expenses and our ability to realize estimated synergies, and (viii) estimates regarding the financial impact of our derivative contracts. These forward-looking statements are qualified in their entirety by cautionary statements and risk factor disclosures contained in our SEC filings.</w:t>
      </w:r>
    </w:p>
    <w:p>
      <w:pPr>
        <w:spacing w:after="0" w:line="2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that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 particularly for those customers most significantly impacted by the COVID-19 pandemic;</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of the impact of the pandemic, including the duration, spread, severity and scope of related government orders and restrictions, on ours and our customers' sales, profitability, operations and supply chains;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 such as NATO;</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 particularly in light of the impact of the pandemic on the financial markets;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such as the current global economic environment as a result of the coronavirus pandemic;</w:t>
      </w:r>
    </w:p>
    <w:p>
      <w:pPr>
        <w:spacing w:after="0" w:line="8" w:lineRule="exact"/>
        <w:rPr>
          <w:rFonts w:ascii="Arial" w:cs="Arial" w:eastAsia="Arial" w:hAnsi="Arial"/>
          <w:sz w:val="18"/>
          <w:szCs w:val="18"/>
          <w:color w:val="auto"/>
        </w:rPr>
      </w:pPr>
    </w:p>
    <w:p>
      <w:pPr>
        <w:ind w:left="660" w:right="20" w:hanging="328"/>
        <w:spacing w:after="0" w:line="316"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sudden changes in the market price of fuel or extremely high or low fuel prices that continue for an extended period of time, including as a result of disagreements between the OPEC members and other oil producing countries such as Russia and the impact of the pandemic on fuel demand;</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 including our financial covenants;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IMO 2020 (defined below);</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fluctuations and the impacts associated with Brexit;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failure to generate sufficient future taxable income in jurisdictions with material deferred tax assets and net operating loss carryforwards;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U.K.’s exit from the European Union, known as Brexit, on our business, operations and financial condition;</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2019 10-K Report, Part II, Item 1A of this 10-Q Report, as well as those described from time to time in our other filings with the SEC.</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leading global fuel services company, principally engaged in the distribution of fuel and related products and services in the aviation, land and marine transportation industries. In recent years, we have expanded our product and service offerings to include energy advisory services and supply fulfillment for natural gas and power and transaction and payment management solutions to commercial and industrial customers. Our intention is to become a leading global energy management company offering a full suite of energy advisory, management and fulfillment services, technology solutions, as well as sustainability products and services across the energy product spectrum. We also offer payment management solutions to commercial and industrial customers, principally in the aviation, land and marine transportation industries. We will continue to focus on enhancing the portfolio of products and services we provide based on changes in customer demand, including sustainability offerings and renewable fuel products.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Beginning in the first quarter of 2020 and through the date of this filing, the aviation, marine and land transportation industries, along with global economic conditions, have been significantly impacted by the COVID-19 pandemic. A large number of our customers in these industries have experienced substantial reductions in their operations, especially commercial airlines and cruise lines, which have been particularly impacted by the travel restrictions and stay-at-home orders. Customers in our marine and land segments have also been adversely affected by these restrictions, as well as the extended shutdown of various businesses in affected regions.</w:t>
      </w:r>
    </w:p>
    <w:p>
      <w:pPr>
        <w:spacing w:after="0" w:line="21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While the pandemic and associated impacts on economic activity had a limited adverse effect on our results of operations and financial condition for the first quarter of 2020, we have since seen a sharp decline in demand and related sales as large sectors of the global economy have been adversely impacted by the crisis. Accordingly, our results of operations during the second quarter of 2020 were significantly impacted as a result of the effects of the pandemic as described in greater detail below. Since the level of activity in our business and that of our customers has historically been driven by the level of economic activity globally, we generally expect these negative impacts to continue through the third quarter as the recent increases in COVID-19 cases have further delayed the reopening of various economies around the world.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Aviation Segment</w:t>
      </w:r>
    </w:p>
    <w:p>
      <w:pPr>
        <w:spacing w:after="0" w:line="2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aviation segment has benefited from growth in our fuel and related services offerings, as well as our improving logistics capability and the impact of our expanded aviation fueling operations footprint into additional international airport locations. However, as a result of COVID-19, the overall aviation market, principally commercial passenger airlines, has been significantly impacted by the travel restrictions and a sharp decrease in demand for air travel. Accordingly, during the second quarter of 2020, we experienced a material volume decline in our commercial aviation business and, to a somewhat lesser extent, a significant reduction in our business and general aviation activities. Our results of operations in these lines of business for the balance of 2020 will be highly contingent on the timing and extent to which the restrictions on air travel are lifted and the global economy begins to recover from the effects of the current crisis.</w:t>
      </w:r>
    </w:p>
    <w:p>
      <w:pPr>
        <w:spacing w:after="0" w:line="22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Furthermore, our aviation segment has benefited from significant sales to NATO in Afghanistan, which accounts for a material portion of our aviation segment's profitability. The current contract for these sales to NATO has been renewed through December 2020 and has two additional one-year renewal options at NATO's discretion. Global events and military-related activities, as well as the level of troop deployments, can cause our government customer sales to vary significantly from period to period and materially impact our results of operations. The U.S. government has announced its intention to significantly reduce the level of U.S. troops in the Middle East, including the troops supporting NATO in Afghanistan. In connection therewith, in the early part of 2020, the U.S. entered into an agreement with the Taliban where it agreed to reduce the level of troops and negotiate a full withdrawal by 2021, subject to various conditions including a peace agreement being reached between the government of Afghanistan and the Taliban. In June 2020, the U.S. government publicly confirmed that it had completed the initial reduction in the level of troops in accordance with the terms of the agreement. While the exact timing and full impact of the troop withdrawal remains uncertain, we began to see a decline in demand at the end of the first quarter of 2020, which continued in the second quarter, and expect to experience additional material reductions in demand over the balance of the year and into 2021.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b w:val="1"/>
          <w:bCs w:val="1"/>
          <w:color w:val="auto"/>
        </w:rPr>
        <w:t>Land Segment</w:t>
      </w:r>
    </w:p>
    <w:p>
      <w:pPr>
        <w:spacing w:after="0" w:line="2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land segment primarily consists of land fuel distribution in the U.S. and the U.K., further complemented by our expansion into energy advisory, brokerage and fulfillment solutions with respect to power, natural gas and other energy products. We also offer sustainability consulting, renewable fuel products, and carbon management and renewable energy solutions through our World Kinect global energy management brand. Due to the diverse portfolio of customers, businesses and activities within our land segment, the COVID-19 related impacts are more difficult to predict. For example, during the second quarter of 2020, our operating results in our land segment benefited from improvements in the U.K. However, this increase was largely offset by a decline in profitability in North America, primarily due to a material decrease in sales to retail, commercial and industrial customers in connection with the continued negative impacts of the pandemic, particularly throughout much of the U.S. The extent of any improvements in these activities will continue to be dependent on the timing and extent to which quarantine restrictions are lifted and local business activity resumes. Furthermore, for the same reasons as those described above, we experienced a decline in government-related activity in Afghanistan during the second quarter of 2020 and expect to continue to see a decline in this activity through the balance of 2020 and into 2021.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Marine Segment</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marine segment has posted strong quarterly comparative results in recent periods despite challenging conditions within the global shipping and offshore exploration markets. Overall, throughout 2019 and into early 2020, higher average fuel prices, combined with our focus on reshaping our portfolio and cost management, improved profitability. In addition, the implementation of the IMO 2020 mandatory low sulfur regulations that went into effect on January 1, 2020 resulted in certain supply imbalances and price volatility in late 2019 and through much of the first quarter of 2020 that positively impacted our operating results in those periods. However, in the latter part of the first quarter of 2020, we began to experience a decline in volume and profitability due to the effects of the pandemic coupled with the significant decline in fuel prices, which continued into the second quarter. We expect our marine segment’s volume and profitability to continue to be negatively impacted by the effects of the pandemic for the balance of the year, particularly with respect to cruise lines and certain sectors of the shipping industry, as well as lower fuel prices. However, we still expect our results for the third quarter of 2020 to be generally consistent with the third quarter of 2019.</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Actions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With respect to our own operations, we have implemented our business continuity and emergency response plans in alignment with mandates from local authorities. To ensure the safety of our employees who are continuing to work, we have provided instructions on how to work safely in light of the pandemic and elevated our cleaning protocols for our offices, facilities and equipment. We are maximizing remote work throughout our global offices and our employees are collaborating virtually with our customers, suppliers and each other using the information sharing tools and technology that we have invested in during the last several years.</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Due to the ongoing and expected adverse impacts of the COVID-19 crisis, we immediately made cost-related decisions as the pandemic began impacting our business activities. For example, we immediately instituted a hiring freeze and implemented travel restrictions for our employees across the organization, postponed or eliminated all non-essential capital expenditures and other projects and initiatives, significantly reduced or deferred professional fees, marketing expenses and other similar costs. In addition, while we have continued to focus on improving operating efficiencies and returns, we have also concentrated on lowering our operating costs, including those of our land segment, which has historically had a higher expense ratio than other parts of our business. Accordingly, during the first quarter of 2020, we commenced a restructuring initiative focused on further streamlining our operations and sharpening our deployment of resources, not only in our land segment but also in our other segments due to the adverse impacts of the pandemic. During the second quarter of 2020, we expanded this restructuring to include the rationalization of our global office footprint and approved the abandonment of certain office leases, including the transition of select offices to smaller or more cost-effective locations. See note 13 of the financial statements included in Part I of this 10-Q Report for additional information regarding this restructuring.</w:t>
      </w:r>
    </w:p>
    <w:p>
      <w:pPr>
        <w:spacing w:after="0" w:line="2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ultimate duration and impact of the COVID-19 pandemic on our business and our customers' operations continue to be unclear. Furthermore, the extent to which we or our customers will ultimately be impacted by the pandemic is not fully ascertainable as it is closely related to the timing and extent to which the global economy, and the aviation land and marine transportation industries, in particular, recover from the crisis. For additional discussion on the risks relating to the pandemic, see Item 1A. Risk Factors in Part II of this 10-Q Report.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commercial and industrial customers in each of these transportation industries. Within each of our segments, we may enter into derivative contracts to mitigate the risk of market price fluctuations and also to offer our customers fuel pricing alternatives to meet their needs.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aviation and land segments, we primarily purchase and resell fuel and other products. Profit from our aviation and land segments is primarily determined by the volume and the gross profit achieved on fuel sales and related services. In our marine segment, we primarily purchase and resell fuel and also act as brokers for others. Profit from our marine segment is determined mostly by the volume and gross profit achieved on fuel resales and by the volume and commission rate of the brokering business. Profitability in our segments also depends on our operating expenses, which may be materially affected to the extent that we are required to provide for potential bad debt.</w:t>
      </w:r>
    </w:p>
    <w:p>
      <w:pPr>
        <w:spacing w:after="0" w:line="188" w:lineRule="exact"/>
        <w:rPr>
          <w:sz w:val="20"/>
          <w:szCs w:val="20"/>
          <w:color w:val="auto"/>
        </w:rPr>
      </w:pPr>
    </w:p>
    <w:p>
      <w:pPr>
        <w:jc w:val="both"/>
        <w:ind w:firstLine="324"/>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Corporate expenses are allocated to each segment based on usage, where possible, or other factors according to the nature of the activity. We evaluate and manage our business segments using the performance measurement of income from operations. Selected financial information with respect to our business segments is provided in Note </w:t>
      </w:r>
      <w:hyperlink w:anchor="page23">
        <w:r>
          <w:rPr>
            <w:rFonts w:ascii="Arial" w:cs="Arial" w:eastAsia="Arial" w:hAnsi="Arial"/>
            <w:sz w:val="16"/>
            <w:szCs w:val="16"/>
            <w:color w:val="auto"/>
          </w:rPr>
          <w:t xml:space="preserve">10. </w:t>
        </w:r>
      </w:hyperlink>
      <w:r>
        <w:rPr>
          <w:rFonts w:ascii="Arial" w:cs="Arial" w:eastAsia="Arial" w:hAnsi="Arial"/>
          <w:sz w:val="16"/>
          <w:szCs w:val="16"/>
          <w:color w:val="auto"/>
        </w:rPr>
        <w:t>Business Segments accompanying the Consolidated Financial Statements included in this 10-Q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second quarter of 2020 was $3.2 billion, a decrease of $6.3 billion, or 67%, as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Our revenue during these periods was attributable to the following segments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7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 segment</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1,020.6</w:t>
            </w:r>
          </w:p>
        </w:tc>
        <w:tc>
          <w:tcPr>
            <w:tcW w:w="4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4,785.0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(3,764.4)</w:t>
            </w:r>
          </w:p>
        </w:tc>
      </w:tr>
      <w:tr>
        <w:trPr>
          <w:trHeight w:val="197"/>
        </w:trPr>
        <w:tc>
          <w:tcPr>
            <w:tcW w:w="7080" w:type="dxa"/>
            <w:vAlign w:val="bottom"/>
          </w:tcPr>
          <w:p>
            <w:pPr>
              <w:ind w:left="20"/>
              <w:spacing w:after="0"/>
              <w:rPr>
                <w:sz w:val="20"/>
                <w:szCs w:val="20"/>
                <w:color w:val="auto"/>
              </w:rPr>
            </w:pPr>
            <w:r>
              <w:rPr>
                <w:rFonts w:ascii="Arial" w:cs="Arial" w:eastAsia="Arial" w:hAnsi="Arial"/>
                <w:sz w:val="14"/>
                <w:szCs w:val="14"/>
                <w:color w:val="auto"/>
              </w:rPr>
              <w:t>Land segment</w:t>
            </w:r>
          </w:p>
        </w:tc>
        <w:tc>
          <w:tcPr>
            <w:tcW w:w="38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1,197.6</w:t>
            </w:r>
          </w:p>
        </w:tc>
        <w:tc>
          <w:tcPr>
            <w:tcW w:w="4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2,663.0</w:t>
            </w: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(1,465.4)</w:t>
            </w:r>
          </w:p>
        </w:tc>
      </w:tr>
      <w:tr>
        <w:trPr>
          <w:trHeight w:val="203"/>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 segment</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940.2</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2,011.4</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(1,071.2)</w:t>
            </w:r>
          </w:p>
        </w:tc>
      </w:tr>
      <w:tr>
        <w:trPr>
          <w:trHeight w:val="196"/>
        </w:trPr>
        <w:tc>
          <w:tcPr>
            <w:tcW w:w="7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3,158.3</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9,459.4</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(6,301.0)</w:t>
            </w:r>
          </w:p>
        </w:tc>
      </w:tr>
      <w:tr>
        <w:trPr>
          <w:trHeight w:val="27"/>
        </w:trPr>
        <w:tc>
          <w:tcPr>
            <w:tcW w:w="7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Revenues in our aviation segment were $1.0 billion for the second quarter of 2020, a decrease of $3.8 billion, or 79% as compared to the second quarter of 2019. Lower average jet fuel prices drove much of the decrease in aviation revenue in the second quarter of 2020, where the average price per gallon sold was $1.04, as compared to $2.10 in the second quarter of 2019. Additionally, as compared to the prior-year period, total aviation volumes for the second quarter of 2020 decreased by 1.5 billion or 68% to 688.1 million gallons. The volume reduction was due to the significant decline in activity in our commercial aviation business as a result of the impact of the COVID-19 pandemic on air travel.</w:t>
      </w:r>
    </w:p>
    <w:p>
      <w:pPr>
        <w:spacing w:after="0" w:line="2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Revenues in our land segment were $1.2 billion for the second quarter of 2020, a decrease of $1.5 billion, or 55%, as compared to the second quarter of 2019. The decrease in revenue was due to lower average fuel prices in the second quarter of 2020, as compared to the second quarter of 2019, where the average price per gallon or gallon equivalent sold was $1.01 in 2020, as compared to $1.99 in 2019. Volumes in our land segment for the second quarter of 2020 decreased by 161.2 million or 12.1% to 1.2 billion gallons as a result of stay-at-home restrictions and other pandemic-related impacts.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marine segment were $940.2 million for the second quarter of 2020, a decrease of $1.1 billion, or 53%, as compared to the second quarter of 2019. The decrease in revenues was mainly attributable to a 40% decrease in the average price per metric ton of bunker fuel sold to $234.9 in the second quarter of 2020 as compared to $393.6 in the second quarter of 2019. Volumes in our marine segment declined by 1.1 million metric tons, or 22% to 4.0 million metric tons in the second quarter of 2020, as compared to 2019. The volume decline was a result of the effects of the pandemic on demand, combined with a continuing effort to exit activities that generate a low economic return, particularly in light of the elevated credit risk environment in the wake of the pandemic.</w:t>
      </w:r>
    </w:p>
    <w:p>
      <w:pPr>
        <w:spacing w:after="0" w:line="21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second quarter of 2020 was $213.9 million, a decrease of $54.7 million, or 20%, as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27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0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70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 segment</w:t>
            </w:r>
          </w:p>
        </w:tc>
        <w:tc>
          <w:tcPr>
            <w:tcW w:w="9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91.9</w:t>
            </w:r>
          </w:p>
        </w:tc>
        <w:tc>
          <w:tcPr>
            <w:tcW w:w="4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r>
      <w:tr>
        <w:trPr>
          <w:trHeight w:val="196"/>
        </w:trPr>
        <w:tc>
          <w:tcPr>
            <w:tcW w:w="7080" w:type="dxa"/>
            <w:vAlign w:val="bottom"/>
          </w:tcPr>
          <w:p>
            <w:pPr>
              <w:ind w:left="20"/>
              <w:spacing w:after="0"/>
              <w:rPr>
                <w:sz w:val="20"/>
                <w:szCs w:val="20"/>
                <w:color w:val="auto"/>
              </w:rPr>
            </w:pPr>
            <w:r>
              <w:rPr>
                <w:rFonts w:ascii="Arial" w:cs="Arial" w:eastAsia="Arial" w:hAnsi="Arial"/>
                <w:sz w:val="14"/>
                <w:szCs w:val="14"/>
                <w:color w:val="auto"/>
              </w:rPr>
              <w:t>Land segment</w:t>
            </w:r>
          </w:p>
        </w:tc>
        <w:tc>
          <w:tcPr>
            <w:tcW w:w="9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84.8</w:t>
            </w:r>
          </w:p>
        </w:tc>
        <w:tc>
          <w:tcPr>
            <w:tcW w:w="4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03"/>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 segment</w:t>
            </w:r>
          </w:p>
        </w:tc>
        <w:tc>
          <w:tcPr>
            <w:tcW w:w="9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r>
      <w:tr>
        <w:trPr>
          <w:trHeight w:val="196"/>
        </w:trPr>
        <w:tc>
          <w:tcPr>
            <w:tcW w:w="70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5"/>
              </w:rPr>
              <w:t>213.9</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268.6</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w:t>
            </w:r>
          </w:p>
        </w:tc>
      </w:tr>
      <w:tr>
        <w:trPr>
          <w:trHeight w:val="26"/>
        </w:trPr>
        <w:tc>
          <w:tcPr>
            <w:tcW w:w="7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aviation segment gross profit for the second quarter of 2020 was $91.9 million, a decrease of $48.6 million, or 35%, as compared to the second quarter of 2019. The decrease in aviation gross profit was primarily due to a 68% decline in volume as a consequence of the significant decline in air travel due to the COVID-19 pandemic, together with a reduction in our government-related activity in Afghanistan as a result of the ongoing drawdown of troops. Partially offsetting the volume-related impact on gross profit were certain situation-specific, nontraditional activity arising from the pandemic, such as repatriation flights and the repositioning of aircraft, as well as physical supply gains associated with the historic volatility in jet fuel prices during the second quarter.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jc w:val="both"/>
        <w:ind w:firstLine="324"/>
        <w:spacing w:after="0" w:line="311" w:lineRule="auto"/>
        <w:rPr>
          <w:sz w:val="20"/>
          <w:szCs w:val="20"/>
          <w:color w:val="auto"/>
        </w:rPr>
      </w:pPr>
      <w:r>
        <w:rPr>
          <w:rFonts w:ascii="Arial" w:cs="Arial" w:eastAsia="Arial" w:hAnsi="Arial"/>
          <w:sz w:val="16"/>
          <w:szCs w:val="16"/>
          <w:color w:val="auto"/>
        </w:rPr>
        <w:t>Our land segment gross profit for the second quarter of 2020 was $84.8 million, a decrease of $7.0 million, or 8%, as compared to the second quarter of 2019. The decrease in land segment gross profit was primarily attributable to lower volumes as a result of the pandemic, particularly in our retail, commercial and industrial activities in North America and our government-related activities in Afghanistan, partly offset by continued strength in the U.K.</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marine segment gross profit for the second quarter of 2020 was $37.2 million, an increase of $0.9 million, or 2%, as compared to the second quarter of 2019. The gross profit increase was related to improved performance in our core resale business, offset by significantly lower volume due to a decline in activity in connection with the pandemic.</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second quarter of 2020 were $202.0 million, an increase of $8.6 million, or 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2019. As part of our cost-reduction initiatives, we significantly reduced certain general and administrative expenses during the second quarter of 2020, which were effectively offset by a higher provision for bad debt, principally due to the effects of the pandemic on the aviation industry. Furthermore, despite lower compensation costs, including lower incentive compensation, total operating expenses were higher as a result of an impairment charge of $18.6 million during the second quarter of 2020 associated with our decision to rationalize our global office footprint. The following table sets forth our expense categories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278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0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7"/>
        </w:trPr>
        <w:tc>
          <w:tcPr>
            <w:tcW w:w="70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employee benefits</w:t>
            </w:r>
          </w:p>
        </w:tc>
        <w:tc>
          <w:tcPr>
            <w:tcW w:w="9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95.9</w:t>
            </w:r>
          </w:p>
        </w:tc>
        <w:tc>
          <w:tcPr>
            <w:tcW w:w="4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112.0</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196"/>
        </w:trPr>
        <w:tc>
          <w:tcPr>
            <w:tcW w:w="70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84.4</w:t>
            </w:r>
          </w:p>
        </w:tc>
        <w:tc>
          <w:tcPr>
            <w:tcW w:w="4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79.5</w:t>
            </w: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4.9</w:t>
            </w:r>
          </w:p>
        </w:tc>
      </w:tr>
      <w:tr>
        <w:trPr>
          <w:trHeight w:val="209"/>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r>
      <w:tr>
        <w:trPr>
          <w:trHeight w:val="196"/>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Restructuring charges</w:t>
            </w: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r>
      <w:tr>
        <w:trPr>
          <w:trHeight w:val="221"/>
        </w:trPr>
        <w:tc>
          <w:tcPr>
            <w:tcW w:w="70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85"/>
              </w:rPr>
              <w:t>202.0</w:t>
            </w:r>
          </w:p>
        </w:tc>
        <w:tc>
          <w:tcPr>
            <w:tcW w:w="4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193.4</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w:t>
            </w:r>
          </w:p>
        </w:tc>
      </w:tr>
      <w:tr>
        <w:trPr>
          <w:trHeight w:val="20"/>
        </w:trPr>
        <w:tc>
          <w:tcPr>
            <w:tcW w:w="70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0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7"/>
        </w:trPr>
        <w:tc>
          <w:tcPr>
            <w:tcW w:w="7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 segment</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9.0</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5"/>
              </w:rPr>
              <w:t>73.5</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r>
      <w:tr>
        <w:trPr>
          <w:trHeight w:val="197"/>
        </w:trPr>
        <w:tc>
          <w:tcPr>
            <w:tcW w:w="7080" w:type="dxa"/>
            <w:vAlign w:val="bottom"/>
          </w:tcPr>
          <w:p>
            <w:pPr>
              <w:ind w:left="20"/>
              <w:spacing w:after="0"/>
              <w:rPr>
                <w:sz w:val="20"/>
                <w:szCs w:val="20"/>
                <w:color w:val="auto"/>
              </w:rPr>
            </w:pPr>
            <w:r>
              <w:rPr>
                <w:rFonts w:ascii="Arial" w:cs="Arial" w:eastAsia="Arial" w:hAnsi="Arial"/>
                <w:sz w:val="14"/>
                <w:szCs w:val="14"/>
                <w:color w:val="auto"/>
              </w:rPr>
              <w:t>Land segment</w:t>
            </w:r>
          </w:p>
        </w:tc>
        <w:tc>
          <w:tcPr>
            <w:tcW w:w="38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460" w:type="dxa"/>
            <w:vAlign w:val="bottom"/>
          </w:tcPr>
          <w:p>
            <w:pPr>
              <w:spacing w:after="0"/>
              <w:rPr>
                <w:sz w:val="17"/>
                <w:szCs w:val="17"/>
                <w:color w:val="auto"/>
              </w:rPr>
            </w:pPr>
          </w:p>
        </w:tc>
        <w:tc>
          <w:tcPr>
            <w:tcW w:w="920" w:type="dxa"/>
            <w:vAlign w:val="bottom"/>
          </w:tcPr>
          <w:p>
            <w:pPr>
              <w:jc w:val="center"/>
              <w:ind w:left="328"/>
              <w:spacing w:after="0"/>
              <w:rPr>
                <w:sz w:val="20"/>
                <w:szCs w:val="20"/>
                <w:color w:val="auto"/>
              </w:rPr>
            </w:pPr>
            <w:r>
              <w:rPr>
                <w:rFonts w:ascii="Arial" w:cs="Arial" w:eastAsia="Arial" w:hAnsi="Arial"/>
                <w:sz w:val="14"/>
                <w:szCs w:val="14"/>
                <w:color w:val="auto"/>
                <w:w w:val="87"/>
              </w:rPr>
              <w:t>11.8</w:t>
            </w: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03"/>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 segment</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13.3</w:t>
            </w: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308"/>
              <w:spacing w:after="0"/>
              <w:rPr>
                <w:sz w:val="20"/>
                <w:szCs w:val="20"/>
                <w:color w:val="auto"/>
              </w:rPr>
            </w:pPr>
            <w:r>
              <w:rPr>
                <w:rFonts w:ascii="Arial" w:cs="Arial" w:eastAsia="Arial" w:hAnsi="Arial"/>
                <w:sz w:val="14"/>
                <w:szCs w:val="14"/>
                <w:color w:val="auto"/>
                <w:w w:val="95"/>
              </w:rPr>
              <w:t>10.1</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r>
      <w:tr>
        <w:trPr>
          <w:trHeight w:val="196"/>
        </w:trPr>
        <w:tc>
          <w:tcPr>
            <w:tcW w:w="7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32.0</w:t>
            </w:r>
          </w:p>
        </w:tc>
        <w:tc>
          <w:tcPr>
            <w:tcW w:w="460" w:type="dxa"/>
            <w:vAlign w:val="bottom"/>
          </w:tcPr>
          <w:p>
            <w:pPr>
              <w:spacing w:after="0"/>
              <w:rPr>
                <w:sz w:val="17"/>
                <w:szCs w:val="17"/>
                <w:color w:val="auto"/>
              </w:rPr>
            </w:pPr>
          </w:p>
        </w:tc>
        <w:tc>
          <w:tcPr>
            <w:tcW w:w="920" w:type="dxa"/>
            <w:vAlign w:val="bottom"/>
          </w:tcPr>
          <w:p>
            <w:pPr>
              <w:jc w:val="center"/>
              <w:ind w:left="308"/>
              <w:spacing w:after="0"/>
              <w:rPr>
                <w:sz w:val="20"/>
                <w:szCs w:val="20"/>
                <w:color w:val="auto"/>
              </w:rPr>
            </w:pPr>
            <w:r>
              <w:rPr>
                <w:rFonts w:ascii="Arial" w:cs="Arial" w:eastAsia="Arial" w:hAnsi="Arial"/>
                <w:sz w:val="14"/>
                <w:szCs w:val="14"/>
                <w:color w:val="auto"/>
                <w:w w:val="95"/>
              </w:rPr>
              <w:t>95.4</w:t>
            </w: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(63.4)</w:t>
            </w:r>
          </w:p>
        </w:tc>
      </w:tr>
      <w:tr>
        <w:trPr>
          <w:trHeight w:val="203"/>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Corporate overhead - unallocated</w:t>
            </w:r>
          </w:p>
        </w:tc>
        <w:tc>
          <w:tcPr>
            <w:tcW w:w="3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w w:val="98"/>
              </w:rPr>
              <w:t>(20.2)</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r>
      <w:tr>
        <w:trPr>
          <w:trHeight w:val="196"/>
        </w:trPr>
        <w:tc>
          <w:tcPr>
            <w:tcW w:w="70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5"/>
              </w:rPr>
              <w:t>75.2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(63.3)</w:t>
            </w:r>
          </w:p>
        </w:tc>
      </w:tr>
      <w:tr>
        <w:trPr>
          <w:trHeight w:val="27"/>
        </w:trPr>
        <w:tc>
          <w:tcPr>
            <w:tcW w:w="7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from operations for the second quarter of 2020 was $11.9 million, a decrease of $63.3 million, or 84%, as compared to the second quarter of 2019. Results in our aviation segment primarily drove the decrease in operating income.</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from operations in our aviation segment for the second quarter of 2020 was $9.0 million, a decrease of $64.5 million, or 88% as compared to the second quarter of 2019. Our aviation segment was principally impacted by lower volumes and the correspondingly reduced profit contribution as a consequence of the significant decline in air travel due to the COVID-19 pandemic, together with a reduction in our government-related activity in Afghanistan as a result of the ongoing drawdown of troops. Aviation segment operating income was also reduced by increased expenses resulting from a higher provision for bad debt principally due to the effects of the pandemic on the aviation industry, as well as the global office footprint rationalization impairment charge.</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land segment, income from operations for the second quarter of 2020 was $9.7 million, a decrease of $2.1 million, or 18% as compared to the second quarter of 2019. The decrease in land segment operating profit was primarily attributable to lower volumes as a result of the pandemic, particularly in our retail, commercial and industrial activities in North America, and our government-related activities in Afghanistan, as well as the global office footprint rationalization impairment charge. The decreases were partly offset by continued strength in the U.K and lower general and administrative expenses and compensation costs during the second quarter.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jc w:val="both"/>
        <w:ind w:firstLine="324"/>
        <w:spacing w:after="0" w:line="263" w:lineRule="auto"/>
        <w:rPr>
          <w:sz w:val="20"/>
          <w:szCs w:val="20"/>
          <w:color w:val="auto"/>
        </w:rPr>
      </w:pPr>
      <w:r>
        <w:rPr>
          <w:rFonts w:ascii="Arial" w:cs="Arial" w:eastAsia="Arial" w:hAnsi="Arial"/>
          <w:sz w:val="18"/>
          <w:szCs w:val="18"/>
          <w:color w:val="auto"/>
        </w:rPr>
        <w:t>Our marine segment income from operations for the second quarter of 2020 was $13.3 million, an increase of $3.2 million, or 32% as compared to the second quarter of 2019. The increase in operating income was primarily related to improved performance in our core resale business as well as decreases in compensation costs, partially offset by the global office footprint rationalization impairment charge.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second quarter of 2020 were $20.1 million, a decrease of $0.1 million, or 0.5%, as compared to the second quarter of 2019, primarily attributable to a decrease in compensation costs.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second quarter of 2020, we had non-operating expenses of $14.9 million, a decrease of $2.7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second quarter of 2019, driven principally by a reduction in interest expenses and fees associated with our receivable purchase programs partly offset by foreign currency transaction loss.</w:t>
      </w:r>
    </w:p>
    <w:p>
      <w:pPr>
        <w:spacing w:after="0" w:line="2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For the second quarter of 2020, our income tax provision was $7.7 million and our effective income tax rate was (258%),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an income tax provision of $20.0 million and an effective income tax rate of 35% for the second quarter of 2019. The lower tax provision was a result of lower income before income taxes while the higher effective income tax rate was primarily related to differences in the results of our subsidiaries in tax jurisdictions with different tax rates and certain one-time discrete items. See Note 8. Income Taxes within this 10-Q Report for additional information.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second quarter of 2020, net loss attributable to noncontrolling interest was $0.4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income of $0.6 million for the second quarter of 2019.</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Net Income Attributable to World Fuel and Diluted Earnings per Common Share</w:t>
      </w:r>
      <w:r>
        <w:rPr>
          <w:rFonts w:ascii="Arial" w:cs="Arial" w:eastAsia="Arial" w:hAnsi="Arial"/>
          <w:sz w:val="18"/>
          <w:szCs w:val="18"/>
          <w:color w:val="auto"/>
        </w:rPr>
        <w:t>. For the second quarter of 2020, we had a net loss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World Fuel of $10.2 million and diluted loss per common share of $0.16 as compared to net income attributable to World Fuel of $37.0 million and diluted earnings per common share of $0.55 for the second quarter of 2019.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six months of 2020 was $11.2 billion, a decrease of $7.0 billion, or 38%, as compared to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2019. Our revenue during these periods was attributable to the following segments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For the Six Months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7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 segment</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4,784.8</w:t>
            </w:r>
          </w:p>
        </w:tc>
        <w:tc>
          <w:tcPr>
            <w:tcW w:w="4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9,037.7</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(4,253.0)</w:t>
            </w:r>
          </w:p>
        </w:tc>
      </w:tr>
      <w:tr>
        <w:trPr>
          <w:trHeight w:val="197"/>
        </w:trPr>
        <w:tc>
          <w:tcPr>
            <w:tcW w:w="7120" w:type="dxa"/>
            <w:vAlign w:val="bottom"/>
          </w:tcPr>
          <w:p>
            <w:pPr>
              <w:ind w:left="20"/>
              <w:spacing w:after="0"/>
              <w:rPr>
                <w:sz w:val="20"/>
                <w:szCs w:val="20"/>
                <w:color w:val="auto"/>
              </w:rPr>
            </w:pPr>
            <w:r>
              <w:rPr>
                <w:rFonts w:ascii="Arial" w:cs="Arial" w:eastAsia="Arial" w:hAnsi="Arial"/>
                <w:sz w:val="14"/>
                <w:szCs w:val="14"/>
                <w:color w:val="auto"/>
              </w:rPr>
              <w:t>Land segment</w:t>
            </w:r>
          </w:p>
        </w:tc>
        <w:tc>
          <w:tcPr>
            <w:tcW w:w="400" w:type="dxa"/>
            <w:vAlign w:val="bottom"/>
          </w:tcPr>
          <w:p>
            <w:pPr>
              <w:spacing w:after="0"/>
              <w:rPr>
                <w:sz w:val="17"/>
                <w:szCs w:val="17"/>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3,303.6</w:t>
            </w:r>
          </w:p>
        </w:tc>
        <w:tc>
          <w:tcPr>
            <w:tcW w:w="48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5,156.6</w:t>
            </w: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(1,853.0)</w:t>
            </w:r>
          </w:p>
        </w:tc>
      </w:tr>
      <w:tr>
        <w:trPr>
          <w:trHeight w:val="203"/>
        </w:trPr>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 segment</w:t>
            </w: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3,085.2</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3,943.9</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(858.7)</w:t>
            </w:r>
          </w:p>
        </w:tc>
      </w:tr>
      <w:tr>
        <w:trPr>
          <w:trHeight w:val="196"/>
        </w:trPr>
        <w:tc>
          <w:tcPr>
            <w:tcW w:w="7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11,173.5</w:t>
            </w:r>
          </w:p>
        </w:tc>
        <w:tc>
          <w:tcPr>
            <w:tcW w:w="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18,138.2</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(6,964.7)</w:t>
            </w:r>
          </w:p>
        </w:tc>
      </w:tr>
      <w:tr>
        <w:trPr>
          <w:trHeight w:val="27"/>
        </w:trPr>
        <w:tc>
          <w:tcPr>
            <w:tcW w:w="7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aviation segment were $4.8 billion for the first six months of 2020, a decrease of $4.3 billion, or 47%, as compared to the first six months of 2019. Lower average jet fuel prices, combined with a significant volume decline associated with the COVID-19 pandemic, drove the decrease in aviation revenue in the first six months of 2020. Specifically, the average price per gallon sold during the first six months of 2020 was $1.59</w:t>
      </w:r>
      <w:r>
        <w:rPr>
          <w:rFonts w:ascii="Arial" w:cs="Arial" w:eastAsia="Arial" w:hAnsi="Arial"/>
          <w:sz w:val="18"/>
          <w:szCs w:val="18"/>
          <w:u w:val="single" w:color="auto"/>
          <w:color w:val="0000FF"/>
        </w:rPr>
        <w:t>,</w:t>
      </w:r>
      <w:r>
        <w:rPr>
          <w:rFonts w:ascii="Arial" w:cs="Arial" w:eastAsia="Arial" w:hAnsi="Arial"/>
          <w:sz w:val="18"/>
          <w:szCs w:val="18"/>
          <w:color w:val="auto"/>
        </w:rPr>
        <w:t xml:space="preserve"> as compared to $2.08 for the comparable period in 2019. Total volumes for the first six months of 2020 were 2.5 billion gallons, a decrease of 38%, as compared to the comparable prior-year period. The decline in volumes was attributable to a significant decrease in activity in our commercial aviation business, resulting from the impact of the COVID-19 pandemic on air travel.</w:t>
      </w:r>
    </w:p>
    <w:p>
      <w:pPr>
        <w:spacing w:after="0" w:line="1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land segment were $3.3 billion for the first six months of 2020, a decrease of $1.9 billion, or 36%, as compared to the first six months of 2019. The overall decrease in revenue was influenced by lower average fuel price per gallon sold in the first six months of 2020, where the average price per gallon or gallon equivalent sold was $1.28, as compared to $1.91 in the first six months of 2019. Volumes in our land segment declined moderately to 2.5 billion, a 5% decrease in the first six months of 2020, as compared to the first six months of 2019.</w:t>
      </w:r>
    </w:p>
    <w:p>
      <w:pPr>
        <w:spacing w:after="0" w:line="158"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Revenues in our marine segment were $3.1 billion for the first six months of 2020, a decrease of $858.7 million, or 22%, as compared to the first six months of 2019. The decrease in revenues was primarily attributable to a decrease in the average price per metric ton of bunker fuel sold from $382.6 in the first six months of 2019 to $346.9 in the first half of 2020. Revenues also fell as a result of a 14% volume decrease, from 10.3 to 8.9 million metric tons in the first six months of 2019 as compared to the first six months of 2020. The volume decline was a result of the effects of the pandemic on demand, combined with a continuing effort to exit activities that generate a low economic return, particularly in light of the elevated credit risk environment in the wake of the pandemic.</w:t>
      </w:r>
    </w:p>
    <w:p>
      <w:pPr>
        <w:spacing w:after="0" w:line="2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six months of 2020 was $472.6 million, a decrease of $47.0 million, or 9%, as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7"/>
        </w:trPr>
        <w:tc>
          <w:tcPr>
            <w:tcW w:w="7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Aviation segment</w:t>
            </w:r>
          </w:p>
        </w:tc>
        <w:tc>
          <w:tcPr>
            <w:tcW w:w="9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5"/>
              </w:rPr>
              <w:t>185.0</w:t>
            </w:r>
          </w:p>
        </w:tc>
        <w:tc>
          <w:tcPr>
            <w:tcW w:w="92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254.8</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w:t>
            </w:r>
          </w:p>
        </w:tc>
      </w:tr>
      <w:tr>
        <w:trPr>
          <w:trHeight w:val="196"/>
        </w:trPr>
        <w:tc>
          <w:tcPr>
            <w:tcW w:w="7120" w:type="dxa"/>
            <w:vAlign w:val="bottom"/>
          </w:tcPr>
          <w:p>
            <w:pPr>
              <w:ind w:left="120"/>
              <w:spacing w:after="0"/>
              <w:rPr>
                <w:sz w:val="20"/>
                <w:szCs w:val="20"/>
                <w:color w:val="auto"/>
              </w:rPr>
            </w:pPr>
            <w:r>
              <w:rPr>
                <w:rFonts w:ascii="Arial" w:cs="Arial" w:eastAsia="Arial" w:hAnsi="Arial"/>
                <w:sz w:val="14"/>
                <w:szCs w:val="14"/>
                <w:color w:val="auto"/>
              </w:rPr>
              <w:t>Land segment</w:t>
            </w:r>
          </w:p>
        </w:tc>
        <w:tc>
          <w:tcPr>
            <w:tcW w:w="9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w w:val="85"/>
              </w:rPr>
              <w:t>191.0</w:t>
            </w:r>
          </w:p>
        </w:tc>
        <w:tc>
          <w:tcPr>
            <w:tcW w:w="920" w:type="dxa"/>
            <w:vAlign w:val="bottom"/>
          </w:tcPr>
          <w:p>
            <w:pPr>
              <w:spacing w:after="0"/>
              <w:rPr>
                <w:sz w:val="17"/>
                <w:szCs w:val="17"/>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w w:val="91"/>
              </w:rPr>
              <w:t>193.2</w:t>
            </w:r>
          </w:p>
        </w:tc>
        <w:tc>
          <w:tcPr>
            <w:tcW w:w="32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03"/>
        </w:trPr>
        <w:tc>
          <w:tcPr>
            <w:tcW w:w="71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Marine segment</w:t>
            </w:r>
          </w:p>
        </w:tc>
        <w:tc>
          <w:tcPr>
            <w:tcW w:w="9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96.6</w:t>
            </w:r>
          </w:p>
        </w:tc>
        <w:tc>
          <w:tcPr>
            <w:tcW w:w="9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71.6</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25.0</w:t>
            </w:r>
          </w:p>
        </w:tc>
      </w:tr>
      <w:tr>
        <w:trPr>
          <w:trHeight w:val="196"/>
        </w:trPr>
        <w:tc>
          <w:tcPr>
            <w:tcW w:w="7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5"/>
              </w:rPr>
              <w:t>472.6</w:t>
            </w:r>
          </w:p>
        </w:tc>
        <w:tc>
          <w:tcPr>
            <w:tcW w:w="9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1"/>
              </w:rPr>
              <w:t>519.7</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(47.0)</w:t>
            </w:r>
          </w:p>
        </w:tc>
      </w:tr>
      <w:tr>
        <w:trPr>
          <w:trHeight w:val="27"/>
        </w:trPr>
        <w:tc>
          <w:tcPr>
            <w:tcW w:w="7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aviation segment gross profit for the first six months of 2020 was $185.0 million, a decrease of $69.8 million, or 27%, as compared to the first six months of 2019. The decrease in aviation gross profit was primarily due to a 38% decline in volume as a consequence of the significant decline passenger air travel due to the pandemic, together with a reduction in our government-related activity in Afghanistan as a result of the ongoing drawdown of troops. Partially offsetting the volume-related impact on gross profit were certain situation-specific, nontraditional activity arising from the pandemic, such as repatriation flights and the repositioning of aircraft, as well as physical supply gains associated with the historic volatility in jet fuel prices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ind w:firstLine="324"/>
        <w:spacing w:after="0" w:line="279" w:lineRule="auto"/>
        <w:rPr>
          <w:sz w:val="20"/>
          <w:szCs w:val="20"/>
          <w:color w:val="auto"/>
        </w:rPr>
      </w:pPr>
      <w:r>
        <w:rPr>
          <w:rFonts w:ascii="Arial" w:cs="Arial" w:eastAsia="Arial" w:hAnsi="Arial"/>
          <w:sz w:val="17"/>
          <w:szCs w:val="17"/>
          <w:color w:val="auto"/>
        </w:rPr>
        <w:t>Our land segment gross profit for the first six months of 2020 was $191.0 million, a decrease of $2.2 million, or 1%, as compared to the first six months of 2019. The decrease in land segment gross profit is primarily attributable to a decline in profitability in our retail, commercial and industrial activities in North America primarily attributable to lower volumes due to the pandemic, as well as a decrease in our government-related activities in Afghanistan. These decreases were partly offset by higher profitability in the U.K. and growth in our World Kinect global energy management brand.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marine segment gross profit for the first six months of 2020 was $96.6 million, an increase of $25.0 million, or 35%, as compared to the first six months of 2019. The gross profit increase was attributable to improved performance in our core resale business, principally driven by higher average fuel prices during the first two months of 2020 resulting from the shift to very low-sulfur fuel oil as mandated by the IMO 2020 regulations that went into effect on January 1, 2020.</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six months of 2020 was $389.9 million, an increase of $15.8 million, or 4%,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2019. As part of our cost-reduction initiatives, we significantly reduced certain general and administrative expenses during the first six months of 2020, which were effectively offset by a higher provision for bad debt, principally due to the effects of the pandemic on the aviation industry. Furthermore, despite lower compensation costs, including lower incentive compensation, total operating expenses were higher as a result of an impairment charge of $18.6 million during the second quarter of 2020, associated with our decision to rationalize our global office footprint. The following table sets forth our expense categories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6"/>
        </w:trPr>
        <w:tc>
          <w:tcPr>
            <w:tcW w:w="7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employee benefits</w:t>
            </w:r>
          </w:p>
        </w:tc>
        <w:tc>
          <w:tcPr>
            <w:tcW w:w="9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5"/>
              </w:rPr>
              <w:t>198.3</w:t>
            </w:r>
          </w:p>
        </w:tc>
        <w:tc>
          <w:tcPr>
            <w:tcW w:w="92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220.3</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r>
      <w:tr>
        <w:trPr>
          <w:trHeight w:val="197"/>
        </w:trPr>
        <w:tc>
          <w:tcPr>
            <w:tcW w:w="71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20" w:type="dxa"/>
            <w:vAlign w:val="bottom"/>
          </w:tcPr>
          <w:p>
            <w:pPr>
              <w:spacing w:after="0"/>
              <w:rPr>
                <w:sz w:val="17"/>
                <w:szCs w:val="17"/>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w w:val="85"/>
              </w:rPr>
              <w:t>168.2</w:t>
            </w:r>
          </w:p>
        </w:tc>
        <w:tc>
          <w:tcPr>
            <w:tcW w:w="92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w w:val="91"/>
              </w:rPr>
              <w:t>150.1</w:t>
            </w:r>
          </w:p>
        </w:tc>
        <w:tc>
          <w:tcPr>
            <w:tcW w:w="3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18.1</w:t>
            </w:r>
          </w:p>
        </w:tc>
      </w:tr>
      <w:tr>
        <w:trPr>
          <w:trHeight w:val="208"/>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w:t>
            </w:r>
          </w:p>
        </w:tc>
      </w:tr>
      <w:tr>
        <w:trPr>
          <w:trHeight w:val="197"/>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Restructuring charges</w:t>
            </w: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w:t>
            </w: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r>
      <w:tr>
        <w:trPr>
          <w:trHeight w:val="221"/>
        </w:trPr>
        <w:tc>
          <w:tcPr>
            <w:tcW w:w="7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85"/>
              </w:rPr>
              <w:t>389.9</w:t>
            </w:r>
          </w:p>
        </w:tc>
        <w:tc>
          <w:tcPr>
            <w:tcW w:w="92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374.1</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15.8</w:t>
            </w:r>
          </w:p>
        </w:tc>
      </w:tr>
      <w:tr>
        <w:trPr>
          <w:trHeight w:val="20"/>
        </w:trPr>
        <w:tc>
          <w:tcPr>
            <w:tcW w:w="7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For the Six Months Ended</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8"/>
        </w:trPr>
        <w:tc>
          <w:tcPr>
            <w:tcW w:w="7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7"/>
        </w:trPr>
        <w:tc>
          <w:tcPr>
            <w:tcW w:w="7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02"/>
        </w:trPr>
        <w:tc>
          <w:tcPr>
            <w:tcW w:w="7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Aviation segment</w:t>
            </w:r>
          </w:p>
        </w:tc>
        <w:tc>
          <w:tcPr>
            <w:tcW w:w="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38.1</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129.1</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r>
      <w:tr>
        <w:trPr>
          <w:trHeight w:val="196"/>
        </w:trPr>
        <w:tc>
          <w:tcPr>
            <w:tcW w:w="7080" w:type="dxa"/>
            <w:vAlign w:val="bottom"/>
          </w:tcPr>
          <w:p>
            <w:pPr>
              <w:ind w:left="20"/>
              <w:spacing w:after="0"/>
              <w:rPr>
                <w:sz w:val="20"/>
                <w:szCs w:val="20"/>
                <w:color w:val="auto"/>
              </w:rPr>
            </w:pPr>
            <w:r>
              <w:rPr>
                <w:rFonts w:ascii="Arial" w:cs="Arial" w:eastAsia="Arial" w:hAnsi="Arial"/>
                <w:sz w:val="14"/>
                <w:szCs w:val="14"/>
                <w:color w:val="auto"/>
              </w:rPr>
              <w:t>Land segment</w:t>
            </w:r>
          </w:p>
        </w:tc>
        <w:tc>
          <w:tcPr>
            <w:tcW w:w="4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35.3</w:t>
            </w:r>
          </w:p>
        </w:tc>
        <w:tc>
          <w:tcPr>
            <w:tcW w:w="4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32.8</w:t>
            </w:r>
          </w:p>
        </w:tc>
        <w:tc>
          <w:tcPr>
            <w:tcW w:w="3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w:t>
            </w:r>
          </w:p>
        </w:tc>
      </w:tr>
      <w:tr>
        <w:trPr>
          <w:trHeight w:val="203"/>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Marine Segment</w:t>
            </w: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47.2</w:t>
            </w: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23.6</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23.6</w:t>
            </w:r>
          </w:p>
        </w:tc>
      </w:tr>
      <w:tr>
        <w:trPr>
          <w:trHeight w:val="196"/>
        </w:trPr>
        <w:tc>
          <w:tcPr>
            <w:tcW w:w="7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120.6</w:t>
            </w:r>
          </w:p>
        </w:tc>
        <w:tc>
          <w:tcPr>
            <w:tcW w:w="44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185.5</w:t>
            </w:r>
          </w:p>
        </w:tc>
        <w:tc>
          <w:tcPr>
            <w:tcW w:w="32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(64.9)</w:t>
            </w:r>
          </w:p>
        </w:tc>
      </w:tr>
      <w:tr>
        <w:trPr>
          <w:trHeight w:val="203"/>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Corporate overhead - unallocated</w:t>
            </w: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(37.9)</w:t>
            </w: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r>
      <w:tr>
        <w:trPr>
          <w:trHeight w:val="196"/>
        </w:trPr>
        <w:tc>
          <w:tcPr>
            <w:tcW w:w="7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82.7</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145.6</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(62.9)</w:t>
            </w:r>
          </w:p>
        </w:tc>
      </w:tr>
      <w:tr>
        <w:trPr>
          <w:trHeight w:val="26"/>
        </w:trPr>
        <w:tc>
          <w:tcPr>
            <w:tcW w:w="7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income from operations for the first six months of 2020 was $82.7 million, a decrease of $62.9 million, or 43%, as compared to the first six months of 2019. The decrease was primarily attributable to our aviation segment.</w:t>
      </w:r>
    </w:p>
    <w:p>
      <w:pPr>
        <w:spacing w:after="0" w:line="197"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Our aviation segment income from operations for the first six months of 2020 was $38.1 million, a decrease of $91.0 million, as compared to the first six months of 2019. Aviation operating income for the first six months of 2020 was principally impacted by lower volumes and the correspondingly reduced profit contribution from our commercial aviation operations as a result of the pandemic, as well as a reduction in government-related activity in Afghanistan. Aviation segment operating income was also reduced by increased expenses resulting from a higher provision for bad debt as a consequence of the impact of the pandemic on the aviation industry, as well as the global office footprint rationalization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jc w:val="both"/>
        <w:ind w:firstLine="243"/>
        <w:spacing w:after="0" w:line="296" w:lineRule="auto"/>
        <w:rPr>
          <w:sz w:val="20"/>
          <w:szCs w:val="20"/>
          <w:color w:val="auto"/>
        </w:rPr>
      </w:pPr>
      <w:r>
        <w:rPr>
          <w:rFonts w:ascii="Arial" w:cs="Arial" w:eastAsia="Arial" w:hAnsi="Arial"/>
          <w:sz w:val="16"/>
          <w:szCs w:val="16"/>
          <w:color w:val="auto"/>
        </w:rPr>
        <w:t>Our land segment income from operations for the first six months of 2020 was 35.3, an increase of 2.5, as compared to the first six months of 2019. Within our land segment, we experienced higher profitability primarily attributable to improved performance in the U.K. together with growth in our World Kinect global energy management brand, offset by lower volumes as a result of the pandemic, particularly in our retail, commercial and industrial activities in North America, as well as a decrease in our government-related activities in Afghanistan. Land segment operating income also benefited from a reduction in compensation costs and general and administrative expenses, partly offset by the global office footprint rationalization impairment charge.</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marine segment income from operations for the first six months of 2020 was $47.2 million, an increase of $23.6 million, as compared to the first six months of 2019. The increase in marine segment operating income was related to higher profitability in our core resale business, principally driven by higher fuel prices during the first two months of 2020 resulting from the shift to very low sulfur fuel oil, as mandated by the IMO 2020 regulations that went into effect on January 1, 2020. The increase in profitability was partially offset by the global office footprint rationalization impairment charge, as well as a higher provision for bad debt, as compared to 2019.</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six months of 2020 were $37.9 million, a decrease of $2.0 million, or 5%, as compared to the first six months of 2019, primarily attributable to a reduction in compensation costs.</w:t>
      </w:r>
    </w:p>
    <w:p>
      <w:pPr>
        <w:spacing w:after="0" w:line="17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first six months of 2020, we had non-operating expenses, net of $28.1 million, a decrease of $8.5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first six months of 2019 driven principally by a reduction in interest expenses and fees associated with our receivable purchase programs partly offset by foreign currency transaction loss.</w:t>
      </w:r>
    </w:p>
    <w:p>
      <w:pPr>
        <w:spacing w:after="0" w:line="18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six months of 2020, our income tax provision was $23.7 million and our effective income tax rate was 43%,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income tax provision of $34.0 million and an effective income tax rate of 31% for the first six months of 2019. The lower tax provision was a result of our lower income before income taxes, while the higher effective income tax rate was primarily related to differences in certain one-time discrete items and the results of our subsidiaries in tax jurisdictions with different tax rates.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six months of 2020, net loss attributable to noncontrolling interest was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income of $0.7 million for the first six months of 2019.</w:t>
      </w:r>
    </w:p>
    <w:p>
      <w:pPr>
        <w:spacing w:after="0" w:line="17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i w:val="1"/>
          <w:iCs w:val="1"/>
          <w:color w:val="auto"/>
        </w:rPr>
        <w:t>Net Income Attributable to World Fuel and Diluted Earnings per Common Share</w:t>
      </w:r>
      <w:r>
        <w:rPr>
          <w:rFonts w:ascii="Arial" w:cs="Arial" w:eastAsia="Arial" w:hAnsi="Arial"/>
          <w:sz w:val="18"/>
          <w:szCs w:val="18"/>
          <w:color w:val="auto"/>
        </w:rPr>
        <w:t>. For the first six months of 2020, we had a net income of $31.2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diluted earnings per common share of $0.48 as compared to net income of $74.2 million and diluted earnings per common share of $1.10 for the first six months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liquidity, consisting of cash, cash equivalents and availability under the Credit Facility fluctuates based on a number of factors, including the timing of receipts from our customers, payments to our suppliers, changes in fuel prices, as well as our financial performance, which drives availability under our Credit Facility. Our availability under our Credit Facility, for example, is limited by, among other things, our consolidated total leverage ratio, which is defined in the Credit Facility and is based in part on our adjusted consolidated earnings before interest, taxes, depreciation and amortization (“Adjusted EBITDA”) for the four immediately preceding fiscal quarters. Accordingly, significant fluctuations in our Adjusted EBITDA for a particular quarter can impact our availability to the extent it significantly alters our Adjusted EBITDA for the applicable preceding four quarters. See Item 1A. Risk Factors in Part II of this 10-Q Report for additional information.</w:t>
      </w:r>
    </w:p>
    <w:p>
      <w:pPr>
        <w:spacing w:after="0" w:line="15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Cash and liquidity are significant priorities for us and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higher fuel prices may reduce the amount of fuel which we can purchase on an unsecured basis, and in certain cases, we may be required to prepay fuel purchases, which would negatively impact our liquidity. Fuel price increases may also negatively impact our customers, in that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20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6"/>
          <w:szCs w:val="16"/>
          <w:color w:val="auto"/>
        </w:rPr>
        <w:t>As described in greater detail above, the COVID-19 pandemic is expected to continue to have an adverse impact on our customers, and therefore our own operating results for the balance of 2020, which could have a negative impact on our liquidity. However, based on the information currently available, we believe that our cash and cash equivalents as of June 30, 2020 and available funds from our Credit Facility, together with cash flows generated by operations, are sufficient to fund our working capital and capital expenditure requirements for at least the next twelve months. We may choose to raise additional funds to further enhance our liquidity profile, which may be used for working capital, capital expenditures or other strategic investments. Our opinions concerning liquidity are based on currently available information and if circumstances change significantly, whether as a result of the COVID-19 pandemic or otherwise, the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six months ended June 30, 2020 and 2019 (in millions). For additional details, please see the Consolidated Statements of Cash Flows in this Quarterly Report on Form 10-Q.</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300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3"/>
              </w:rPr>
              <w:t>For the Six Months Ended</w:t>
            </w:r>
          </w:p>
        </w:tc>
        <w:tc>
          <w:tcPr>
            <w:tcW w:w="600" w:type="dxa"/>
            <w:vAlign w:val="bottom"/>
          </w:tcPr>
          <w:p>
            <w:pPr>
              <w:spacing w:after="0"/>
              <w:rPr>
                <w:sz w:val="16"/>
                <w:szCs w:val="16"/>
                <w:color w:val="auto"/>
              </w:rPr>
            </w:pPr>
          </w:p>
        </w:tc>
      </w:tr>
      <w:tr>
        <w:trPr>
          <w:trHeight w:val="209"/>
        </w:trPr>
        <w:tc>
          <w:tcPr>
            <w:tcW w:w="76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8"/>
                <w:szCs w:val="18"/>
                <w:color w:val="auto"/>
              </w:rPr>
            </w:pPr>
          </w:p>
        </w:tc>
      </w:tr>
      <w:tr>
        <w:trPr>
          <w:trHeight w:val="196"/>
        </w:trPr>
        <w:tc>
          <w:tcPr>
            <w:tcW w:w="76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245.1</w:t>
            </w:r>
          </w:p>
        </w:tc>
        <w:tc>
          <w:tcPr>
            <w:tcW w:w="124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135.8</w:t>
            </w:r>
          </w:p>
        </w:tc>
      </w:tr>
      <w:tr>
        <w:trPr>
          <w:trHeight w:val="196"/>
        </w:trPr>
        <w:tc>
          <w:tcPr>
            <w:tcW w:w="76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1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(168.7)</w:t>
            </w:r>
          </w:p>
        </w:tc>
        <w:tc>
          <w:tcPr>
            <w:tcW w:w="124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(33.6)</w:t>
            </w:r>
          </w:p>
        </w:tc>
      </w:tr>
      <w:tr>
        <w:trPr>
          <w:trHeight w:val="228"/>
        </w:trPr>
        <w:tc>
          <w:tcPr>
            <w:tcW w:w="7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394.9</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(97.1)</w:t>
            </w:r>
          </w:p>
        </w:tc>
      </w:tr>
      <w:tr>
        <w:trPr>
          <w:trHeight w:val="20"/>
        </w:trPr>
        <w:tc>
          <w:tcPr>
            <w:tcW w:w="7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first six months of 2020, net cash provided by operating activities was $245.1 million as compared to net cash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operating activities of $135.8 million for the first six months of 2019. The $109.3 million change in operating cash flows was principally due to favorable year-over-year changes in working capital of $97.3 million, excluding cash, and net other long term assets and liabilities of $41.9 million, offset by a $44.0 million decrease in net income. The changes in working capital, excluding cash, reflect a $1.6 billion net decrease in accounts receivable, inventories, and short-term derivatives, offset by a $1.5 billion net decrease in accounts payable, customer deposits and accrued expenses and other current liabilities. Changes in non-cash items were principally associated with higher provision for bad debt, offset by changes in share-based payment amortization and deferred taxes.</w:t>
      </w:r>
    </w:p>
    <w:p>
      <w:pPr>
        <w:spacing w:after="0" w:line="2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first six months of 2020, net cash used in investing activities was $168.7 million as compared to net cash used in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$33.6 million for the first six months of 2019. The $135.2 million change in investing activities cash flows was principally due to the acquisition of a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first six months of 2020, net cash provided by financing activities was $394.9 million as compared to net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of $97.1 million for the first six months of 2019. The $492.0 million change was principally due to $487.4 million in net borrowings of debt under our credit facility.</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Liquidity Measures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June 30, 2020 and December 31, 2019, we had cash and cash equivalents of $645.7 million and $186.1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We had $509.5 million and $515.6 million in Term Loans outstanding as of June 30, 2020 and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Our Credit Agreement, as amended through June 30, 2020, consists of a revolving loan under which up to $1.3 billion aggregate principal amount could be borrowed, repaid and redrawn, based upon specific financial ratios and subject to the satisfaction of other customary conditions to borrowing. Our Credit Facility includes a sublimit of $400.0 million for the issuance of letters of credit and bankers' acceptances. Under the Credit Facility, we have the right to request increases in available borrowings up to an additional $400.0 million, subject to the satisfaction of certain conditions and we have the right to request increases in available borrowings up to an additional $200.0 million, subject to the satisfaction of certain conditions. The credit facility matures July 2024.</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2020 and December 31, 2019, we had outstanding borrowings under our Credit Facility totaling $530.0 million and $55.0 million, respectively. Our issued letters of credit under the Credit Facility totaled $6.7 million and $4.3 million as of June 30, 2020 and December 31, 2019, respectively. As of June 30, 2020 and December 31, 2019, the unused portion of our Credit Facility was $738.3 million and $1.2 billion. The unused portion of our Credit Facility is limited by, among other things, our financial leverage ratio, which limits the total amount of indebtedness we may incur, and may, therefore, fluctuate from period to period.</w:t>
      </w:r>
    </w:p>
    <w:p>
      <w:pPr>
        <w:spacing w:after="0" w:line="188"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As of June 30, 2020, we were in compliance with all financial covenants contained in our Credit Facility and our Term Loans.</w:t>
      </w:r>
    </w:p>
    <w:p>
      <w:pPr>
        <w:spacing w:after="0" w:line="21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Other Agreements</w:t>
      </w:r>
      <w:r>
        <w:rPr>
          <w:rFonts w:ascii="Arial" w:cs="Arial" w:eastAsia="Arial" w:hAnsi="Arial"/>
          <w:sz w:val="16"/>
          <w:szCs w:val="16"/>
          <w:color w:val="auto"/>
        </w:rPr>
        <w:t>. Additionally, we have other uncommitted credit lines primarily for the issuance of letters of credit, bank guarantees and bankers’</w:t>
      </w:r>
      <w:r>
        <w:rPr>
          <w:rFonts w:ascii="Arial" w:cs="Arial" w:eastAsia="Arial" w:hAnsi="Arial"/>
          <w:sz w:val="16"/>
          <w:szCs w:val="16"/>
          <w:i w:val="1"/>
          <w:iCs w:val="1"/>
          <w:color w:val="auto"/>
        </w:rPr>
        <w:t xml:space="preserve"> </w:t>
      </w:r>
      <w:r>
        <w:rPr>
          <w:rFonts w:ascii="Arial" w:cs="Arial" w:eastAsia="Arial" w:hAnsi="Arial"/>
          <w:sz w:val="16"/>
          <w:szCs w:val="16"/>
          <w:color w:val="auto"/>
        </w:rPr>
        <w:t>acceptances. These credit lines are renewable on an annual basis and are subject to fees at market rates. As of June 30, 2020 and December 31, 2019, our outstanding letters of credit and bank guarantees under these credit lines totaled $334.8 million and $375.2 million, respectively.</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also have accounts receivable financing programs under receivables purchase agreements (“RPAs”) with Wells Fargo Bank, N.A. and Citibank, N.A. that allow for the sale of our accounts receivable in an amount up to 100% of our outstanding qualifying accounts receivable balances and receive cash consideration equal to the total balance, less a discount margin equal to LIBOR plus 1% to 3%. The RPA agreements provide the banks with the ability to add or remove customers from these programs based on, among other things, the level of risk exposure the bank is willing to accept with respect to any customer. The fees the banks charge us to purchase the receivables from these customers can also be impacted for these reasons. Under the RPAs, accounts receivable sold, which remained outstanding at June 30, 2020 and December 31, 2019 were $92.6 million and $405.9 million, respectively. The reduction in accounts receivable sold for the second quarter of 2020 was driven primarily by lower fuel prices and the decline in activity in our commercial aviation and marine businesses as a result of the impact of the pandemic on airlines and cruise lines.</w:t>
      </w:r>
    </w:p>
    <w:p>
      <w:pPr>
        <w:spacing w:after="0" w:line="2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June 30, 2020, our short-term debt of $53.8 million primarily represents the current maturities (within the next twelve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Term Loan borrowings, finance lease obligations and a secured borrowing associated with the transfer of tax receivables.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0" w:name="page41"/>
    <w:bookmarkEnd w:id="40"/>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2019 to June 30, 2020. For a discussion of these matters, refer to Item 7. Contractual Obligations and Off-Balance Sheet Arrangements of our 2019 Form 10-K Report.</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June 30, 2020, our net derivative obligations were $111.4 million, principally due within one year.</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June 30, 2020, fixed purchase commitments under our derivative programs amounted to $83.7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June 30, 2020, we had issued letters of credit and bank guarantees totaling $341.5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Basis of Presentation and Significant Accounting Policies accompanying the Consolidated Financial Statements in this 10-Q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2020, we entered into a $300 million, one-month LIBOR, floating-for-fixed interest rate non-amortizing swap with a maturity date in March 2025. The swap agreement effectively locks in the variable interest cash flows we will pay for a portion of our Eurodollar rate loans at 0.55%. The fair value of the interest rate swap contract as of June 30, 2020, was a liability of $4.9 million.</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commodity price or foreign currency risk since December 31, 2019. Please refer to our 2019 10-K Report for a complete discussion of our exposure to these risks.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about our derivative instruments at their respective fair value positions as of June 30, 2020, see Note 4. Derivative Instruments accompanying the Consolidated Financial Statements within this 10-Q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June 30, 2020.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three months ended June 30, 2020.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92"/>
        <w:spacing w:after="0" w:line="275" w:lineRule="auto"/>
        <w:rPr>
          <w:sz w:val="20"/>
          <w:szCs w:val="20"/>
          <w:color w:val="auto"/>
        </w:rPr>
      </w:pPr>
      <w:r>
        <w:rPr>
          <w:rFonts w:ascii="Arial" w:cs="Arial" w:eastAsia="Arial" w:hAnsi="Arial"/>
          <w:sz w:val="17"/>
          <w:szCs w:val="17"/>
          <w:color w:val="auto"/>
        </w:rPr>
        <w:t>From time to time, we are under review by the IRS and various other domestic and foreign tax authorities with regards to income tax and indirect tax matters and are involved in various inquiries, audits, challenges and litigation in a number of countries, including, in particular, Brazil, Denmark, South Korea and the U.S. where the amounts under controversy may be material. See Note 8. Income Taxes and Note 12. Commitments and Contingencies within this 10-Q Report as well as refer to Note 9. Commitments and Contingencies and Note 11. Income Taxes within Part IV. Item 15. Notes to the Consolidated Financial Statements included in our 2019 10-K Report for additional details regarding certain tax matters.</w:t>
      </w:r>
    </w:p>
    <w:p>
      <w:pPr>
        <w:spacing w:after="0" w:line="176" w:lineRule="exact"/>
        <w:rPr>
          <w:sz w:val="20"/>
          <w:szCs w:val="20"/>
          <w:color w:val="auto"/>
        </w:rPr>
      </w:pPr>
    </w:p>
    <w:p>
      <w:pPr>
        <w:jc w:val="both"/>
        <w:ind w:firstLine="545"/>
        <w:spacing w:after="0" w:line="255"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supplementing the risk factors described under Part I, Item 1A, Risk Factors of our 2019 10-K Report (the “2019 10-K Risk Factors”) with the additional information and risk factor set forth below, which supplements, and to the extent inconsistent, supersedes the 2019 10-K Risk Factors. The following should be read in conjunction with the 2019 10-K Risk Factors and the information contained in this 10-Q Report, as well as our other reports filed with the SEC. The developments relating to the COVID-19 pandemic described below have heightened, and in certain cases, may exacerbate the risks disclosed in the 2019 10-K Risk Factors, and such risk factors are further qualified by the information relating to the pandemic that is described in this 10-Q Report. Except as updated herein, there have been no material changes with respect to the 2019 10-K Risk Factors and they are incorporated by reference herein.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conditions or events affecting the aviation, marine and land transportation industries may have a material adverse effect on our business.</w:t>
      </w:r>
    </w:p>
    <w:p>
      <w:pPr>
        <w:spacing w:after="0" w:line="2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business is focused on the marketing of fuel and other related products and services primarily to the aviation, marine and land transportation industries, which are generally affected by economic cycles. Therefore, weak economic conditions can have a negative impact on the business of our customers which may, in turn, have an adverse effect on our business. For example, the current coronavirus (COVID-19) pandemic has had a significant impact on the global economy generally, as well as the aviation, land and marine transportation industries, where companies operating in these sectors have been experiencing sharp declines in demand arising from the various measures enacted by governments around the world to contain the spread of the virus. Commercial passenger airlines and cruise lines have been particularly impacted by the travel restrictions and stay-at-home orders, and various other customers in each of our segments have also been adversely affected by such restrictions, as well as the extended shutdown of various businesses in affected regions. As a result, we have experienced a decline in sales volume and profitability across our aviation, land and marine segments. Furthermore, if the pandemic continues for an extended period of time, the financial condition of our customers may further deteriorate such that there is a greater risk of customer bankruptcies and credit losses, either of which could lead to significant increases in our bad debt expense. For example, during the second quarter of 2020, our provision for bad debt was materially higher, principally in the aviation segment due to the effects of the pandemic on the aviation industry in connection to the global restrictions on air travel. The ultimate magnitude and duration of these adverse impacts on our business will depend on the timing and extent to which the global economy, and our customers in the aviation, land and marine transportation industries in particular, recover from the current crisis.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ind w:firstLine="324"/>
        <w:spacing w:after="0" w:line="255" w:lineRule="auto"/>
        <w:rPr>
          <w:sz w:val="20"/>
          <w:szCs w:val="20"/>
          <w:color w:val="auto"/>
        </w:rPr>
      </w:pPr>
      <w:r>
        <w:rPr>
          <w:rFonts w:ascii="Arial" w:cs="Arial" w:eastAsia="Arial" w:hAnsi="Arial"/>
          <w:sz w:val="18"/>
          <w:szCs w:val="18"/>
          <w:color w:val="auto"/>
        </w:rPr>
        <w:t>Additionally, our business and that of our customers can be adversely impacted by political instability, terrorist activity, piracy, military action, transportation, terminal or pipeline capacity constraints, natural disasters and other weather-related events that disrupt shipping, flight operations, land transportation or the availability of fuel, which may negatively impact sales of our products and services. Any additional political or governmental developments or other global health concerns or crises in the countries in which we or our customers operate, could also result in further social, economic or labor instability. Accordingly, the effects of any of the foregoing risks and uncertainties on us or our customers could have a material adverse effect on our business, results of operations and financial condition.</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Lastly, our business could also be adversely affected by merger activity in the aviation, marine or land transportation industries, which may reduce the number of customers that purchase our products and services, as well as the prices we are able to charge for such products and services. For example, the shipping and aviation industries have gone through a period of significant consolidation, which has created a concentration of volume among a limited number of larger shipping companies and commercial airlines. Larger shipping companies and airlines often have greater leverage, are more sophisticated purchasers of fuel and have a greater ability to buy directly from major oil companies and suppliers. Accordingly, this can negatively impact our value proposition to these types of customers and increases the risk of disintermediation.</w:t>
      </w:r>
    </w:p>
    <w:p>
      <w:pPr>
        <w:spacing w:after="0" w:line="20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COVID-19 pandemic and related global economic slowdown have recently had an adverse impact on our business and, depending on the duration of the pandemic, could have a material adverse effect on our business, results of operations, financial condition, liquidity and cash flows.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outbreak of the novel coronavirus (COVID-19), which was declared a pandemic by the World Health Organization in March 2020, has created significant volatility, uncertainty and disruption in the global economy. The rapid spread of COVID-19 has caused governments around the world to implement stringent measures to help control the spread of the virus, including quarantines, “stay-at-home” or “shelter-in-place” orders, social-distancing mandates, travel restrictions, and closures or reduced operations for businesses, governmental agencies, schools and other institutions, among others. While, governments and central banks in several parts of the world have enacted fiscal and monetary stimulus policies to counteract the adverse effects of the pandemic, the effectiveness of such actions are still uncertain. Furthermore, the restrictions on travel, “stay-at-home” or “shelter-in-place” orders and business closures led to a precipitous decline in fuel prices during the first half of 2020 in response to concerns about demand for fuel, further exacerbated by disagreements regarding crude oil production levels between the OPEC members and other oil producing countries such as Russia, as well as related global storage considerations.</w:t>
      </w:r>
    </w:p>
    <w:p>
      <w:pPr>
        <w:spacing w:after="0" w:line="2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response to the pandemic and measures taken by applicable governmental authorities, we took prompt action to ensure the safety of our employees and other stakeholders, as well as commenced a number of initiatives relating to cost reduction, liquidity and operating efficiencies. While the pandemic and associated impacts on economic activity had a limited adverse effect on our results of operations and financial condition during the first quarter of 2020, we began to see a sharp decline in demand and related sales volume during the second quarter of 2020, as large sectors of the global economy were adversely impacted by the crisis. As the number of coronavirus cases have significantly increased recently in various parts of the world, the duration of the pandemic and the ultimate impact on the global economy continues to be uncertain. Accordingly, the extent of the impact of the pandemic on our results of operations for the balance of the year will be dependent on the duration of the pandemic and the extent of the eventual recovery.</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we are unable to predict the ultimate impact of the COVID-19 pandemic at this time or enumerate all potential risks to our business, given the nature and significance of the crisis, we believe that in addition to the impacts described above, other current or potential impacts of this unprecedented event include, but are not limited to:</w:t>
      </w:r>
    </w:p>
    <w:p>
      <w:pPr>
        <w:spacing w:after="0" w:line="2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disruptions in our supply chains due to transportation delays, travel restrictions, cost increases, and closures of businesses or facilities;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extended periods of reduced demand and low fuel prices that impact our sales volume and related profitability;</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impacts related to delayed customer payments and payment defaults associated with customer liquidity issues and bankruptcies, as well as other liquidity challenges, such as reduced availability under our senior credit facility due to financial covenant restrictions tied to our financial performance;</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losses on hedging transactions with customers arising from the sharp decline in fuel prices and their inability to benefit from the reduced cost of fuel due to substantial reductions in their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resulting from office and facility closures, reductions in operating hours, and changes in operating procedures, including additional cleaning and disinfecting procedures;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3" w:name="page44"/>
    <w:bookmarkEnd w:id="43"/>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infections or quarantining of our employees which could impact our ability to service our customers or operate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costs associated with rationalization of our portfolio of businesses and other restructuring activities;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asset impairments, including an impairment of the carrying value of our goodwill, along with other accounting charges if expected future demand for our products and services materially decreases;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in the global financial markets, which could have a negative impact on our ability to access capital and additional sources of financing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notices from customers, suppliers and other third parties asserting force majeure or other bases for their non-performance;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 of our global workforce to adjust to market conditions, including increased costs associated with severance payments, retention issues, and an inability to hire employees when market conditions improve;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employee matters and insurance arrangements;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 of cybersecurity issues, as digital technologies may become more vulnerable and experience a higher rate of cyber attacks in a remote connectivity environment;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need to preserve liquidity, which could result in actions such as a reduction or suspension of our quarterly dividend or stock repurchases; and</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structural shift in the global economy and its demand for fuel and related products and services as a result of changes in the way people work, travel and interact, or in connection with a global recession.</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monitoring and continue to assess the ongoing effects of the COVID-19 pandemic on our businesses and operations. Developments related to the pandemic have been rapidly changing, and additional impacts and risks may arise that we may not currently foresee. Furthermore, the full extent to which the pandemic may adversely impact us or our results is currently uncertain and difficult to assess or predict with meaningful precision. We are similarly unable to predict the degree to which the pandemic may ultimately impact our customers, suppliers, and other business partners’ financial condition, but a material effect on these parties could also adversely affect us.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extent to which the pandemic will ultimately impact us will depend on numerous future developments that are highly uncertain, including the severity and duration of the crisis and the extent of any further actions taken by governments in response, the ultimate impact on global economic activity and how quickly, and to what extent, normal economic and operating conditions can resume on a sustainable basis globally, as well as the extent and duration of the effect of the crisis on consumer confidence and spending.</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Finally, the effects of COVID-19 may remain prevalent for a significant period of time and may continue to adversely affect our business, results of operations and financial condition even after the outbreak has subsided. The pandemic may also have the effect of exacerbating many of the other risks discussed in our 10-K Risk Factors and this 10-Q Report, which could in turn have a material adverse effect on us. Accordingly, the occurrence of one or more the foregoing factors could increase our costs and/or reduce the demand for our products, which could therefore have a material adverse effect on our business, financial condition, results of operations, liquidity and cash flows. For additional information on the impact of the pandemic, see “Management’s Discussion and Analysis of Financial Condition and Results of Operations - Business Overview” and for a discussion of the impact of changes in fuel prices on our business, see the 2019 10-K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June 30, 2020 (in thousands, except average price paid per share):</w:t>
      </w:r>
    </w:p>
    <w:tbl>
      <w:tblPr>
        <w:tblLayout w:type="fixed"/>
        <w:tblInd w:w="0" w:type="dxa"/>
        <w:tblCellMar>
          <w:top w:w="0" w:type="dxa"/>
          <w:left w:w="0" w:type="dxa"/>
          <w:bottom w:w="0" w:type="dxa"/>
          <w:right w:w="0" w:type="dxa"/>
        </w:tblCellMar>
      </w:tblPr>
      <w:tr>
        <w:trPr>
          <w:trHeight w:val="150"/>
        </w:trPr>
        <w:tc>
          <w:tcPr>
            <w:tcW w:w="2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80" w:type="dxa"/>
            <w:vAlign w:val="bottom"/>
          </w:tcPr>
          <w:p>
            <w:pPr>
              <w:jc w:val="center"/>
              <w:ind w:left="868"/>
              <w:spacing w:after="0" w:line="150" w:lineRule="exact"/>
              <w:rPr>
                <w:sz w:val="20"/>
                <w:szCs w:val="20"/>
                <w:color w:val="auto"/>
              </w:rPr>
            </w:pPr>
            <w:r>
              <w:rPr>
                <w:rFonts w:ascii="Arial" w:cs="Arial" w:eastAsia="Arial" w:hAnsi="Arial"/>
                <w:sz w:val="14"/>
                <w:szCs w:val="14"/>
                <w:b w:val="1"/>
                <w:bCs w:val="1"/>
                <w:color w:val="auto"/>
                <w:w w:val="95"/>
              </w:rPr>
              <w:t>Total Number</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50"/>
        </w:trPr>
        <w:tc>
          <w:tcPr>
            <w:tcW w:w="2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80" w:type="dxa"/>
            <w:vAlign w:val="bottom"/>
            <w:vMerge w:val="restart"/>
          </w:tcPr>
          <w:p>
            <w:pPr>
              <w:jc w:val="center"/>
              <w:ind w:left="868"/>
              <w:spacing w:after="0"/>
              <w:rPr>
                <w:sz w:val="20"/>
                <w:szCs w:val="20"/>
                <w:color w:val="auto"/>
              </w:rPr>
            </w:pPr>
            <w:r>
              <w:rPr>
                <w:rFonts w:ascii="Arial" w:cs="Arial" w:eastAsia="Arial" w:hAnsi="Arial"/>
                <w:sz w:val="14"/>
                <w:szCs w:val="14"/>
                <w:b w:val="1"/>
                <w:bCs w:val="1"/>
                <w:color w:val="auto"/>
                <w:w w:val="90"/>
              </w:rPr>
              <w:t>of Shares Purchased</w:t>
            </w: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210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w w:val="95"/>
              </w:rPr>
              <w:t>Total Number</w:t>
            </w:r>
          </w:p>
        </w:tc>
        <w:tc>
          <w:tcPr>
            <w:tcW w:w="4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Price</w:t>
            </w:r>
          </w:p>
        </w:tc>
        <w:tc>
          <w:tcPr>
            <w:tcW w:w="2280" w:type="dxa"/>
            <w:vAlign w:val="bottom"/>
          </w:tcPr>
          <w:p>
            <w:pPr>
              <w:jc w:val="center"/>
              <w:ind w:left="868"/>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35"/>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100" w:type="dxa"/>
            <w:vAlign w:val="bottom"/>
          </w:tcPr>
          <w:p>
            <w:pPr>
              <w:jc w:val="center"/>
              <w:ind w:left="908"/>
              <w:spacing w:after="0" w:line="135" w:lineRule="exact"/>
              <w:rPr>
                <w:sz w:val="20"/>
                <w:szCs w:val="20"/>
                <w:color w:val="auto"/>
              </w:rPr>
            </w:pPr>
            <w:r>
              <w:rPr>
                <w:rFonts w:ascii="Arial" w:cs="Arial" w:eastAsia="Arial" w:hAnsi="Arial"/>
                <w:sz w:val="14"/>
                <w:szCs w:val="14"/>
                <w:b w:val="1"/>
                <w:bCs w:val="1"/>
                <w:color w:val="auto"/>
                <w:w w:val="87"/>
              </w:rPr>
              <w:t>of Shares</w:t>
            </w:r>
          </w:p>
        </w:tc>
        <w:tc>
          <w:tcPr>
            <w:tcW w:w="4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2280" w:type="dxa"/>
            <w:vAlign w:val="bottom"/>
          </w:tcPr>
          <w:p>
            <w:pPr>
              <w:jc w:val="center"/>
              <w:ind w:left="868"/>
              <w:spacing w:after="0" w:line="135" w:lineRule="exact"/>
              <w:rPr>
                <w:sz w:val="20"/>
                <w:szCs w:val="20"/>
                <w:color w:val="auto"/>
              </w:rPr>
            </w:pPr>
            <w:r>
              <w:rPr>
                <w:rFonts w:ascii="Arial" w:cs="Arial" w:eastAsia="Arial" w:hAnsi="Arial"/>
                <w:sz w:val="14"/>
                <w:szCs w:val="14"/>
                <w:b w:val="1"/>
                <w:bCs w:val="1"/>
                <w:color w:val="auto"/>
                <w:w w:val="89"/>
              </w:rPr>
              <w:t>Announced Plans</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8"/>
        </w:trPr>
        <w:tc>
          <w:tcPr>
            <w:tcW w:w="236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b w:val="1"/>
                <w:bCs w:val="1"/>
                <w:color w:val="auto"/>
                <w:w w:val="91"/>
              </w:rPr>
              <w:t xml:space="preserve">Purchased </w:t>
            </w:r>
            <w:r>
              <w:rPr>
                <w:rFonts w:ascii="Arial" w:cs="Arial" w:eastAsia="Arial" w:hAnsi="Arial"/>
                <w:sz w:val="10"/>
                <w:szCs w:val="10"/>
                <w:b w:val="1"/>
                <w:bCs w:val="1"/>
                <w:color w:val="auto"/>
                <w:w w:val="91"/>
              </w:rPr>
              <w:t>(1)</w:t>
            </w: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Paid Per Share</w:t>
            </w:r>
          </w:p>
        </w:tc>
        <w:tc>
          <w:tcPr>
            <w:tcW w:w="228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3"/>
              </w:rPr>
              <w:t>or Programs</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10"/>
                <w:szCs w:val="10"/>
                <w:b w:val="1"/>
                <w:bCs w:val="1"/>
                <w:color w:val="auto"/>
                <w:w w:val="93"/>
              </w:rPr>
              <w:t>(2)</w:t>
            </w:r>
          </w:p>
        </w:tc>
        <w:tc>
          <w:tcPr>
            <w:tcW w:w="0" w:type="dxa"/>
            <w:vAlign w:val="bottom"/>
          </w:tcPr>
          <w:p>
            <w:pPr>
              <w:spacing w:after="0"/>
              <w:rPr>
                <w:sz w:val="1"/>
                <w:szCs w:val="1"/>
                <w:color w:val="auto"/>
              </w:rPr>
            </w:pPr>
          </w:p>
        </w:tc>
      </w:tr>
      <w:tr>
        <w:trPr>
          <w:trHeight w:val="197"/>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4/1/2020 - 4/30/2020</w:t>
            </w:r>
          </w:p>
        </w:tc>
        <w:tc>
          <w:tcPr>
            <w:tcW w:w="2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328"/>
              <w:spacing w:after="0"/>
              <w:rPr>
                <w:sz w:val="20"/>
                <w:szCs w:val="20"/>
                <w:color w:val="auto"/>
              </w:rPr>
            </w:pPr>
            <w:r>
              <w:rPr>
                <w:rFonts w:ascii="Arial" w:cs="Arial" w:eastAsia="Arial" w:hAnsi="Arial"/>
                <w:sz w:val="14"/>
                <w:szCs w:val="14"/>
                <w:color w:val="auto"/>
              </w:rPr>
              <w:t>$</w:t>
            </w:r>
          </w:p>
        </w:tc>
        <w:tc>
          <w:tcPr>
            <w:tcW w:w="2280" w:type="dxa"/>
            <w:vAlign w:val="bottom"/>
            <w:shd w:val="clear" w:color="auto" w:fill="CCEEFF"/>
          </w:tcPr>
          <w:p>
            <w:pPr>
              <w:jc w:val="right"/>
              <w:ind w:right="18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258,944</w:t>
            </w:r>
          </w:p>
        </w:tc>
        <w:tc>
          <w:tcPr>
            <w:tcW w:w="0" w:type="dxa"/>
            <w:vAlign w:val="bottom"/>
          </w:tcPr>
          <w:p>
            <w:pPr>
              <w:spacing w:after="0"/>
              <w:rPr>
                <w:sz w:val="1"/>
                <w:szCs w:val="1"/>
                <w:color w:val="auto"/>
              </w:rPr>
            </w:pPr>
          </w:p>
        </w:tc>
      </w:tr>
      <w:tr>
        <w:trPr>
          <w:trHeight w:val="197"/>
        </w:trPr>
        <w:tc>
          <w:tcPr>
            <w:tcW w:w="2360" w:type="dxa"/>
            <w:vAlign w:val="bottom"/>
          </w:tcPr>
          <w:p>
            <w:pPr>
              <w:ind w:left="20"/>
              <w:spacing w:after="0"/>
              <w:rPr>
                <w:sz w:val="20"/>
                <w:szCs w:val="20"/>
                <w:color w:val="auto"/>
              </w:rPr>
            </w:pPr>
            <w:r>
              <w:rPr>
                <w:rFonts w:ascii="Arial" w:cs="Arial" w:eastAsia="Arial" w:hAnsi="Arial"/>
                <w:sz w:val="14"/>
                <w:szCs w:val="14"/>
                <w:color w:val="auto"/>
              </w:rPr>
              <w:t>5/1/2020 - 5/31/2020</w:t>
            </w:r>
          </w:p>
        </w:tc>
        <w:tc>
          <w:tcPr>
            <w:tcW w:w="2100" w:type="dxa"/>
            <w:vAlign w:val="bottom"/>
          </w:tcPr>
          <w:p>
            <w:pPr>
              <w:spacing w:after="0"/>
              <w:rPr>
                <w:sz w:val="17"/>
                <w:szCs w:val="17"/>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620" w:type="dxa"/>
            <w:vAlign w:val="bottom"/>
          </w:tcPr>
          <w:p>
            <w:pPr>
              <w:spacing w:after="0"/>
              <w:rPr>
                <w:sz w:val="17"/>
                <w:szCs w:val="17"/>
                <w:color w:val="auto"/>
              </w:rPr>
            </w:pPr>
          </w:p>
        </w:tc>
        <w:tc>
          <w:tcPr>
            <w:tcW w:w="2280" w:type="dxa"/>
            <w:vAlign w:val="bottom"/>
          </w:tcPr>
          <w:p>
            <w:pPr>
              <w:jc w:val="right"/>
              <w:ind w:right="1848"/>
              <w:spacing w:after="0"/>
              <w:rPr>
                <w:sz w:val="20"/>
                <w:szCs w:val="20"/>
                <w:color w:val="auto"/>
              </w:rPr>
            </w:pPr>
            <w:r>
              <w:rPr>
                <w:rFonts w:ascii="Arial" w:cs="Arial" w:eastAsia="Arial" w:hAnsi="Arial"/>
                <w:sz w:val="14"/>
                <w:szCs w:val="14"/>
                <w:color w:val="auto"/>
                <w:w w:val="96"/>
              </w:rPr>
              <w:t>23.20</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800" w:type="dxa"/>
            <w:vAlign w:val="bottom"/>
          </w:tcPr>
          <w:p>
            <w:pPr>
              <w:jc w:val="right"/>
              <w:ind w:right="88"/>
              <w:spacing w:after="0"/>
              <w:rPr>
                <w:sz w:val="20"/>
                <w:szCs w:val="20"/>
                <w:color w:val="auto"/>
              </w:rPr>
            </w:pPr>
            <w:r>
              <w:rPr>
                <w:rFonts w:ascii="Arial" w:cs="Arial" w:eastAsia="Arial" w:hAnsi="Arial"/>
                <w:sz w:val="14"/>
                <w:szCs w:val="14"/>
                <w:color w:val="auto"/>
              </w:rPr>
              <w:t>258,944</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6/1/2020 - 6/30/2020</w:t>
            </w:r>
          </w:p>
        </w:tc>
        <w:tc>
          <w:tcPr>
            <w:tcW w:w="2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18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258,944</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62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tcBorders>
          </w:tcPr>
          <w:p>
            <w:pPr>
              <w:jc w:val="right"/>
              <w:ind w:right="1848"/>
              <w:spacing w:after="0"/>
              <w:rPr>
                <w:sz w:val="20"/>
                <w:szCs w:val="20"/>
                <w:color w:val="auto"/>
              </w:rPr>
            </w:pPr>
            <w:r>
              <w:rPr>
                <w:rFonts w:ascii="Arial" w:cs="Arial" w:eastAsia="Arial" w:hAnsi="Arial"/>
                <w:sz w:val="14"/>
                <w:szCs w:val="14"/>
                <w:color w:val="auto"/>
                <w:w w:val="96"/>
              </w:rPr>
              <w:t>23.20</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258,944</w:t>
            </w:r>
          </w:p>
        </w:tc>
        <w:tc>
          <w:tcPr>
            <w:tcW w:w="0" w:type="dxa"/>
            <w:vAlign w:val="bottom"/>
          </w:tcPr>
          <w:p>
            <w:pPr>
              <w:spacing w:after="0"/>
              <w:rPr>
                <w:sz w:val="1"/>
                <w:szCs w:val="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hanging="332"/>
        <w:spacing w:after="0" w:line="263" w:lineRule="auto"/>
        <w:tabs>
          <w:tab w:leader="none" w:pos="2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56" w:lineRule="exact"/>
        <w:rPr>
          <w:rFonts w:ascii="Arial" w:cs="Arial" w:eastAsia="Arial" w:hAnsi="Arial"/>
          <w:sz w:val="18"/>
          <w:szCs w:val="18"/>
          <w:color w:val="auto"/>
        </w:rPr>
      </w:pPr>
    </w:p>
    <w:p>
      <w:pPr>
        <w:ind w:left="340" w:hanging="332"/>
        <w:spacing w:after="0" w:line="271" w:lineRule="auto"/>
        <w:tabs>
          <w:tab w:leader="none" w:pos="271"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October 2017, our Board of Directors (the "Board") approved a new common stock repurchase program (the “Repurchase Program”), which replaced the program in place at that time, authorizing $100.0 million in common stock repurchases. In May 2019, the Board authorized an increase to the October 2017 repurchase authorization by $100.0 million, bringing the authorized repurchases at that time to $200.0 million. In March 2020, the Board approved a new stock repurchase program authorizing $200.0 million in common stock repurchases to begin upon the completion of the October 2017 Repurchase Program. Our repurchase programs do not require a minimum number of shares of common stock to be purchased, have no expiration date and may be suspended or discontinued at any time. As of June 30, 2020, approximately $258.9 million remains available for purchase under our repurchase programs. The timing and amount of shares of common stock to be repurchased under the repurchase programs will depend on market conditions, share price, securities law and other legal requirements and factors.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exhibits set forth in the following index of exhibits are filed as part of this 10-Q Report:</w:t>
      </w:r>
    </w:p>
    <w:p>
      <w:pPr>
        <w:sectPr>
          <w:pgSz w:w="11900" w:h="16838" w:orient="portrait"/>
          <w:cols w:equalWidth="0" w:num="1">
            <w:col w:w="11180"/>
          </w:cols>
          <w:pgMar w:left="320" w:top="891" w:right="399" w:bottom="1440" w:gutter="0" w:footer="0" w:header="0"/>
        </w:sectPr>
      </w:pPr>
    </w:p>
    <w:p>
      <w:pPr>
        <w:spacing w:after="0" w:line="244" w:lineRule="exact"/>
        <w:rPr>
          <w:sz w:val="20"/>
          <w:szCs w:val="20"/>
          <w:color w:val="auto"/>
        </w:rPr>
      </w:pPr>
    </w:p>
    <w:p>
      <w:pPr>
        <w:jc w:val="right"/>
        <w:ind w:right="30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9512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70" w:lineRule="exact"/>
        <w:rPr>
          <w:sz w:val="20"/>
          <w:szCs w:val="20"/>
          <w:color w:val="auto"/>
        </w:rPr>
      </w:pPr>
    </w:p>
    <w:p>
      <w:pPr>
        <w:jc w:val="right"/>
        <w:ind w:right="28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31.1</w:t>
        </w:r>
      </w:hyperlink>
    </w:p>
    <w:p>
      <w:pPr>
        <w:spacing w:after="0" w:line="320" w:lineRule="exact"/>
        <w:rPr>
          <w:sz w:val="20"/>
          <w:szCs w:val="20"/>
          <w:color w:val="auto"/>
        </w:rPr>
      </w:pPr>
    </w:p>
    <w:p>
      <w:pPr>
        <w:jc w:val="right"/>
        <w:ind w:right="28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31.2</w:t>
        </w:r>
      </w:hyperlink>
    </w:p>
    <w:p>
      <w:pPr>
        <w:spacing w:after="0" w:line="320" w:lineRule="exact"/>
        <w:rPr>
          <w:sz w:val="20"/>
          <w:szCs w:val="20"/>
          <w:color w:val="auto"/>
        </w:rPr>
      </w:pPr>
    </w:p>
    <w:p>
      <w:pPr>
        <w:jc w:val="right"/>
        <w:ind w:right="28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32.1</w:t>
        </w:r>
      </w:hyperlink>
    </w:p>
    <w:p>
      <w:pPr>
        <w:spacing w:after="0" w:line="34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59061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0613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pursuant to Rule 13a-14(a) or Rule 15d — 14(a).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Financial Officer pursuant to Rule 13a-14(a) or Rule 15d — 14(a).</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Chief Executive Officer and Chief Financial Officer under Section 906 of the Sarbanes-Oxley Act of 2002.</w:t>
      </w:r>
    </w:p>
    <w:p>
      <w:pPr>
        <w:spacing w:after="0" w:line="3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materials from World Fuel Services Corporation’s Quarterly Report on Form 10-Q for the quarter ended June 30, 2020,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ectPr>
          <w:pgSz w:w="11900" w:h="16838" w:orient="portrait"/>
          <w:cols w:equalWidth="0" w:num="2">
            <w:col w:w="1200" w:space="720"/>
            <w:col w:w="9260"/>
          </w:cols>
          <w:pgMar w:left="320" w:top="891" w:right="39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August 3, 2020</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2020;</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2020</w:t>
      </w:r>
    </w:p>
    <w:p>
      <w:pPr>
        <w:spacing w:after="0" w:line="38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31750</wp:posOffset>
            </wp:positionV>
            <wp:extent cx="30346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June 30, 2020;</w:t>
      </w:r>
    </w:p>
    <w:p>
      <w:pPr>
        <w:spacing w:after="0" w:line="198"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660" w:right="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56"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3, 2020</w:t>
      </w: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31750</wp:posOffset>
            </wp:positionV>
            <wp:extent cx="3531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jc w:val="both"/>
        <w:ind w:right="120" w:firstLine="357"/>
        <w:spacing w:after="0" w:line="263"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9" w:lineRule="exact"/>
        <w:rPr>
          <w:sz w:val="20"/>
          <w:szCs w:val="20"/>
          <w:color w:val="auto"/>
        </w:rPr>
      </w:pPr>
    </w:p>
    <w:p>
      <w:pPr>
        <w:ind w:left="660" w:right="320" w:hanging="328"/>
        <w:spacing w:after="0" w:line="277"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June 30, 2020 (the “Report”) fully complies with the requirements of Section 13(a) or 15(d), as applicable, of the Securities Exchange Act of 1934;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2020</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7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187325</wp:posOffset>
            </wp:positionV>
            <wp:extent cx="69265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2020-08-03T05:19:34Z</dcterms:created>
  <dcterms:modified xsi:type="dcterms:W3CDTF">2020-08-03T05:19:34Z</dcterms:modified>
</cp:coreProperties>
</file>