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April 27, 2016</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On April 27, 2016, World Fuel Services Corporation (the “Company”) issued a press release announcing that it has changed the time of its first quarter 2016 earnings conference call to 10:00AM Eastern Time on Thursday, April 28, 2016.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ind w:left="540"/>
              <w:spacing w:after="0"/>
              <w:rPr>
                <w:sz w:val="20"/>
                <w:szCs w:val="20"/>
                <w:color w:val="auto"/>
              </w:rPr>
            </w:pPr>
            <w:r>
              <w:rPr>
                <w:rFonts w:ascii="Arial" w:cs="Arial" w:eastAsia="Arial" w:hAnsi="Arial"/>
                <w:sz w:val="18"/>
                <w:szCs w:val="18"/>
                <w:color w:val="auto"/>
              </w:rPr>
              <w:t>(d)</w:t>
            </w:r>
          </w:p>
        </w:tc>
        <w:tc>
          <w:tcPr>
            <w:tcW w:w="1980" w:type="dxa"/>
            <w:vAlign w:val="bottom"/>
            <w:gridSpan w:val="3"/>
          </w:tcPr>
          <w:p>
            <w:pPr>
              <w:ind w:left="380"/>
              <w:spacing w:after="0"/>
              <w:rPr>
                <w:sz w:val="20"/>
                <w:szCs w:val="20"/>
                <w:color w:val="auto"/>
              </w:rPr>
            </w:pPr>
            <w:r>
              <w:rPr>
                <w:rFonts w:ascii="Arial" w:cs="Arial" w:eastAsia="Arial" w:hAnsi="Arial"/>
                <w:sz w:val="18"/>
                <w:szCs w:val="18"/>
                <w:color w:val="auto"/>
              </w:rPr>
              <w:t>Exhibits</w:t>
            </w:r>
          </w:p>
        </w:tc>
        <w:tc>
          <w:tcPr>
            <w:tcW w:w="840" w:type="dxa"/>
            <w:vAlign w:val="bottom"/>
          </w:tcPr>
          <w:p>
            <w:pPr>
              <w:spacing w:after="0"/>
              <w:rPr>
                <w:sz w:val="20"/>
                <w:szCs w:val="20"/>
                <w:color w:val="auto"/>
              </w:rPr>
            </w:pPr>
          </w:p>
        </w:tc>
        <w:tc>
          <w:tcPr>
            <w:tcW w:w="7480" w:type="dxa"/>
            <w:vAlign w:val="bottom"/>
          </w:tcPr>
          <w:p>
            <w:pPr>
              <w:spacing w:after="0"/>
              <w:rPr>
                <w:sz w:val="20"/>
                <w:szCs w:val="20"/>
                <w:color w:val="auto"/>
              </w:rPr>
            </w:pPr>
          </w:p>
        </w:tc>
      </w:tr>
      <w:tr>
        <w:trPr>
          <w:trHeight w:val="446"/>
        </w:trPr>
        <w:tc>
          <w:tcPr>
            <w:tcW w:w="1120" w:type="dxa"/>
            <w:vAlign w:val="bottom"/>
          </w:tcPr>
          <w:p>
            <w:pPr>
              <w:spacing w:after="0"/>
              <w:rPr>
                <w:sz w:val="24"/>
                <w:szCs w:val="24"/>
                <w:color w:val="auto"/>
              </w:rPr>
            </w:pPr>
          </w:p>
        </w:tc>
        <w:tc>
          <w:tcPr>
            <w:tcW w:w="1980" w:type="dxa"/>
            <w:vAlign w:val="bottom"/>
            <w:gridSpan w:val="3"/>
          </w:tcPr>
          <w:p>
            <w:pPr>
              <w:ind w:left="380"/>
              <w:spacing w:after="0"/>
              <w:rPr>
                <w:sz w:val="20"/>
                <w:szCs w:val="20"/>
                <w:color w:val="auto"/>
              </w:rPr>
            </w:pPr>
            <w:r>
              <w:rPr>
                <w:rFonts w:ascii="Arial" w:cs="Arial" w:eastAsia="Arial" w:hAnsi="Arial"/>
                <w:sz w:val="18"/>
                <w:szCs w:val="18"/>
                <w:color w:val="auto"/>
              </w:rPr>
              <w:t>Exhibit No.</w:t>
            </w:r>
          </w:p>
        </w:tc>
        <w:tc>
          <w:tcPr>
            <w:tcW w:w="83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507"/>
        </w:trPr>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Press Release, dated April 27, 2016.</w:t>
            </w:r>
          </w:p>
        </w:tc>
      </w:tr>
      <w:tr>
        <w:trPr>
          <w:trHeight w:val="149"/>
        </w:trPr>
        <w:tc>
          <w:tcPr>
            <w:tcW w:w="11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7480" w:type="dxa"/>
            <w:vAlign w:val="bottom"/>
            <w:tcBorders>
              <w:bottom w:val="single" w:sz="8" w:color="9A9A9A"/>
            </w:tcBorders>
          </w:tcPr>
          <w:p>
            <w:pPr>
              <w:spacing w:after="0"/>
              <w:rPr>
                <w:sz w:val="12"/>
                <w:szCs w:val="12"/>
                <w:color w:val="auto"/>
              </w:rPr>
            </w:pPr>
          </w:p>
        </w:tc>
      </w:tr>
      <w:tr>
        <w:trPr>
          <w:trHeight w:val="21"/>
        </w:trPr>
        <w:tc>
          <w:tcPr>
            <w:tcW w:w="1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April 27, 2016</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27, 2016.</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21"/>
          <w:szCs w:val="21"/>
          <w:b w:val="1"/>
          <w:bCs w:val="1"/>
          <w:color w:val="auto"/>
        </w:rPr>
        <w:t>World Fuel Services Corporation Announces Time Change for First Quarter 2016 Earnings Conference Call</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MIAMI--(BUSINESS WIRE)--April 27, 2016--World Fuel Services Corporation (NYSE:INT) today announced that it has changed the time of its first quarter 2016 earnings conference call to 10:00AM Eastern Time on Thursday, April 28, 2016, to accommodate</w:t>
      </w:r>
    </w:p>
    <w:p>
      <w:pPr>
        <w:spacing w:after="0" w:line="1" w:lineRule="exact"/>
        <w:rPr>
          <w:sz w:val="20"/>
          <w:szCs w:val="20"/>
          <w:color w:val="auto"/>
        </w:rPr>
      </w:pPr>
    </w:p>
    <w:p>
      <w:pPr>
        <w:ind w:right="300"/>
        <w:spacing w:after="0" w:line="197" w:lineRule="auto"/>
        <w:rPr>
          <w:sz w:val="20"/>
          <w:szCs w:val="20"/>
          <w:color w:val="auto"/>
        </w:rPr>
      </w:pPr>
      <w:r>
        <w:rPr>
          <w:rFonts w:ascii="Arial" w:cs="Arial" w:eastAsia="Arial" w:hAnsi="Arial"/>
          <w:sz w:val="22"/>
          <w:szCs w:val="22"/>
          <w:color w:val="auto"/>
        </w:rPr>
        <w:t>analyst scheduling conflicts. The call was previously scheduled for Thursday, April 28</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at 8:30AM Eastern Time. The company plans to release its first quarter earnings before the market opens on the same date.</w:t>
      </w:r>
    </w:p>
    <w:p>
      <w:pPr>
        <w:spacing w:after="0" w:line="186" w:lineRule="exact"/>
        <w:rPr>
          <w:sz w:val="20"/>
          <w:szCs w:val="20"/>
          <w:color w:val="auto"/>
        </w:rPr>
      </w:pPr>
    </w:p>
    <w:p>
      <w:pPr>
        <w:jc w:val="both"/>
        <w:ind w:right="420"/>
        <w:spacing w:after="0" w:line="297" w:lineRule="auto"/>
        <w:rPr>
          <w:sz w:val="20"/>
          <w:szCs w:val="20"/>
          <w:color w:val="auto"/>
        </w:rPr>
      </w:pPr>
      <w:r>
        <w:rPr>
          <w:rFonts w:ascii="Arial" w:cs="Arial" w:eastAsia="Arial" w:hAnsi="Arial"/>
          <w:sz w:val="19"/>
          <w:szCs w:val="19"/>
          <w:color w:val="auto"/>
        </w:rPr>
        <w:t>The live conference call will be accessible by telephone at (888) 225-2734 (within the United States and Canada) or (312) 429-1278 (International). Audio replay of the call will be available through May 12, 2016. The replay numbers are: (800) 633-8284 (within the United States and Canada) and (402) 977-9140 (International). The call ID is 21809904.</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May 12, 2016.</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&amp;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2019-12-05T18:11:07Z</dcterms:created>
  <dcterms:modified xsi:type="dcterms:W3CDTF">2019-12-05T18:11:07Z</dcterms:modified>
</cp:coreProperties>
</file>