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STEBBINS PAUL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05/24/2018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05/24/2018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6,954</w:t>
            </w:r>
            <w:r>
              <w:rPr>
                <w:rFonts w:ascii="Arial" w:cs="Arial" w:eastAsia="Arial" w:hAnsi="Arial"/>
                <w:sz w:val="22"/>
                <w:szCs w:val="22"/>
                <w:color w:val="008000"/>
                <w:w w:val="88"/>
                <w:vertAlign w:val="superscript"/>
              </w:rPr>
              <w:t>(2)</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18,703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279"/>
              <w:spacing w:after="0"/>
              <w:rPr>
                <w:sz w:val="20"/>
                <w:szCs w:val="20"/>
                <w:color w:val="auto"/>
              </w:rPr>
            </w:pPr>
            <w:r>
              <w:rPr>
                <w:rFonts w:ascii="Arial" w:cs="Arial" w:eastAsia="Arial" w:hAnsi="Arial"/>
                <w:sz w:val="18"/>
                <w:szCs w:val="18"/>
                <w:color w:val="0000FF"/>
              </w:rPr>
              <w:t>233,664</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w w:val="98"/>
              </w:rPr>
              <w:t>Irrevocable</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2016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4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by the Stebbins Children's Trust, of which the reporting person is the trustee, for the benefit of the reporting person's children. The reporting person is an indirect beneficial owner of the shares held in the Stebbins Children's Trust. The reporting person disclaims beneficial ownership of any shares in which he does not have a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05/29/2018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2019-12-24T03:51:55Z</dcterms:created>
  <dcterms:modified xsi:type="dcterms:W3CDTF">2019-12-24T03:51:55Z</dcterms:modified>
</cp:coreProperties>
</file>