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Birns Ira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440"/>
              <w:spacing w:after="0"/>
              <w:rPr>
                <w:sz w:val="20"/>
                <w:szCs w:val="20"/>
                <w:color w:val="auto"/>
              </w:rPr>
            </w:pPr>
            <w:r>
              <w:rPr>
                <w:rFonts w:ascii="Arial" w:cs="Arial" w:eastAsia="Arial" w:hAnsi="Arial"/>
                <w:sz w:val="18"/>
                <w:szCs w:val="18"/>
                <w:color w:val="0000FF"/>
              </w:rPr>
              <w:t>Executive VP &amp; CFO</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03/15/2018</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03/15/2018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8"/>
                <w:szCs w:val="18"/>
                <w:color w:val="0000FF"/>
                <w:w w:val="85"/>
              </w:rPr>
              <w:t>2,199</w:t>
            </w:r>
            <w:r>
              <w:rPr>
                <w:rFonts w:ascii="Arial" w:cs="Arial" w:eastAsia="Arial" w:hAnsi="Arial"/>
                <w:sz w:val="22"/>
                <w:szCs w:val="22"/>
                <w:color w:val="008000"/>
                <w:w w:val="85"/>
                <w:vertAlign w:val="superscript"/>
              </w:rPr>
              <w:t>(1)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23.93</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114,808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03/15/2018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8"/>
                <w:szCs w:val="18"/>
                <w:color w:val="0000FF"/>
                <w:w w:val="79"/>
              </w:rPr>
              <w:t>277</w:t>
            </w:r>
            <w:r>
              <w:rPr>
                <w:rFonts w:ascii="Arial" w:cs="Arial" w:eastAsia="Arial" w:hAnsi="Arial"/>
                <w:sz w:val="22"/>
                <w:szCs w:val="22"/>
                <w:color w:val="008000"/>
                <w:w w:val="79"/>
                <w:vertAlign w:val="superscript"/>
              </w:rPr>
              <w:t>(3)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23.93</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114,531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03/15/2018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8"/>
                <w:szCs w:val="18"/>
                <w:color w:val="0000FF"/>
                <w:w w:val="85"/>
              </w:rPr>
              <w:t>2,525</w:t>
            </w:r>
            <w:r>
              <w:rPr>
                <w:rFonts w:ascii="Arial" w:cs="Arial" w:eastAsia="Arial" w:hAnsi="Arial"/>
                <w:sz w:val="22"/>
                <w:szCs w:val="22"/>
                <w:color w:val="008000"/>
                <w:w w:val="85"/>
                <w:vertAlign w:val="superscript"/>
              </w:rPr>
              <w:t>(4)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0.00</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117,056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9,027 restricted stock units held by the reporting person vested and settled on March 15, 2018. The issuer withheld the reported shares to cover the reporting person's tax liability associated with these restricted stock units.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shown is the closing price of the issuer's common stock on the NYSE on March 15, 2018.</w:t>
      </w:r>
    </w:p>
    <w:p>
      <w:pPr>
        <w:spacing w:after="0" w:line="41" w:lineRule="exact"/>
        <w:rPr>
          <w:rFonts w:ascii="Arial" w:cs="Arial" w:eastAsia="Arial" w:hAnsi="Arial"/>
          <w:sz w:val="14"/>
          <w:szCs w:val="14"/>
          <w:color w:val="008000"/>
        </w:rPr>
      </w:pPr>
    </w:p>
    <w:p>
      <w:pPr>
        <w:ind w:left="40" w:right="4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1,134 restricted stock units held by the reporting person vested and settled on March 15, 2018. The issuer withheld the reported shares to cover the reporting person's tax liability associated with these restricted stock units.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restricted stock units will vest in three equal annual installments beginning on March 15, 2019.</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03/19/2018</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6673"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2019-12-24T03:59:19Z</dcterms:created>
  <dcterms:modified xsi:type="dcterms:W3CDTF">2019-12-24T03:59:19Z</dcterms:modified>
</cp:coreProperties>
</file>