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41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6"/>
              </w:rPr>
              <w:t>Florida</w:t>
            </w:r>
          </w:p>
        </w:tc>
        <w:tc>
          <w:tcPr>
            <w:tcW w:w="3100" w:type="dxa"/>
            <w:vAlign w:val="bottom"/>
            <w:gridSpan w:val="2"/>
          </w:tcPr>
          <w:p>
            <w:pPr>
              <w:jc w:val="center"/>
              <w:ind w:left="730"/>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00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(State or other jurisdiction of</w:t>
            </w:r>
          </w:p>
        </w:tc>
        <w:tc>
          <w:tcPr>
            <w:tcW w:w="800" w:type="dxa"/>
            <w:vAlign w:val="bottom"/>
          </w:tcPr>
          <w:p>
            <w:pPr>
              <w:spacing w:after="0"/>
              <w:rPr>
                <w:sz w:val="19"/>
                <w:szCs w:val="19"/>
                <w:color w:val="auto"/>
              </w:rPr>
            </w:pP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incorporation)</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000" w:type="dxa"/>
            <w:vAlign w:val="bottom"/>
          </w:tcPr>
          <w:p>
            <w:pPr>
              <w:jc w:val="center"/>
              <w:ind w:left="10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000" w:type="dxa"/>
            <w:vAlign w:val="bottom"/>
          </w:tcPr>
          <w:p>
            <w:pPr>
              <w:jc w:val="center"/>
              <w:ind w:left="1110"/>
              <w:spacing w:after="0"/>
              <w:rPr>
                <w:sz w:val="20"/>
                <w:szCs w:val="20"/>
                <w:color w:val="auto"/>
              </w:rPr>
            </w:pPr>
            <w:r>
              <w:rPr>
                <w:rFonts w:ascii="Arial" w:cs="Arial" w:eastAsia="Arial" w:hAnsi="Arial"/>
                <w:sz w:val="18"/>
                <w:szCs w:val="18"/>
                <w:b w:val="1"/>
                <w:bCs w:val="1"/>
                <w:color w:val="auto"/>
                <w:w w:val="95"/>
              </w:rPr>
              <w:t>Miami, Florida</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710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22"/>
          <w:szCs w:val="22"/>
          <w:color w:val="auto"/>
        </w:rPr>
        <w:t>On October 28, 2015, World Fuel Services Corporation issued a press release reporting its financial results for the third quarter ended September 30, 2015. A copy of the press release is attached hereto as Exhibit 99.1.</w:t>
      </w:r>
    </w:p>
    <w:p>
      <w:pPr>
        <w:spacing w:after="0" w:line="17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0"/>
          <w:szCs w:val="20"/>
          <w:color w:val="auto"/>
        </w:rPr>
      </w:pPr>
    </w:p>
    <w:p>
      <w:pPr>
        <w:ind w:left="1160" w:hanging="463"/>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Exhibit No.   Description</w:t>
      </w:r>
    </w:p>
    <w:p>
      <w:pPr>
        <w:spacing w:after="0" w:line="40"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5"/>
          <w:szCs w:val="15"/>
          <w:color w:val="auto"/>
        </w:rPr>
        <w:t>Press Release, dated October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28, 2015</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0"/>
                <w:szCs w:val="20"/>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October 28, 2015.</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ind w:left="260" w:right="2620"/>
        <w:spacing w:after="0" w:line="506" w:lineRule="auto"/>
        <w:rPr>
          <w:sz w:val="20"/>
          <w:szCs w:val="20"/>
          <w:color w:val="auto"/>
        </w:rPr>
      </w:pPr>
      <w:r>
        <w:rPr>
          <w:rFonts w:ascii="Arial" w:cs="Arial" w:eastAsia="Arial" w:hAnsi="Arial"/>
          <w:sz w:val="19"/>
          <w:szCs w:val="19"/>
          <w:b w:val="1"/>
          <w:bCs w:val="1"/>
          <w:color w:val="auto"/>
        </w:rPr>
        <w:t>World Fuel Services Corporation Reports Third Quarter Earnings Record volume across all three business segments Generated operating cash flow of $147 million during the quarter</w:t>
      </w:r>
    </w:p>
    <w:p>
      <w:pPr>
        <w:spacing w:after="0" w:line="2"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MIAMI--(BUSINESS WIRE)--October 28, 2015--World Fuel Services Corporation (NYSE: INT) today reported third quarter net income of $49.6 million or $0.71 diluted earnings per share compared to $55.7 million or $0.78 diluted earnings per share in the third quarter of 2014. Excluding certain one-time acquisition-related expenses, third quarter net income was $51.7 million or $0.74 diluted earnings per share compared to $56.1 million or $0.79 diluted earnings per share in the third quarter of 2014. Non-GAAP net income and diluted earnings per share for the third quarter, excluding share-based compensation, amortization of acquired intangible assets and certain one-time acquisition-related expenses were $60.1 million and $0.86, respectively, compared to $64.6 million and $0.91 in 2014.</w:t>
      </w:r>
    </w:p>
    <w:p>
      <w:pPr>
        <w:spacing w:after="0" w:line="178"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were pleased with our results this quarter as we experienced strong seasonality in our aviation business as well as a rebound in both our marine and land segments’ profitability,” stated Michael J. Kasbar, chairman and chief executive officer of World Fuel Services Corporation. “Our core businesses remain solid and we continue to focus on our long-term strategy to drive growth and deliver value to our customers, suppliers and shareholders.”</w:t>
      </w:r>
    </w:p>
    <w:p>
      <w:pPr>
        <w:spacing w:after="0" w:line="185" w:lineRule="exact"/>
        <w:rPr>
          <w:sz w:val="20"/>
          <w:szCs w:val="20"/>
          <w:color w:val="auto"/>
        </w:rPr>
      </w:pPr>
    </w:p>
    <w:p>
      <w:pPr>
        <w:ind w:right="120"/>
        <w:spacing w:after="0" w:line="258" w:lineRule="auto"/>
        <w:rPr>
          <w:sz w:val="20"/>
          <w:szCs w:val="20"/>
          <w:color w:val="auto"/>
        </w:rPr>
      </w:pPr>
      <w:r>
        <w:rPr>
          <w:rFonts w:ascii="Arial" w:cs="Arial" w:eastAsia="Arial" w:hAnsi="Arial"/>
          <w:sz w:val="21"/>
          <w:szCs w:val="21"/>
          <w:color w:val="auto"/>
        </w:rPr>
        <w:t>The company’s aviation segment generated gross profit of $106.8 million, an increase of $10.6 million or 11% year-over-year. The company’s marine segment generated gross profit of $48.6 million, a decrease of $0.8 million or 2% year-over-year. The company’s land segment posted gross profit of $71.3 million, an increase of $2.3 million or 3% year-over-year.</w:t>
      </w:r>
    </w:p>
    <w:p>
      <w:pPr>
        <w:spacing w:after="0" w:line="167" w:lineRule="exact"/>
        <w:rPr>
          <w:sz w:val="20"/>
          <w:szCs w:val="20"/>
          <w:color w:val="auto"/>
        </w:rPr>
      </w:pPr>
    </w:p>
    <w:p>
      <w:pPr>
        <w:ind w:right="320"/>
        <w:spacing w:after="0" w:line="238" w:lineRule="auto"/>
        <w:rPr>
          <w:sz w:val="20"/>
          <w:szCs w:val="20"/>
          <w:color w:val="auto"/>
        </w:rPr>
      </w:pPr>
      <w:r>
        <w:rPr>
          <w:rFonts w:ascii="Arial" w:cs="Arial" w:eastAsia="Arial" w:hAnsi="Arial"/>
          <w:sz w:val="22"/>
          <w:szCs w:val="22"/>
          <w:color w:val="auto"/>
        </w:rPr>
        <w:t>“We posted strong cash flow from operations this quarter, bringing our year-to-date total to more than $325 million,” said Ira M. Birns, executive vice president and chief financial officer. “Our effective balance sheet management and related solid cash flow provided us with the opportunity to both deploy capital toward our strategic initiatives and return approximately $40 million to shareholders through stock repurchases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The non-GAAP financial measures exclude costs associated with share-based compensation, amortization of acquired intangible assets, deferred revenue purchase accounting adjustments, expenses related to the acquisitions, the termination of an employment agreement and the executive non-renewal charge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the expenses related to the acquisitions, the termination of an employment agreement and the executive non-renewal charge are useful for purposes of evaluating operating performance of our core operating results and comparing them period over period. In accordance with the fair value provisions applicable to the accounting for business combinations, acquired deferred revenue is often recorded on the opening balance sheet at an amount that is lower than the historical carrying value. Although this acquisition accounting requirement has no impact on our business or cash flows, it adversely impacts our reported GAAP revenue in the reporting periods following an acquisition. We believe that the exclusion of the deferred revenue purchase accounting adjustment is useful to investors as an additional means to reflect trends of our business and provides investors with financial information that facilitates comparison of both historical and future results.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200" w:lineRule="exact"/>
        <w:rPr>
          <w:sz w:val="20"/>
          <w:szCs w:val="20"/>
          <w:color w:val="auto"/>
        </w:rPr>
      </w:pP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RSUs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our strategy on driving growth and delivering value. These forward-looking statements are qualified in their entirety by cautionary statements and risk factor disclosures contained in the company’s Securities and Exchange Commission (“SEC”) filings, including the company’s Annual Report on Form 10-K filed with the SEC on February 12, 2015.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management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residential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color w:val="auto"/>
              </w:rPr>
              <w:t>As of</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September 30,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20" w:type="dxa"/>
            <w:vAlign w:val="bottom"/>
          </w:tcPr>
          <w:p>
            <w:pPr>
              <w:spacing w:after="0"/>
              <w:rPr>
                <w:sz w:val="15"/>
                <w:szCs w:val="15"/>
                <w:color w:val="auto"/>
              </w:rPr>
            </w:pP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4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720" w:type="dxa"/>
            <w:vAlign w:val="bottom"/>
          </w:tcPr>
          <w:p>
            <w:pPr>
              <w:spacing w:after="0"/>
              <w:rPr>
                <w:sz w:val="20"/>
                <w:szCs w:val="20"/>
                <w:color w:val="auto"/>
              </w:rPr>
            </w:pPr>
            <w:r>
              <w:rPr>
                <w:rFonts w:ascii="Arial" w:cs="Arial" w:eastAsia="Arial" w:hAnsi="Arial"/>
                <w:sz w:val="14"/>
                <w:szCs w:val="14"/>
                <w:color w:val="auto"/>
              </w:rPr>
              <w:t>Assets:</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34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609.6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Accounts receivable, net</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2,039.1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2,306.4</w:t>
            </w: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Inventories</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81"/>
        </w:trPr>
        <w:tc>
          <w:tcPr>
            <w:tcW w:w="772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20" w:type="dxa"/>
            <w:vAlign w:val="bottom"/>
          </w:tcPr>
          <w:p>
            <w:pPr>
              <w:ind w:left="540"/>
              <w:spacing w:after="0"/>
              <w:rPr>
                <w:sz w:val="20"/>
                <w:szCs w:val="20"/>
                <w:color w:val="auto"/>
              </w:rPr>
            </w:pPr>
            <w:r>
              <w:rPr>
                <w:rFonts w:ascii="Arial" w:cs="Arial" w:eastAsia="Arial" w:hAnsi="Arial"/>
                <w:sz w:val="14"/>
                <w:szCs w:val="14"/>
                <w:color w:val="auto"/>
              </w:rPr>
              <w:t>Total current assets</w:t>
            </w:r>
          </w:p>
        </w:tc>
        <w:tc>
          <w:tcPr>
            <w:tcW w:w="1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3,700.7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3,673.4</w:t>
            </w:r>
          </w:p>
        </w:tc>
        <w:tc>
          <w:tcPr>
            <w:tcW w:w="0" w:type="dxa"/>
            <w:vAlign w:val="bottom"/>
          </w:tcPr>
          <w:p>
            <w:pPr>
              <w:spacing w:after="0"/>
              <w:rPr>
                <w:sz w:val="1"/>
                <w:szCs w:val="1"/>
                <w:color w:val="auto"/>
              </w:rPr>
            </w:pPr>
          </w:p>
        </w:tc>
      </w:tr>
      <w:tr>
        <w:trPr>
          <w:trHeight w:val="351"/>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224.7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350"/>
        </w:trPr>
        <w:tc>
          <w:tcPr>
            <w:tcW w:w="7720" w:type="dxa"/>
            <w:vAlign w:val="bottom"/>
          </w:tcPr>
          <w:p>
            <w:pPr>
              <w:spacing w:after="0"/>
              <w:rPr>
                <w:sz w:val="20"/>
                <w:szCs w:val="20"/>
                <w:color w:val="auto"/>
              </w:rPr>
            </w:pPr>
            <w:r>
              <w:rPr>
                <w:rFonts w:ascii="Arial" w:cs="Arial" w:eastAsia="Arial" w:hAnsi="Arial"/>
                <w:sz w:val="14"/>
                <w:szCs w:val="14"/>
                <w:color w:val="auto"/>
              </w:rPr>
              <w:t>Goodwill, identifiable intangible and other non-current assets</w:t>
            </w: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1,047.5</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20" w:type="dxa"/>
            <w:vAlign w:val="bottom"/>
          </w:tcPr>
          <w:p>
            <w:pPr>
              <w:ind w:left="760"/>
              <w:spacing w:after="0"/>
              <w:rPr>
                <w:sz w:val="20"/>
                <w:szCs w:val="20"/>
                <w:color w:val="auto"/>
              </w:rPr>
            </w:pPr>
            <w:r>
              <w:rPr>
                <w:rFonts w:ascii="Arial" w:cs="Arial" w:eastAsia="Arial" w:hAnsi="Arial"/>
                <w:sz w:val="14"/>
                <w:szCs w:val="14"/>
                <w:color w:val="auto"/>
              </w:rPr>
              <w:t>Total assets</w:t>
            </w:r>
          </w:p>
        </w:tc>
        <w:tc>
          <w:tcPr>
            <w:tcW w:w="134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4,972.9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4,880.5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Liabilities:</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liabilities:</w:t>
            </w: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Short-term debt</w:t>
            </w:r>
          </w:p>
        </w:tc>
        <w:tc>
          <w:tcPr>
            <w:tcW w:w="134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1,629.2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181"/>
        </w:trPr>
        <w:tc>
          <w:tcPr>
            <w:tcW w:w="772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2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1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2,106.0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2,239.3</w:t>
            </w:r>
          </w:p>
        </w:tc>
        <w:tc>
          <w:tcPr>
            <w:tcW w:w="0" w:type="dxa"/>
            <w:vAlign w:val="bottom"/>
          </w:tcPr>
          <w:p>
            <w:pPr>
              <w:spacing w:after="0"/>
              <w:rPr>
                <w:sz w:val="1"/>
                <w:szCs w:val="1"/>
                <w:color w:val="auto"/>
              </w:rPr>
            </w:pPr>
          </w:p>
        </w:tc>
      </w:tr>
      <w:tr>
        <w:trPr>
          <w:trHeight w:val="344"/>
        </w:trPr>
        <w:tc>
          <w:tcPr>
            <w:tcW w:w="7720" w:type="dxa"/>
            <w:vAlign w:val="bottom"/>
          </w:tcPr>
          <w:p>
            <w:pPr>
              <w:spacing w:after="0"/>
              <w:rPr>
                <w:sz w:val="20"/>
                <w:szCs w:val="20"/>
                <w:color w:val="auto"/>
              </w:rPr>
            </w:pPr>
            <w:r>
              <w:rPr>
                <w:rFonts w:ascii="Arial" w:cs="Arial" w:eastAsia="Arial" w:hAnsi="Arial"/>
                <w:sz w:val="14"/>
                <w:szCs w:val="14"/>
                <w:color w:val="auto"/>
              </w:rPr>
              <w:t>Long-term debt</w:t>
            </w:r>
          </w:p>
        </w:tc>
        <w:tc>
          <w:tcPr>
            <w:tcW w:w="1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861.2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672.0</w:t>
            </w:r>
          </w:p>
        </w:tc>
        <w:tc>
          <w:tcPr>
            <w:tcW w:w="0" w:type="dxa"/>
            <w:vAlign w:val="bottom"/>
          </w:tcPr>
          <w:p>
            <w:pPr>
              <w:spacing w:after="0"/>
              <w:rPr>
                <w:sz w:val="1"/>
                <w:szCs w:val="1"/>
                <w:color w:val="auto"/>
              </w:rPr>
            </w:pPr>
          </w:p>
        </w:tc>
      </w:tr>
      <w:tr>
        <w:trPr>
          <w:trHeight w:val="181"/>
        </w:trPr>
        <w:tc>
          <w:tcPr>
            <w:tcW w:w="77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129.9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169"/>
        </w:trPr>
        <w:tc>
          <w:tcPr>
            <w:tcW w:w="7720" w:type="dxa"/>
            <w:vAlign w:val="bottom"/>
          </w:tcPr>
          <w:p>
            <w:pPr>
              <w:ind w:left="760"/>
              <w:spacing w:after="0"/>
              <w:rPr>
                <w:sz w:val="20"/>
                <w:szCs w:val="20"/>
                <w:color w:val="auto"/>
              </w:rPr>
            </w:pPr>
            <w:r>
              <w:rPr>
                <w:rFonts w:ascii="Arial" w:cs="Arial" w:eastAsia="Arial" w:hAnsi="Arial"/>
                <w:sz w:val="14"/>
                <w:szCs w:val="14"/>
                <w:color w:val="auto"/>
              </w:rPr>
              <w:t>Total liabilities</w:t>
            </w:r>
          </w:p>
        </w:tc>
        <w:tc>
          <w:tcPr>
            <w:tcW w:w="13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3,097.1</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720" w:type="dxa"/>
            <w:vAlign w:val="bottom"/>
          </w:tcPr>
          <w:p>
            <w:pPr>
              <w:spacing w:after="0"/>
              <w:rPr>
                <w:sz w:val="20"/>
                <w:szCs w:val="20"/>
                <w:color w:val="auto"/>
              </w:rPr>
            </w:pPr>
            <w:r>
              <w:rPr>
                <w:rFonts w:ascii="Arial" w:cs="Arial" w:eastAsia="Arial" w:hAnsi="Arial"/>
                <w:sz w:val="14"/>
                <w:szCs w:val="14"/>
                <w:color w:val="auto"/>
              </w:rPr>
              <w:t>Equity:</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80"/>
              <w:spacing w:after="0"/>
              <w:rPr>
                <w:sz w:val="20"/>
                <w:szCs w:val="20"/>
                <w:color w:val="auto"/>
              </w:rPr>
            </w:pPr>
            <w:r>
              <w:rPr>
                <w:rFonts w:ascii="Arial" w:cs="Arial" w:eastAsia="Arial" w:hAnsi="Arial"/>
                <w:sz w:val="14"/>
                <w:szCs w:val="14"/>
                <w:color w:val="auto"/>
              </w:rPr>
              <w:t>World Fuel shareholders' equity</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1,864.9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1,855.4</w:t>
            </w:r>
          </w:p>
        </w:tc>
        <w:tc>
          <w:tcPr>
            <w:tcW w:w="0" w:type="dxa"/>
            <w:vAlign w:val="bottom"/>
          </w:tcPr>
          <w:p>
            <w:pPr>
              <w:spacing w:after="0"/>
              <w:rPr>
                <w:sz w:val="1"/>
                <w:szCs w:val="1"/>
                <w:color w:val="auto"/>
              </w:rPr>
            </w:pPr>
          </w:p>
        </w:tc>
      </w:tr>
      <w:tr>
        <w:trPr>
          <w:trHeight w:val="181"/>
        </w:trPr>
        <w:tc>
          <w:tcPr>
            <w:tcW w:w="7720" w:type="dxa"/>
            <w:vAlign w:val="bottom"/>
          </w:tcPr>
          <w:p>
            <w:pPr>
              <w:ind w:left="280"/>
              <w:spacing w:after="0"/>
              <w:rPr>
                <w:sz w:val="20"/>
                <w:szCs w:val="20"/>
                <w:color w:val="auto"/>
              </w:rPr>
            </w:pPr>
            <w:r>
              <w:rPr>
                <w:rFonts w:ascii="Arial" w:cs="Arial" w:eastAsia="Arial" w:hAnsi="Arial"/>
                <w:sz w:val="14"/>
                <w:szCs w:val="14"/>
                <w:color w:val="auto"/>
              </w:rPr>
              <w:t>Noncontrolling interest equity</w:t>
            </w:r>
          </w:p>
        </w:tc>
        <w:tc>
          <w:tcPr>
            <w:tcW w:w="13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9"/>
        </w:trPr>
        <w:tc>
          <w:tcPr>
            <w:tcW w:w="7720" w:type="dxa"/>
            <w:vAlign w:val="bottom"/>
          </w:tcPr>
          <w:p>
            <w:pPr>
              <w:ind w:left="760"/>
              <w:spacing w:after="0"/>
              <w:rPr>
                <w:sz w:val="20"/>
                <w:szCs w:val="20"/>
                <w:color w:val="auto"/>
              </w:rPr>
            </w:pPr>
            <w:r>
              <w:rPr>
                <w:rFonts w:ascii="Arial" w:cs="Arial" w:eastAsia="Arial" w:hAnsi="Arial"/>
                <w:sz w:val="14"/>
                <w:szCs w:val="14"/>
                <w:color w:val="auto"/>
              </w:rPr>
              <w:t>Total equity</w:t>
            </w:r>
          </w:p>
        </w:tc>
        <w:tc>
          <w:tcPr>
            <w:tcW w:w="13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1,875.8</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720" w:type="dxa"/>
            <w:vAlign w:val="bottom"/>
          </w:tcPr>
          <w:p>
            <w:pPr>
              <w:ind w:left="760"/>
              <w:spacing w:after="0"/>
              <w:rPr>
                <w:sz w:val="20"/>
                <w:szCs w:val="20"/>
                <w:color w:val="auto"/>
              </w:rPr>
            </w:pPr>
            <w:r>
              <w:rPr>
                <w:rFonts w:ascii="Arial" w:cs="Arial" w:eastAsia="Arial" w:hAnsi="Arial"/>
                <w:sz w:val="14"/>
                <w:szCs w:val="14"/>
                <w:color w:val="auto"/>
              </w:rPr>
              <w:t>Total liabilities and equity</w:t>
            </w:r>
          </w:p>
        </w:tc>
        <w:tc>
          <w:tcPr>
            <w:tcW w:w="134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4"/>
              </w:rPr>
              <w:t>4,972.9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4,880.5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7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48"/>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00" w:type="dxa"/>
            <w:vAlign w:val="bottom"/>
            <w:gridSpan w:val="4"/>
          </w:tcPr>
          <w:p>
            <w:pPr>
              <w:jc w:val="right"/>
              <w:ind w:right="648"/>
              <w:spacing w:after="0"/>
              <w:rPr>
                <w:sz w:val="20"/>
                <w:szCs w:val="20"/>
                <w:color w:val="auto"/>
              </w:rPr>
            </w:pPr>
            <w:r>
              <w:rPr>
                <w:rFonts w:ascii="Arial" w:cs="Arial" w:eastAsia="Arial" w:hAnsi="Arial"/>
                <w:sz w:val="14"/>
                <w:szCs w:val="14"/>
                <w:color w:val="auto"/>
              </w:rPr>
              <w:t>For the Nine Months ended</w:t>
            </w:r>
          </w:p>
        </w:tc>
      </w:tr>
      <w:tr>
        <w:trPr>
          <w:trHeight w:val="181"/>
        </w:trPr>
        <w:tc>
          <w:tcPr>
            <w:tcW w:w="5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September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September 30,</w:t>
            </w:r>
          </w:p>
        </w:tc>
        <w:tc>
          <w:tcPr>
            <w:tcW w:w="1020" w:type="dxa"/>
            <w:vAlign w:val="bottom"/>
            <w:tcBorders>
              <w:bottom w:val="single" w:sz="8" w:color="auto"/>
            </w:tcBorders>
          </w:tcPr>
          <w:p>
            <w:pPr>
              <w:spacing w:after="0"/>
              <w:rPr>
                <w:sz w:val="15"/>
                <w:szCs w:val="15"/>
                <w:color w:val="auto"/>
              </w:rPr>
            </w:pPr>
          </w:p>
        </w:tc>
      </w:tr>
      <w:tr>
        <w:trPr>
          <w:trHeight w:val="169"/>
        </w:trPr>
        <w:tc>
          <w:tcPr>
            <w:tcW w:w="5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2014</w:t>
            </w:r>
          </w:p>
        </w:tc>
      </w:tr>
      <w:tr>
        <w:trPr>
          <w:trHeight w:val="515"/>
        </w:trPr>
        <w:tc>
          <w:tcPr>
            <w:tcW w:w="5160" w:type="dxa"/>
            <w:vAlign w:val="bottom"/>
          </w:tcPr>
          <w:p>
            <w:pPr>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7,810.7</w:t>
            </w:r>
          </w:p>
        </w:tc>
        <w:tc>
          <w:tcPr>
            <w:tcW w:w="7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11,713.5</w:t>
            </w: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23,647.8</w:t>
            </w:r>
          </w:p>
        </w:tc>
        <w:tc>
          <w:tcPr>
            <w:tcW w:w="6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33,606.8</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7,584.0</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11,498.9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23,015.2</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33,012.7</w:t>
            </w:r>
          </w:p>
        </w:tc>
      </w:tr>
      <w:tr>
        <w:trPr>
          <w:trHeight w:val="345"/>
        </w:trPr>
        <w:tc>
          <w:tcPr>
            <w:tcW w:w="5160" w:type="dxa"/>
            <w:vAlign w:val="bottom"/>
          </w:tcPr>
          <w:p>
            <w:pPr>
              <w:ind w:left="42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226.7</w:t>
            </w: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632.6</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594.1</w:t>
            </w:r>
          </w:p>
        </w:tc>
      </w:tr>
      <w:tr>
        <w:trPr>
          <w:trHeight w:val="339"/>
        </w:trPr>
        <w:tc>
          <w:tcPr>
            <w:tcW w:w="516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5160" w:type="dxa"/>
            <w:vAlign w:val="bottom"/>
          </w:tcPr>
          <w:p>
            <w:pPr>
              <w:ind w:left="280"/>
              <w:spacing w:after="0"/>
              <w:rPr>
                <w:sz w:val="20"/>
                <w:szCs w:val="20"/>
                <w:color w:val="auto"/>
              </w:rPr>
            </w:pPr>
            <w:r>
              <w:rPr>
                <w:rFonts w:ascii="Arial" w:cs="Arial" w:eastAsia="Arial" w:hAnsi="Arial"/>
                <w:sz w:val="14"/>
                <w:szCs w:val="14"/>
                <w:color w:val="auto"/>
              </w:rPr>
              <w:t>Compensation and employee benefits</w:t>
            </w:r>
          </w:p>
        </w:tc>
        <w:tc>
          <w:tcPr>
            <w:tcW w:w="3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94.2</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270.5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233.6</w:t>
            </w:r>
          </w:p>
        </w:tc>
      </w:tr>
      <w:tr>
        <w:trPr>
          <w:trHeight w:val="176"/>
        </w:trPr>
        <w:tc>
          <w:tcPr>
            <w:tcW w:w="5160" w:type="dxa"/>
            <w:vAlign w:val="bottom"/>
          </w:tcPr>
          <w:p>
            <w:pPr>
              <w:ind w:left="280"/>
              <w:spacing w:after="0"/>
              <w:rPr>
                <w:sz w:val="20"/>
                <w:szCs w:val="20"/>
                <w:color w:val="auto"/>
              </w:rPr>
            </w:pPr>
            <w:r>
              <w:rPr>
                <w:rFonts w:ascii="Arial" w:cs="Arial" w:eastAsia="Arial" w:hAnsi="Arial"/>
                <w:sz w:val="14"/>
                <w:szCs w:val="14"/>
                <w:color w:val="auto"/>
              </w:rPr>
              <w:t>Provision for bad debt</w:t>
            </w:r>
          </w:p>
        </w:tc>
        <w:tc>
          <w:tcPr>
            <w:tcW w:w="3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3.5</w:t>
            </w:r>
          </w:p>
        </w:tc>
      </w:tr>
      <w:tr>
        <w:trPr>
          <w:trHeight w:val="181"/>
        </w:trPr>
        <w:tc>
          <w:tcPr>
            <w:tcW w:w="51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64.5</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177.6</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158.8</w:t>
            </w:r>
          </w:p>
        </w:tc>
      </w:tr>
      <w:tr>
        <w:trPr>
          <w:trHeight w:val="345"/>
        </w:trPr>
        <w:tc>
          <w:tcPr>
            <w:tcW w:w="516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160.3</w:t>
            </w: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453.3</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395.9</w:t>
            </w:r>
          </w:p>
        </w:tc>
      </w:tr>
      <w:tr>
        <w:trPr>
          <w:trHeight w:val="339"/>
        </w:trPr>
        <w:tc>
          <w:tcPr>
            <w:tcW w:w="5160" w:type="dxa"/>
            <w:vAlign w:val="bottom"/>
          </w:tcPr>
          <w:p>
            <w:pPr>
              <w:ind w:left="420"/>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179.3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198.2</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w:t>
            </w:r>
          </w:p>
        </w:tc>
      </w:tr>
      <w:tr>
        <w:trPr>
          <w:trHeight w:val="339"/>
        </w:trPr>
        <w:tc>
          <w:tcPr>
            <w:tcW w:w="51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60.4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186.3</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35.0</w:t>
            </w:r>
          </w:p>
        </w:tc>
      </w:tr>
      <w:tr>
        <w:trPr>
          <w:trHeight w:val="339"/>
        </w:trPr>
        <w:tc>
          <w:tcPr>
            <w:tcW w:w="516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48.6</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151.3</w:t>
            </w:r>
          </w:p>
        </w:tc>
      </w:tr>
      <w:tr>
        <w:trPr>
          <w:trHeight w:val="181"/>
        </w:trPr>
        <w:tc>
          <w:tcPr>
            <w:tcW w:w="5160" w:type="dxa"/>
            <w:vAlign w:val="bottom"/>
          </w:tcPr>
          <w:p>
            <w:pPr>
              <w:spacing w:after="0"/>
              <w:rPr>
                <w:sz w:val="20"/>
                <w:szCs w:val="20"/>
                <w:color w:val="auto"/>
              </w:rPr>
            </w:pPr>
            <w:r>
              <w:rPr>
                <w:rFonts w:ascii="Arial" w:cs="Arial" w:eastAsia="Arial" w:hAnsi="Arial"/>
                <w:sz w:val="14"/>
                <w:szCs w:val="14"/>
                <w:color w:val="auto"/>
              </w:rPr>
              <w:t>Net loss attributable to noncontrolling interest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r>
      <w:tr>
        <w:trPr>
          <w:trHeight w:val="345"/>
        </w:trPr>
        <w:tc>
          <w:tcPr>
            <w:tcW w:w="516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49.6</w:t>
            </w:r>
          </w:p>
        </w:tc>
        <w:tc>
          <w:tcPr>
            <w:tcW w:w="160" w:type="dxa"/>
            <w:vAlign w:val="bottom"/>
          </w:tcPr>
          <w:p>
            <w:pPr>
              <w:spacing w:after="0"/>
              <w:rPr>
                <w:sz w:val="24"/>
                <w:szCs w:val="24"/>
                <w:color w:val="auto"/>
              </w:rPr>
            </w:pP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135.1</w:t>
            </w:r>
          </w:p>
        </w:tc>
        <w:tc>
          <w:tcPr>
            <w:tcW w:w="120" w:type="dxa"/>
            <w:vAlign w:val="bottom"/>
          </w:tcPr>
          <w:p>
            <w:pPr>
              <w:spacing w:after="0"/>
              <w:rPr>
                <w:sz w:val="24"/>
                <w:szCs w:val="24"/>
                <w:color w:val="auto"/>
              </w:rPr>
            </w:pP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154.6</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32"/>
        </w:trPr>
        <w:tc>
          <w:tcPr>
            <w:tcW w:w="516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0.71</w:t>
            </w:r>
          </w:p>
        </w:tc>
        <w:tc>
          <w:tcPr>
            <w:tcW w:w="7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0.79</w:t>
            </w: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6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2.18</w:t>
            </w:r>
          </w:p>
        </w:tc>
      </w:tr>
      <w:tr>
        <w:trPr>
          <w:trHeight w:val="20"/>
        </w:trPr>
        <w:tc>
          <w:tcPr>
            <w:tcW w:w="5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16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70.0</w:t>
            </w: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32"/>
        </w:trPr>
        <w:tc>
          <w:tcPr>
            <w:tcW w:w="516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0.71</w:t>
            </w:r>
          </w:p>
        </w:tc>
        <w:tc>
          <w:tcPr>
            <w:tcW w:w="7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0.78</w:t>
            </w: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64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2.17</w:t>
            </w:r>
          </w:p>
        </w:tc>
      </w:tr>
      <w:tr>
        <w:trPr>
          <w:trHeight w:val="20"/>
        </w:trPr>
        <w:tc>
          <w:tcPr>
            <w:tcW w:w="5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16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70.3</w:t>
            </w: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71.3</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r>
        <w:trPr>
          <w:trHeight w:val="21"/>
        </w:trPr>
        <w:tc>
          <w:tcPr>
            <w:tcW w:w="51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288"/>
              <w:spacing w:after="0"/>
              <w:rPr>
                <w:sz w:val="20"/>
                <w:szCs w:val="20"/>
                <w:color w:val="auto"/>
              </w:rPr>
            </w:pPr>
            <w:r>
              <w:rPr>
                <w:rFonts w:ascii="Arial" w:cs="Arial" w:eastAsia="Arial" w:hAnsi="Arial"/>
                <w:sz w:val="14"/>
                <w:szCs w:val="14"/>
                <w:color w:val="auto"/>
                <w:w w:val="96"/>
              </w:rPr>
              <w:t>For the 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ind w:left="120"/>
              <w:spacing w:after="0"/>
              <w:rPr>
                <w:sz w:val="20"/>
                <w:szCs w:val="20"/>
                <w:color w:val="auto"/>
              </w:rPr>
            </w:pPr>
            <w:r>
              <w:rPr>
                <w:rFonts w:ascii="Arial" w:cs="Arial" w:eastAsia="Arial" w:hAnsi="Arial"/>
                <w:sz w:val="14"/>
                <w:szCs w:val="14"/>
                <w:color w:val="auto"/>
              </w:rPr>
              <w:t>For the Nine Months ended</w:t>
            </w:r>
          </w:p>
        </w:tc>
      </w:tr>
      <w:tr>
        <w:trPr>
          <w:trHeight w:val="181"/>
        </w:trPr>
        <w:tc>
          <w:tcPr>
            <w:tcW w:w="6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color w:val="auto"/>
                <w:w w:val="91"/>
              </w:rPr>
              <w:t>September 30,</w:t>
            </w:r>
          </w:p>
        </w:tc>
        <w:tc>
          <w:tcPr>
            <w:tcW w:w="740" w:type="dxa"/>
            <w:vAlign w:val="bottom"/>
            <w:tcBorders>
              <w:bottom w:val="single" w:sz="8" w:color="auto"/>
            </w:tcBorders>
          </w:tcPr>
          <w:p>
            <w:pPr>
              <w:spacing w:after="0"/>
              <w:rPr>
                <w:sz w:val="15"/>
                <w:szCs w:val="15"/>
                <w:color w:val="auto"/>
              </w:rPr>
            </w:pPr>
          </w:p>
        </w:tc>
      </w:tr>
      <w:tr>
        <w:trPr>
          <w:trHeight w:val="169"/>
        </w:trPr>
        <w:tc>
          <w:tcPr>
            <w:tcW w:w="6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2015</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6"/>
              </w:rPr>
              <w:t>2014</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2015</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6"/>
              </w:rPr>
              <w:t>2014</w:t>
            </w:r>
          </w:p>
        </w:tc>
      </w:tr>
      <w:tr>
        <w:trPr>
          <w:trHeight w:val="339"/>
        </w:trPr>
        <w:tc>
          <w:tcPr>
            <w:tcW w:w="660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1"/>
        </w:trPr>
        <w:tc>
          <w:tcPr>
            <w:tcW w:w="6600" w:type="dxa"/>
            <w:vAlign w:val="bottom"/>
          </w:tcPr>
          <w:p>
            <w:pPr>
              <w:ind w:left="1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48.6</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54.4</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131.5</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151.3</w:t>
            </w:r>
          </w:p>
        </w:tc>
      </w:tr>
      <w:tr>
        <w:trPr>
          <w:trHeight w:val="164"/>
        </w:trPr>
        <w:tc>
          <w:tcPr>
            <w:tcW w:w="6600" w:type="dxa"/>
            <w:vAlign w:val="bottom"/>
          </w:tcPr>
          <w:p>
            <w:pPr>
              <w:ind w:left="140"/>
              <w:spacing w:after="0"/>
              <w:rPr>
                <w:sz w:val="20"/>
                <w:szCs w:val="20"/>
                <w:color w:val="auto"/>
              </w:rPr>
            </w:pPr>
            <w:r>
              <w:rPr>
                <w:rFonts w:ascii="Arial" w:cs="Arial" w:eastAsia="Arial" w:hAnsi="Arial"/>
                <w:sz w:val="14"/>
                <w:szCs w:val="14"/>
                <w:color w:val="auto"/>
              </w:rPr>
              <w:t>Adjustments to reconcile net income including</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noncontrolling interest to net cash provided by</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66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44.9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41.9</w:t>
            </w:r>
          </w:p>
        </w:tc>
      </w:tr>
      <w:tr>
        <w:trPr>
          <w:trHeight w:val="176"/>
        </w:trPr>
        <w:tc>
          <w:tcPr>
            <w:tcW w:w="6600" w:type="dxa"/>
            <w:vAlign w:val="bottom"/>
          </w:tcPr>
          <w:p>
            <w:pPr>
              <w:ind w:left="340"/>
              <w:spacing w:after="0"/>
              <w:rPr>
                <w:sz w:val="20"/>
                <w:szCs w:val="20"/>
                <w:color w:val="auto"/>
              </w:rPr>
            </w:pPr>
            <w:r>
              <w:rPr>
                <w:rFonts w:ascii="Arial" w:cs="Arial" w:eastAsia="Arial" w:hAnsi="Arial"/>
                <w:sz w:val="14"/>
                <w:szCs w:val="14"/>
                <w:color w:val="auto"/>
              </w:rPr>
              <w:t>Provision for bad debt</w:t>
            </w: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3.5</w:t>
            </w:r>
          </w:p>
        </w:tc>
      </w:tr>
      <w:tr>
        <w:trPr>
          <w:trHeight w:val="176"/>
        </w:trPr>
        <w:tc>
          <w:tcPr>
            <w:tcW w:w="6600" w:type="dxa"/>
            <w:vAlign w:val="bottom"/>
          </w:tcPr>
          <w:p>
            <w:pPr>
              <w:ind w:left="34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11.3</w:t>
            </w:r>
          </w:p>
        </w:tc>
      </w:tr>
      <w:tr>
        <w:trPr>
          <w:trHeight w:val="176"/>
        </w:trPr>
        <w:tc>
          <w:tcPr>
            <w:tcW w:w="6600" w:type="dxa"/>
            <w:vAlign w:val="bottom"/>
          </w:tcPr>
          <w:p>
            <w:pPr>
              <w:ind w:left="3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(4.4)</w:t>
            </w:r>
          </w:p>
        </w:tc>
      </w:tr>
      <w:tr>
        <w:trPr>
          <w:trHeight w:val="176"/>
        </w:trPr>
        <w:tc>
          <w:tcPr>
            <w:tcW w:w="6600" w:type="dxa"/>
            <w:vAlign w:val="bottom"/>
          </w:tcPr>
          <w:p>
            <w:pPr>
              <w:ind w:left="340"/>
              <w:spacing w:after="0"/>
              <w:rPr>
                <w:sz w:val="20"/>
                <w:szCs w:val="20"/>
                <w:color w:val="auto"/>
              </w:rPr>
            </w:pPr>
            <w:r>
              <w:rPr>
                <w:rFonts w:ascii="Arial" w:cs="Arial" w:eastAsia="Arial" w:hAnsi="Arial"/>
                <w:sz w:val="14"/>
                <w:szCs w:val="14"/>
                <w:color w:val="auto"/>
              </w:rPr>
              <w:t>Change in cash collateral with financial counterparties</w:t>
            </w: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92.9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(30.9)</w:t>
            </w:r>
          </w:p>
        </w:tc>
      </w:tr>
      <w:tr>
        <w:trPr>
          <w:trHeight w:val="181"/>
        </w:trPr>
        <w:tc>
          <w:tcPr>
            <w:tcW w:w="660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(43.6)</w:t>
            </w:r>
          </w:p>
        </w:tc>
      </w:tr>
      <w:tr>
        <w:trPr>
          <w:trHeight w:val="169"/>
        </w:trPr>
        <w:tc>
          <w:tcPr>
            <w:tcW w:w="6600" w:type="dxa"/>
            <w:vAlign w:val="bottom"/>
          </w:tcPr>
          <w:p>
            <w:pPr>
              <w:ind w:left="480"/>
              <w:spacing w:after="0"/>
              <w:rPr>
                <w:sz w:val="20"/>
                <w:szCs w:val="20"/>
                <w:color w:val="auto"/>
              </w:rPr>
            </w:pPr>
            <w:r>
              <w:rPr>
                <w:rFonts w:ascii="Arial" w:cs="Arial" w:eastAsia="Arial" w:hAnsi="Arial"/>
                <w:sz w:val="14"/>
                <w:szCs w:val="14"/>
                <w:color w:val="auto"/>
              </w:rPr>
              <w:t>Total adjustments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98.8</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193.7</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r>
      <w:tr>
        <w:trPr>
          <w:trHeight w:val="169"/>
        </w:trPr>
        <w:tc>
          <w:tcPr>
            <w:tcW w:w="660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147.4</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325.2</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129.1</w:t>
            </w:r>
          </w:p>
        </w:tc>
      </w:tr>
      <w:tr>
        <w:trPr>
          <w:trHeight w:val="339"/>
        </w:trPr>
        <w:tc>
          <w:tcPr>
            <w:tcW w:w="66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Acquisition of businesses, net of cash acquired and other investments</w:t>
            </w: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(230.7)</w:t>
            </w: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(37.1)</w:t>
            </w: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Escrow payment related to an assumed obligation of an acquired business</w:t>
            </w: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(21.7)</w:t>
            </w:r>
          </w:p>
        </w:tc>
      </w:tr>
      <w:tr>
        <w:trPr>
          <w:trHeight w:val="181"/>
        </w:trPr>
        <w:tc>
          <w:tcPr>
            <w:tcW w:w="6600" w:type="dxa"/>
            <w:vAlign w:val="bottom"/>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r>
      <w:tr>
        <w:trPr>
          <w:trHeight w:val="169"/>
        </w:trPr>
        <w:tc>
          <w:tcPr>
            <w:tcW w:w="6600" w:type="dxa"/>
            <w:vAlign w:val="bottom"/>
          </w:tcPr>
          <w:p>
            <w:pPr>
              <w:ind w:left="3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(290.2)</w:t>
            </w:r>
          </w:p>
        </w:tc>
      </w:tr>
      <w:tr>
        <w:trPr>
          <w:trHeight w:val="339"/>
        </w:trPr>
        <w:tc>
          <w:tcPr>
            <w:tcW w:w="66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Borrowings of debt, net</w:t>
            </w: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110.9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191.4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282.5</w:t>
            </w:r>
          </w:p>
        </w:tc>
      </w:tr>
      <w:tr>
        <w:trPr>
          <w:trHeight w:val="176"/>
        </w:trPr>
        <w:tc>
          <w:tcPr>
            <w:tcW w:w="660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(7.9)</w:t>
            </w:r>
          </w:p>
        </w:tc>
      </w:tr>
      <w:tr>
        <w:trPr>
          <w:trHeight w:val="181"/>
        </w:trPr>
        <w:tc>
          <w:tcPr>
            <w:tcW w:w="6600" w:type="dxa"/>
            <w:vAlign w:val="bottom"/>
          </w:tcPr>
          <w:p>
            <w:pPr>
              <w:ind w:left="2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(80.4)</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(14.7)</w:t>
            </w:r>
          </w:p>
        </w:tc>
      </w:tr>
      <w:tr>
        <w:trPr>
          <w:trHeight w:val="169"/>
        </w:trPr>
        <w:tc>
          <w:tcPr>
            <w:tcW w:w="6600" w:type="dxa"/>
            <w:vAlign w:val="bottom"/>
          </w:tcPr>
          <w:p>
            <w:pPr>
              <w:ind w:left="34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65.2</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99.9</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259.9</w:t>
            </w:r>
          </w:p>
        </w:tc>
      </w:tr>
      <w:tr>
        <w:trPr>
          <w:trHeight w:val="345"/>
        </w:trPr>
        <w:tc>
          <w:tcPr>
            <w:tcW w:w="66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r>
      <w:tr>
        <w:trPr>
          <w:trHeight w:val="346"/>
        </w:trPr>
        <w:tc>
          <w:tcPr>
            <w:tcW w:w="660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119.9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307.3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96.5</w:t>
            </w:r>
          </w:p>
        </w:tc>
      </w:tr>
      <w:tr>
        <w:trPr>
          <w:trHeight w:val="350"/>
        </w:trPr>
        <w:tc>
          <w:tcPr>
            <w:tcW w:w="660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489.7</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396.6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302.3</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292.1</w:t>
            </w:r>
          </w:p>
        </w:tc>
      </w:tr>
      <w:tr>
        <w:trPr>
          <w:trHeight w:val="345"/>
        </w:trPr>
        <w:tc>
          <w:tcPr>
            <w:tcW w:w="660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609.6</w:t>
            </w: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388.6</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609.6</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388.6</w:t>
            </w: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r>
        <w:trPr>
          <w:trHeight w:val="21"/>
        </w:trPr>
        <w:tc>
          <w:tcPr>
            <w:tcW w:w="66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 EXCEPT EARNINGS PER SHARE DATA)</w:t>
      </w:r>
    </w:p>
    <w:p>
      <w:pPr>
        <w:spacing w:after="0" w:line="183" w:lineRule="exact"/>
        <w:rPr>
          <w:sz w:val="20"/>
          <w:szCs w:val="20"/>
          <w:color w:val="auto"/>
        </w:rPr>
      </w:pPr>
    </w:p>
    <w:tbl>
      <w:tblPr>
        <w:tblLayout w:type="fixed"/>
        <w:tblInd w:w="6580" w:type="dxa"/>
        <w:tblCellMar>
          <w:top w:w="0" w:type="dxa"/>
          <w:left w:w="0" w:type="dxa"/>
          <w:bottom w:w="0" w:type="dxa"/>
          <w:right w:w="0" w:type="dxa"/>
        </w:tblCellMar>
      </w:tblPr>
      <w:tr>
        <w:trPr>
          <w:trHeight w:val="176"/>
        </w:trPr>
        <w:tc>
          <w:tcPr>
            <w:tcW w:w="2380" w:type="dxa"/>
            <w:vAlign w:val="bottom"/>
            <w:gridSpan w:val="4"/>
          </w:tcPr>
          <w:p>
            <w:pPr>
              <w:ind w:left="380"/>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360" w:type="dxa"/>
            <w:vAlign w:val="bottom"/>
            <w:gridSpan w:val="4"/>
          </w:tcPr>
          <w:p>
            <w:pPr>
              <w:ind w:left="400"/>
              <w:spacing w:after="0"/>
              <w:rPr>
                <w:sz w:val="20"/>
                <w:szCs w:val="20"/>
                <w:color w:val="auto"/>
              </w:rPr>
            </w:pPr>
            <w:r>
              <w:rPr>
                <w:rFonts w:ascii="Arial" w:cs="Arial" w:eastAsia="Arial" w:hAnsi="Arial"/>
                <w:sz w:val="14"/>
                <w:szCs w:val="14"/>
                <w:color w:val="auto"/>
              </w:rPr>
              <w:t>For the Nine Months ended</w:t>
            </w:r>
          </w:p>
        </w:tc>
      </w:tr>
      <w:tr>
        <w:trPr>
          <w:trHeight w:val="181"/>
        </w:trPr>
        <w:tc>
          <w:tcPr>
            <w:tcW w:w="7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color w:val="auto"/>
                <w:w w:val="93"/>
              </w:rPr>
              <w:t>September 30,</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w w:val="93"/>
              </w:rPr>
              <w:t>September 30,</w:t>
            </w:r>
          </w:p>
        </w:tc>
      </w:tr>
      <w:tr>
        <w:trPr>
          <w:trHeight w:val="169"/>
        </w:trPr>
        <w:tc>
          <w:tcPr>
            <w:tcW w:w="7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7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2015</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2014</w:t>
            </w:r>
          </w:p>
        </w:tc>
      </w:tr>
    </w:tbl>
    <w:p>
      <w:pPr>
        <w:spacing w:after="0" w:line="170" w:lineRule="exact"/>
        <w:rPr>
          <w:sz w:val="20"/>
          <w:szCs w:val="20"/>
          <w:color w:val="auto"/>
        </w:rPr>
      </w:pPr>
    </w:p>
    <w:p>
      <w:pPr>
        <w:sectPr>
          <w:pgSz w:w="11900" w:h="16838" w:orient="portrait"/>
          <w:cols w:equalWidth="0" w:num="1">
            <w:col w:w="11420"/>
          </w:cols>
          <w:pgMar w:left="240" w:top="306" w:right="239" w:bottom="1440" w:gutter="0" w:footer="0" w:header="0"/>
        </w:sectPr>
      </w:pPr>
    </w:p>
    <w:p>
      <w:pPr>
        <w:spacing w:after="0"/>
        <w:rPr>
          <w:sz w:val="20"/>
          <w:szCs w:val="20"/>
          <w:color w:val="auto"/>
        </w:rPr>
      </w:pPr>
      <w:r>
        <w:rPr>
          <w:rFonts w:ascii="Arial" w:cs="Arial" w:eastAsia="Arial" w:hAnsi="Arial"/>
          <w:sz w:val="14"/>
          <w:szCs w:val="14"/>
          <w:color w:val="auto"/>
        </w:rPr>
        <w:t>Non-GAAP financial measures and reconciliation: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GAAP net income attributable to World Fuel</w:t>
      </w:r>
    </w:p>
    <w:p>
      <w:pPr>
        <w:ind w:left="220"/>
        <w:spacing w:after="0" w:line="227" w:lineRule="auto"/>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p>
      <w:pPr>
        <w:ind w:left="220"/>
        <w:spacing w:after="0" w:line="189" w:lineRule="auto"/>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p>
      <w:pPr>
        <w:ind w:left="220"/>
        <w:spacing w:after="0"/>
        <w:rPr>
          <w:sz w:val="20"/>
          <w:szCs w:val="20"/>
          <w:color w:val="auto"/>
        </w:rPr>
      </w:pPr>
      <w:r>
        <w:rPr>
          <w:rFonts w:ascii="Arial" w:cs="Arial" w:eastAsia="Arial" w:hAnsi="Arial"/>
          <w:sz w:val="14"/>
          <w:szCs w:val="14"/>
          <w:color w:val="auto"/>
        </w:rPr>
        <w:t>Expenses related to acquisitions, net of taxes (3)</w:t>
      </w:r>
    </w:p>
    <w:p>
      <w:pPr>
        <w:ind w:left="220"/>
        <w:spacing w:after="0" w:line="216" w:lineRule="auto"/>
        <w:rPr>
          <w:sz w:val="20"/>
          <w:szCs w:val="20"/>
          <w:color w:val="auto"/>
        </w:rPr>
      </w:pPr>
      <w:r>
        <w:rPr>
          <w:rFonts w:ascii="Arial" w:cs="Arial" w:eastAsia="Arial" w:hAnsi="Arial"/>
          <w:sz w:val="14"/>
          <w:szCs w:val="14"/>
          <w:color w:val="auto"/>
        </w:rPr>
        <w:t xml:space="preserve">Deferred revenue purchase accounting adjustment, net of income taxes </w:t>
      </w:r>
      <w:r>
        <w:rPr>
          <w:rFonts w:ascii="Arial" w:cs="Arial" w:eastAsia="Arial" w:hAnsi="Arial"/>
          <w:sz w:val="23"/>
          <w:szCs w:val="23"/>
          <w:color w:val="auto"/>
          <w:vertAlign w:val="superscript"/>
        </w:rPr>
        <w:t>(4)</w:t>
      </w:r>
    </w:p>
    <w:p>
      <w:pPr>
        <w:ind w:left="220"/>
        <w:spacing w:after="0" w:line="196" w:lineRule="auto"/>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23"/>
          <w:szCs w:val="23"/>
          <w:color w:val="auto"/>
          <w:vertAlign w:val="superscript"/>
        </w:rPr>
        <w:t>(5)</w:t>
      </w:r>
    </w:p>
    <w:p>
      <w:pPr>
        <w:ind w:left="220"/>
        <w:spacing w:after="0" w:line="201" w:lineRule="auto"/>
        <w:rPr>
          <w:sz w:val="20"/>
          <w:szCs w:val="20"/>
          <w:color w:val="auto"/>
        </w:rPr>
      </w:pPr>
      <w:r>
        <w:rPr>
          <w:rFonts w:ascii="Arial" w:cs="Arial" w:eastAsia="Arial" w:hAnsi="Arial"/>
          <w:sz w:val="14"/>
          <w:szCs w:val="14"/>
          <w:color w:val="auto"/>
        </w:rPr>
        <w:t xml:space="preserve">Executive non-renewal charge, net of income taxes </w:t>
      </w:r>
      <w:r>
        <w:rPr>
          <w:rFonts w:ascii="Arial" w:cs="Arial" w:eastAsia="Arial" w:hAnsi="Arial"/>
          <w:sz w:val="23"/>
          <w:szCs w:val="23"/>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Non-GAAP net income attributable to World Fuel</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GAAP diluted earnings per common share</w:t>
      </w:r>
    </w:p>
    <w:p>
      <w:pPr>
        <w:ind w:left="220"/>
        <w:spacing w:after="0" w:line="227" w:lineRule="auto"/>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p>
      <w:pPr>
        <w:ind w:left="220"/>
        <w:spacing w:after="0" w:line="189" w:lineRule="auto"/>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p>
      <w:pPr>
        <w:ind w:left="220"/>
        <w:spacing w:after="0"/>
        <w:rPr>
          <w:sz w:val="20"/>
          <w:szCs w:val="20"/>
          <w:color w:val="auto"/>
        </w:rPr>
      </w:pPr>
      <w:r>
        <w:rPr>
          <w:rFonts w:ascii="Arial" w:cs="Arial" w:eastAsia="Arial" w:hAnsi="Arial"/>
          <w:sz w:val="14"/>
          <w:szCs w:val="14"/>
          <w:color w:val="auto"/>
        </w:rPr>
        <w:t>Expenses related to acquisitions, net of taxes (3)</w:t>
      </w:r>
    </w:p>
    <w:p>
      <w:pPr>
        <w:ind w:left="220"/>
        <w:spacing w:after="0" w:line="216" w:lineRule="auto"/>
        <w:rPr>
          <w:sz w:val="20"/>
          <w:szCs w:val="20"/>
          <w:color w:val="auto"/>
        </w:rPr>
      </w:pPr>
      <w:r>
        <w:rPr>
          <w:rFonts w:ascii="Arial" w:cs="Arial" w:eastAsia="Arial" w:hAnsi="Arial"/>
          <w:sz w:val="14"/>
          <w:szCs w:val="14"/>
          <w:color w:val="auto"/>
        </w:rPr>
        <w:t xml:space="preserve">Deferred revenue purchase accounting adjustment, net of income taxes </w:t>
      </w:r>
      <w:r>
        <w:rPr>
          <w:rFonts w:ascii="Arial" w:cs="Arial" w:eastAsia="Arial" w:hAnsi="Arial"/>
          <w:sz w:val="23"/>
          <w:szCs w:val="23"/>
          <w:color w:val="auto"/>
          <w:vertAlign w:val="superscript"/>
        </w:rPr>
        <w:t>(4)</w:t>
      </w:r>
    </w:p>
    <w:p>
      <w:pPr>
        <w:ind w:left="220"/>
        <w:spacing w:after="0" w:line="196" w:lineRule="auto"/>
        <w:rPr>
          <w:sz w:val="20"/>
          <w:szCs w:val="20"/>
          <w:color w:val="auto"/>
        </w:rPr>
      </w:pPr>
      <w:r>
        <w:rPr>
          <w:rFonts w:ascii="Arial" w:cs="Arial" w:eastAsia="Arial" w:hAnsi="Arial"/>
          <w:sz w:val="14"/>
          <w:szCs w:val="14"/>
          <w:color w:val="auto"/>
        </w:rPr>
        <w:t xml:space="preserve">Termination of employment agreement, net of income taxes </w:t>
      </w:r>
      <w:r>
        <w:rPr>
          <w:rFonts w:ascii="Arial" w:cs="Arial" w:eastAsia="Arial" w:hAnsi="Arial"/>
          <w:sz w:val="23"/>
          <w:szCs w:val="23"/>
          <w:color w:val="auto"/>
          <w:vertAlign w:val="superscript"/>
        </w:rPr>
        <w:t>(5)</w:t>
      </w:r>
    </w:p>
    <w:p>
      <w:pPr>
        <w:ind w:left="220"/>
        <w:spacing w:after="0" w:line="201" w:lineRule="auto"/>
        <w:rPr>
          <w:sz w:val="20"/>
          <w:szCs w:val="20"/>
          <w:color w:val="auto"/>
        </w:rPr>
      </w:pPr>
      <w:r>
        <w:rPr>
          <w:rFonts w:ascii="Arial" w:cs="Arial" w:eastAsia="Arial" w:hAnsi="Arial"/>
          <w:sz w:val="14"/>
          <w:szCs w:val="14"/>
          <w:color w:val="auto"/>
        </w:rPr>
        <w:t xml:space="preserve">Executive non-renewal charge, net of income taxes </w:t>
      </w:r>
      <w:r>
        <w:rPr>
          <w:rFonts w:ascii="Arial" w:cs="Arial" w:eastAsia="Arial" w:hAnsi="Arial"/>
          <w:sz w:val="23"/>
          <w:szCs w:val="23"/>
          <w:color w:val="auto"/>
          <w:vertAlign w:val="superscript"/>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Non-GAAP diluted earnings per common share</w:t>
      </w:r>
    </w:p>
    <w:p>
      <w:pPr>
        <w:spacing w:after="0" w:line="200" w:lineRule="exact"/>
        <w:rPr>
          <w:sz w:val="20"/>
          <w:szCs w:val="20"/>
          <w:color w:val="auto"/>
        </w:rPr>
      </w:pPr>
    </w:p>
    <w:p>
      <w:pPr>
        <w:spacing w:after="0" w:line="235" w:lineRule="exact"/>
        <w:rPr>
          <w:sz w:val="20"/>
          <w:szCs w:val="20"/>
          <w:color w:val="auto"/>
        </w:rPr>
      </w:pPr>
    </w:p>
    <w:p>
      <w:pPr>
        <w:ind w:left="340" w:right="180" w:hanging="332"/>
        <w:spacing w:after="0" w:line="254" w:lineRule="auto"/>
        <w:tabs>
          <w:tab w:leader="none" w:pos="178"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The pre-tax amount of share-based compensation expense was $4.8 and $3.6 million for the three months ended September 30, 2015 and 2014, respectively, and $12.4 and $10.2 for the nine months ended September 30, 2015 and 2014 respectively.</w:t>
      </w:r>
    </w:p>
    <w:p>
      <w:pPr>
        <w:ind w:left="180" w:hanging="172"/>
        <w:spacing w:after="0" w:line="214" w:lineRule="auto"/>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The pre-tax amount of intangible asset amortization expense was $6.7 million for the three</w:t>
      </w:r>
    </w:p>
    <w:p>
      <w:pPr>
        <w:spacing w:after="0" w:line="6" w:lineRule="exact"/>
        <w:rPr>
          <w:sz w:val="20"/>
          <w:szCs w:val="20"/>
          <w:color w:val="auto"/>
        </w:rPr>
      </w:pPr>
    </w:p>
    <w:p>
      <w:pPr>
        <w:ind w:left="340" w:right="180"/>
        <w:spacing w:after="0" w:line="260" w:lineRule="auto"/>
        <w:rPr>
          <w:sz w:val="20"/>
          <w:szCs w:val="20"/>
          <w:color w:val="auto"/>
        </w:rPr>
      </w:pPr>
      <w:r>
        <w:rPr>
          <w:rFonts w:ascii="Arial" w:cs="Arial" w:eastAsia="Arial" w:hAnsi="Arial"/>
          <w:sz w:val="14"/>
          <w:szCs w:val="14"/>
          <w:color w:val="auto"/>
        </w:rPr>
        <w:t>months ended September 30, 2015 and 2014, respectively, and $18.9 and $19.7 for the nine months ended September 30, 2015 and 2014, respectively.</w:t>
      </w:r>
    </w:p>
    <w:p>
      <w:pPr>
        <w:ind w:left="180" w:hanging="172"/>
        <w:spacing w:after="0" w:line="211"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The pre-tax amount of the expenses related to acquisitions was $3.0 and $0.6 million for the</w:t>
      </w:r>
    </w:p>
    <w:p>
      <w:pPr>
        <w:spacing w:after="0" w:line="6" w:lineRule="exact"/>
        <w:rPr>
          <w:sz w:val="20"/>
          <w:szCs w:val="20"/>
          <w:color w:val="auto"/>
        </w:rPr>
      </w:pPr>
    </w:p>
    <w:p>
      <w:pPr>
        <w:ind w:left="340"/>
        <w:spacing w:after="0" w:line="260" w:lineRule="auto"/>
        <w:rPr>
          <w:sz w:val="20"/>
          <w:szCs w:val="20"/>
          <w:color w:val="auto"/>
        </w:rPr>
      </w:pPr>
      <w:r>
        <w:rPr>
          <w:rFonts w:ascii="Arial" w:cs="Arial" w:eastAsia="Arial" w:hAnsi="Arial"/>
          <w:sz w:val="14"/>
          <w:szCs w:val="14"/>
          <w:color w:val="auto"/>
        </w:rPr>
        <w:t>three months ended September 30, 2015 and 2014, respectively, and $3.0 and $1.7 for the nine months ended September 30, 2015 and 2014 respectively.</w:t>
      </w:r>
    </w:p>
    <w:p>
      <w:pPr>
        <w:spacing w:after="0" w:line="31" w:lineRule="exact"/>
        <w:rPr>
          <w:sz w:val="20"/>
          <w:szCs w:val="20"/>
          <w:color w:val="auto"/>
        </w:rPr>
      </w:pPr>
    </w:p>
    <w:p>
      <w:pPr>
        <w:ind w:left="340" w:right="460" w:hanging="332"/>
        <w:spacing w:after="0" w:line="233"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The pre-tax amount of the deferred revenue purchase accounting adjustment was $1.5 million for the nine months ended September 30, 2015.</w:t>
      </w:r>
    </w:p>
    <w:p>
      <w:pPr>
        <w:spacing w:after="0" w:line="34" w:lineRule="exact"/>
        <w:rPr>
          <w:rFonts w:ascii="Arial" w:cs="Arial" w:eastAsia="Arial" w:hAnsi="Arial"/>
          <w:sz w:val="20"/>
          <w:szCs w:val="20"/>
          <w:color w:val="auto"/>
          <w:vertAlign w:val="superscript"/>
        </w:rPr>
      </w:pPr>
    </w:p>
    <w:p>
      <w:pPr>
        <w:ind w:left="340" w:right="600" w:hanging="332"/>
        <w:spacing w:after="0" w:line="233"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The pre-tax amount of the termination of employment agreement was $3.8 million for the nine months ended September 30, 2015.</w:t>
      </w:r>
    </w:p>
    <w:p>
      <w:pPr>
        <w:spacing w:after="0" w:line="34" w:lineRule="exact"/>
        <w:rPr>
          <w:rFonts w:ascii="Arial" w:cs="Arial" w:eastAsia="Arial" w:hAnsi="Arial"/>
          <w:sz w:val="20"/>
          <w:szCs w:val="20"/>
          <w:color w:val="auto"/>
          <w:vertAlign w:val="superscript"/>
        </w:rPr>
      </w:pPr>
    </w:p>
    <w:p>
      <w:pPr>
        <w:ind w:left="340" w:right="640" w:hanging="332"/>
        <w:spacing w:after="0" w:line="233"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The pre-tax amount of the executive non-renewal charge was $4.8 million for the nine months ended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15"/>
                <w:szCs w:val="15"/>
                <w:color w:val="auto"/>
              </w:rPr>
            </w:pPr>
          </w:p>
        </w:tc>
        <w:tc>
          <w:tcPr>
            <w:tcW w:w="5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55.7</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135.1</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154.6</w:t>
            </w:r>
          </w:p>
        </w:tc>
      </w:tr>
      <w:tr>
        <w:trPr>
          <w:trHeight w:val="216"/>
        </w:trPr>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8.5</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r>
      <w:tr>
        <w:trPr>
          <w:trHeight w:val="209"/>
        </w:trPr>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6.0</w:t>
            </w: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14.8</w:t>
            </w:r>
          </w:p>
        </w:tc>
      </w:tr>
      <w:tr>
        <w:trPr>
          <w:trHeight w:val="182"/>
        </w:trPr>
        <w:tc>
          <w:tcPr>
            <w:tcW w:w="4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4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52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1.5</w:t>
            </w:r>
          </w:p>
        </w:tc>
      </w:tr>
      <w:tr>
        <w:trPr>
          <w:trHeight w:val="216"/>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1.1</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6"/>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2.3</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5"/>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3.0</w:t>
            </w:r>
          </w:p>
        </w:tc>
      </w:tr>
      <w:tr>
        <w:trPr>
          <w:trHeight w:val="169"/>
        </w:trPr>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163.0</w:t>
            </w: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180.9</w:t>
            </w:r>
          </w:p>
        </w:tc>
        <w:tc>
          <w:tcPr>
            <w:tcW w:w="20" w:type="dxa"/>
            <w:vAlign w:val="bottom"/>
          </w:tcPr>
          <w:p>
            <w:pPr>
              <w:spacing w:after="0"/>
              <w:rPr>
                <w:sz w:val="14"/>
                <w:szCs w:val="14"/>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4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0.71</w:t>
            </w:r>
          </w:p>
        </w:tc>
        <w:tc>
          <w:tcPr>
            <w:tcW w:w="180" w:type="dxa"/>
            <w:vAlign w:val="bottom"/>
          </w:tcPr>
          <w:p>
            <w:pPr>
              <w:spacing w:after="0"/>
              <w:rPr>
                <w:sz w:val="24"/>
                <w:szCs w:val="24"/>
                <w:color w:val="auto"/>
              </w:rPr>
            </w:pPr>
          </w:p>
        </w:tc>
        <w:tc>
          <w:tcPr>
            <w:tcW w:w="58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0.78</w:t>
            </w:r>
          </w:p>
        </w:tc>
        <w:tc>
          <w:tcPr>
            <w:tcW w:w="46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1.90</w:t>
            </w:r>
          </w:p>
        </w:tc>
        <w:tc>
          <w:tcPr>
            <w:tcW w:w="5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2.17</w:t>
            </w:r>
          </w:p>
        </w:tc>
      </w:tr>
      <w:tr>
        <w:trPr>
          <w:trHeight w:val="216"/>
        </w:trPr>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0.05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0.04</w:t>
            </w: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0.12</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0.10</w:t>
            </w:r>
          </w:p>
        </w:tc>
      </w:tr>
      <w:tr>
        <w:trPr>
          <w:trHeight w:val="209"/>
        </w:trPr>
        <w:tc>
          <w:tcPr>
            <w:tcW w:w="4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0.07</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0.08</w:t>
            </w: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0.20</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0.21</w:t>
            </w:r>
          </w:p>
        </w:tc>
      </w:tr>
      <w:tr>
        <w:trPr>
          <w:trHeight w:val="182"/>
        </w:trPr>
        <w:tc>
          <w:tcPr>
            <w:tcW w:w="48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0.01</w:t>
            </w:r>
          </w:p>
        </w:tc>
        <w:tc>
          <w:tcPr>
            <w:tcW w:w="4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52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0.02</w:t>
            </w:r>
          </w:p>
        </w:tc>
      </w:tr>
      <w:tr>
        <w:trPr>
          <w:trHeight w:val="216"/>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0.02</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6"/>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0.03</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15"/>
        </w:trPr>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0.04</w:t>
            </w:r>
          </w:p>
        </w:tc>
      </w:tr>
      <w:tr>
        <w:trPr>
          <w:trHeight w:val="169"/>
        </w:trPr>
        <w:tc>
          <w:tcPr>
            <w:tcW w:w="4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0.86</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20" w:type="dxa"/>
            <w:vAlign w:val="bottom"/>
          </w:tcPr>
          <w:p>
            <w:pPr>
              <w:spacing w:after="0"/>
              <w:rPr>
                <w:sz w:val="14"/>
                <w:szCs w:val="14"/>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6240" w:space="340"/>
            <w:col w:w="4840"/>
          </w:cols>
          <w:pgMar w:left="240" w:top="30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6"/>
          </w:tcPr>
          <w:p>
            <w:pPr>
              <w:jc w:val="center"/>
              <w:ind w:right="500"/>
              <w:spacing w:after="0"/>
              <w:rPr>
                <w:sz w:val="20"/>
                <w:szCs w:val="20"/>
                <w:color w:val="auto"/>
              </w:rPr>
            </w:pPr>
            <w:r>
              <w:rPr>
                <w:rFonts w:ascii="Arial" w:cs="Arial" w:eastAsia="Arial" w:hAnsi="Arial"/>
                <w:sz w:val="14"/>
                <w:szCs w:val="14"/>
                <w:color w:val="auto"/>
                <w:w w:val="92"/>
              </w:rPr>
              <w:t>For the Three Months ended</w:t>
            </w:r>
          </w:p>
        </w:tc>
        <w:tc>
          <w:tcPr>
            <w:tcW w:w="420" w:type="dxa"/>
            <w:vAlign w:val="bottom"/>
          </w:tcPr>
          <w:p>
            <w:pPr>
              <w:spacing w:after="0"/>
              <w:rPr>
                <w:sz w:val="15"/>
                <w:szCs w:val="15"/>
                <w:color w:val="auto"/>
              </w:rPr>
            </w:pPr>
          </w:p>
        </w:tc>
        <w:tc>
          <w:tcPr>
            <w:tcW w:w="2980" w:type="dxa"/>
            <w:vAlign w:val="bottom"/>
            <w:gridSpan w:val="5"/>
          </w:tcPr>
          <w:p>
            <w:pPr>
              <w:jc w:val="center"/>
              <w:ind w:right="420"/>
              <w:spacing w:after="0"/>
              <w:rPr>
                <w:sz w:val="20"/>
                <w:szCs w:val="20"/>
                <w:color w:val="auto"/>
              </w:rPr>
            </w:pPr>
            <w:r>
              <w:rPr>
                <w:rFonts w:ascii="Arial" w:cs="Arial" w:eastAsia="Arial" w:hAnsi="Arial"/>
                <w:sz w:val="14"/>
                <w:szCs w:val="14"/>
                <w:color w:val="auto"/>
                <w:w w:val="94"/>
              </w:rPr>
              <w:t>For the Nine Months ended</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668"/>
              <w:spacing w:after="0"/>
              <w:rPr>
                <w:sz w:val="20"/>
                <w:szCs w:val="20"/>
                <w:color w:val="auto"/>
              </w:rPr>
            </w:pPr>
            <w:r>
              <w:rPr>
                <w:rFonts w:ascii="Arial" w:cs="Arial" w:eastAsia="Arial" w:hAnsi="Arial"/>
                <w:sz w:val="14"/>
                <w:szCs w:val="14"/>
                <w:color w:val="auto"/>
                <w:w w:val="91"/>
              </w:rPr>
              <w:t>September 30,</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color w:val="auto"/>
                <w:w w:val="89"/>
              </w:rPr>
              <w:t>September 30,</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00" w:type="dxa"/>
            <w:vAlign w:val="bottom"/>
          </w:tcPr>
          <w:p>
            <w:pPr>
              <w:spacing w:after="0"/>
              <w:rPr>
                <w:sz w:val="20"/>
                <w:szCs w:val="20"/>
                <w:color w:val="auto"/>
              </w:rPr>
            </w:pPr>
            <w:r>
              <w:rPr>
                <w:rFonts w:ascii="Arial" w:cs="Arial" w:eastAsia="Arial" w:hAnsi="Arial"/>
                <w:sz w:val="14"/>
                <w:szCs w:val="14"/>
                <w:color w:val="auto"/>
              </w:rPr>
              <w:t>Revenue:</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Aviation segment</w:t>
            </w:r>
          </w:p>
        </w:tc>
        <w:tc>
          <w:tcPr>
            <w:tcW w:w="18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2,995.3</w:t>
            </w:r>
          </w:p>
        </w:tc>
        <w:tc>
          <w:tcPr>
            <w:tcW w:w="180" w:type="dxa"/>
            <w:vAlign w:val="bottom"/>
          </w:tcPr>
          <w:p>
            <w:pPr>
              <w:spacing w:after="0"/>
              <w:rPr>
                <w:sz w:val="15"/>
                <w:szCs w:val="15"/>
                <w:color w:val="auto"/>
              </w:rPr>
            </w:pP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4,675.6</w:t>
            </w:r>
          </w:p>
        </w:tc>
        <w:tc>
          <w:tcPr>
            <w:tcW w:w="100" w:type="dxa"/>
            <w:vAlign w:val="bottom"/>
          </w:tcPr>
          <w:p>
            <w:pPr>
              <w:spacing w:after="0"/>
              <w:rPr>
                <w:sz w:val="15"/>
                <w:szCs w:val="15"/>
                <w:color w:val="auto"/>
              </w:rPr>
            </w:pP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9,077.6</w:t>
            </w:r>
          </w:p>
        </w:tc>
        <w:tc>
          <w:tcPr>
            <w:tcW w:w="160" w:type="dxa"/>
            <w:vAlign w:val="bottom"/>
          </w:tcPr>
          <w:p>
            <w:pPr>
              <w:spacing w:after="0"/>
              <w:rPr>
                <w:sz w:val="15"/>
                <w:szCs w:val="15"/>
                <w:color w:val="auto"/>
              </w:rPr>
            </w:pP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13,361.8</w:t>
            </w: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Marine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2,388.1</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3,725.6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7,514.3</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10,738.6</w:t>
            </w:r>
          </w:p>
        </w:tc>
        <w:tc>
          <w:tcPr>
            <w:tcW w:w="0" w:type="dxa"/>
            <w:vAlign w:val="bottom"/>
          </w:tcPr>
          <w:p>
            <w:pPr>
              <w:spacing w:after="0"/>
              <w:rPr>
                <w:sz w:val="1"/>
                <w:szCs w:val="1"/>
                <w:color w:val="auto"/>
              </w:rPr>
            </w:pPr>
          </w:p>
        </w:tc>
      </w:tr>
      <w:tr>
        <w:trPr>
          <w:trHeight w:val="181"/>
        </w:trPr>
        <w:tc>
          <w:tcPr>
            <w:tcW w:w="3100" w:type="dxa"/>
            <w:vAlign w:val="bottom"/>
          </w:tcPr>
          <w:p>
            <w:pPr>
              <w:ind w:left="280"/>
              <w:spacing w:after="0"/>
              <w:rPr>
                <w:sz w:val="20"/>
                <w:szCs w:val="20"/>
                <w:color w:val="auto"/>
              </w:rPr>
            </w:pPr>
            <w:r>
              <w:rPr>
                <w:rFonts w:ascii="Arial" w:cs="Arial" w:eastAsia="Arial" w:hAnsi="Arial"/>
                <w:sz w:val="14"/>
                <w:szCs w:val="14"/>
                <w:color w:val="auto"/>
              </w:rPr>
              <w:t>Land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2,427.3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3,312.3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7,055.9</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9,506.4</w:t>
            </w: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7,810.7</w:t>
            </w:r>
          </w:p>
        </w:tc>
        <w:tc>
          <w:tcPr>
            <w:tcW w:w="180" w:type="dxa"/>
            <w:vAlign w:val="bottom"/>
          </w:tcPr>
          <w:p>
            <w:pPr>
              <w:spacing w:after="0"/>
              <w:rPr>
                <w:sz w:val="14"/>
                <w:szCs w:val="14"/>
                <w:color w:val="auto"/>
              </w:rPr>
            </w:pPr>
          </w:p>
        </w:tc>
        <w:tc>
          <w:tcPr>
            <w:tcW w:w="5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11,713.5</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23,647.8</w:t>
            </w:r>
          </w:p>
        </w:tc>
        <w:tc>
          <w:tcPr>
            <w:tcW w:w="160" w:type="dxa"/>
            <w:vAlign w:val="bottom"/>
          </w:tcPr>
          <w:p>
            <w:pPr>
              <w:spacing w:after="0"/>
              <w:rPr>
                <w:sz w:val="14"/>
                <w:szCs w:val="14"/>
                <w:color w:val="auto"/>
              </w:rPr>
            </w:pPr>
          </w:p>
        </w:tc>
        <w:tc>
          <w:tcPr>
            <w:tcW w:w="5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33,606.8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1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1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Aviation segment</w:t>
            </w:r>
          </w:p>
        </w:tc>
        <w:tc>
          <w:tcPr>
            <w:tcW w:w="18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106.8</w:t>
            </w:r>
          </w:p>
        </w:tc>
        <w:tc>
          <w:tcPr>
            <w:tcW w:w="180" w:type="dxa"/>
            <w:vAlign w:val="bottom"/>
          </w:tcPr>
          <w:p>
            <w:pPr>
              <w:spacing w:after="0"/>
              <w:rPr>
                <w:sz w:val="15"/>
                <w:szCs w:val="15"/>
                <w:color w:val="auto"/>
              </w:rPr>
            </w:pP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96.2</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274.8</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Marine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48.6</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49.4</w:t>
            </w:r>
          </w:p>
        </w:tc>
        <w:tc>
          <w:tcPr>
            <w:tcW w:w="4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144.3</w:t>
            </w: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81"/>
        </w:trPr>
        <w:tc>
          <w:tcPr>
            <w:tcW w:w="3100" w:type="dxa"/>
            <w:vAlign w:val="bottom"/>
          </w:tcPr>
          <w:p>
            <w:pPr>
              <w:ind w:left="280"/>
              <w:spacing w:after="0"/>
              <w:rPr>
                <w:sz w:val="20"/>
                <w:szCs w:val="20"/>
                <w:color w:val="auto"/>
              </w:rPr>
            </w:pPr>
            <w:r>
              <w:rPr>
                <w:rFonts w:ascii="Arial" w:cs="Arial" w:eastAsia="Arial" w:hAnsi="Arial"/>
                <w:sz w:val="14"/>
                <w:szCs w:val="14"/>
                <w:color w:val="auto"/>
              </w:rPr>
              <w:t>Land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71.3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69.0</w:t>
            </w:r>
          </w:p>
        </w:tc>
        <w:tc>
          <w:tcPr>
            <w:tcW w:w="4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213.5</w:t>
            </w: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226.7</w:t>
            </w:r>
          </w:p>
        </w:tc>
        <w:tc>
          <w:tcPr>
            <w:tcW w:w="180" w:type="dxa"/>
            <w:vAlign w:val="bottom"/>
          </w:tcPr>
          <w:p>
            <w:pPr>
              <w:spacing w:after="0"/>
              <w:rPr>
                <w:sz w:val="14"/>
                <w:szCs w:val="14"/>
                <w:color w:val="auto"/>
              </w:rPr>
            </w:pPr>
          </w:p>
        </w:tc>
        <w:tc>
          <w:tcPr>
            <w:tcW w:w="5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632.6</w:t>
            </w:r>
          </w:p>
        </w:tc>
        <w:tc>
          <w:tcPr>
            <w:tcW w:w="160" w:type="dxa"/>
            <w:vAlign w:val="bottom"/>
          </w:tcPr>
          <w:p>
            <w:pPr>
              <w:spacing w:after="0"/>
              <w:rPr>
                <w:sz w:val="14"/>
                <w:szCs w:val="14"/>
                <w:color w:val="auto"/>
              </w:rPr>
            </w:pPr>
          </w:p>
        </w:tc>
        <w:tc>
          <w:tcPr>
            <w:tcW w:w="56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1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1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Aviation segment</w:t>
            </w:r>
          </w:p>
        </w:tc>
        <w:tc>
          <w:tcPr>
            <w:tcW w:w="18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47.0</w:t>
            </w:r>
          </w:p>
        </w:tc>
        <w:tc>
          <w:tcPr>
            <w:tcW w:w="180" w:type="dxa"/>
            <w:vAlign w:val="bottom"/>
          </w:tcPr>
          <w:p>
            <w:pPr>
              <w:spacing w:after="0"/>
              <w:rPr>
                <w:sz w:val="15"/>
                <w:szCs w:val="15"/>
                <w:color w:val="auto"/>
              </w:rPr>
            </w:pP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47.3</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100.8</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76"/>
        </w:trPr>
        <w:tc>
          <w:tcPr>
            <w:tcW w:w="3100" w:type="dxa"/>
            <w:vAlign w:val="bottom"/>
          </w:tcPr>
          <w:p>
            <w:pPr>
              <w:ind w:left="280"/>
              <w:spacing w:after="0"/>
              <w:rPr>
                <w:sz w:val="20"/>
                <w:szCs w:val="20"/>
                <w:color w:val="auto"/>
              </w:rPr>
            </w:pPr>
            <w:r>
              <w:rPr>
                <w:rFonts w:ascii="Arial" w:cs="Arial" w:eastAsia="Arial" w:hAnsi="Arial"/>
                <w:sz w:val="14"/>
                <w:szCs w:val="14"/>
                <w:color w:val="auto"/>
              </w:rPr>
              <w:t>Marine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c>
          <w:tcPr>
            <w:tcW w:w="4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57.3</w:t>
            </w: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81"/>
        </w:trPr>
        <w:tc>
          <w:tcPr>
            <w:tcW w:w="3100" w:type="dxa"/>
            <w:vAlign w:val="bottom"/>
          </w:tcPr>
          <w:p>
            <w:pPr>
              <w:ind w:left="280"/>
              <w:spacing w:after="0"/>
              <w:rPr>
                <w:sz w:val="20"/>
                <w:szCs w:val="20"/>
                <w:color w:val="auto"/>
              </w:rPr>
            </w:pPr>
            <w:r>
              <w:rPr>
                <w:rFonts w:ascii="Arial" w:cs="Arial" w:eastAsia="Arial" w:hAnsi="Arial"/>
                <w:sz w:val="14"/>
                <w:szCs w:val="14"/>
                <w:color w:val="auto"/>
              </w:rPr>
              <w:t>Land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19.1</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19.1</w:t>
            </w:r>
          </w:p>
        </w:tc>
        <w:tc>
          <w:tcPr>
            <w:tcW w:w="4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67.3</w:t>
            </w: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4"/>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83.6</w:t>
            </w:r>
          </w:p>
        </w:tc>
        <w:tc>
          <w:tcPr>
            <w:tcW w:w="180" w:type="dxa"/>
            <w:vAlign w:val="bottom"/>
          </w:tcPr>
          <w:p>
            <w:pPr>
              <w:spacing w:after="0"/>
              <w:rPr>
                <w:sz w:val="14"/>
                <w:szCs w:val="14"/>
                <w:color w:val="auto"/>
              </w:rPr>
            </w:pPr>
          </w:p>
        </w:tc>
        <w:tc>
          <w:tcPr>
            <w:tcW w:w="5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87.3</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225.4</w:t>
            </w:r>
          </w:p>
        </w:tc>
        <w:tc>
          <w:tcPr>
            <w:tcW w:w="1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00" w:type="dxa"/>
            <w:vAlign w:val="bottom"/>
          </w:tcPr>
          <w:p>
            <w:pPr>
              <w:ind w:left="280"/>
              <w:spacing w:after="0"/>
              <w:rPr>
                <w:sz w:val="20"/>
                <w:szCs w:val="20"/>
                <w:color w:val="auto"/>
              </w:rPr>
            </w:pPr>
            <w:r>
              <w:rPr>
                <w:rFonts w:ascii="Arial" w:cs="Arial" w:eastAsia="Arial" w:hAnsi="Arial"/>
                <w:sz w:val="14"/>
                <w:szCs w:val="14"/>
                <w:color w:val="auto"/>
              </w:rPr>
              <w:t>Corporate overhead - unallocated</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17.2</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13.2</w:t>
            </w:r>
          </w:p>
        </w:tc>
        <w:tc>
          <w:tcPr>
            <w:tcW w:w="42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46.1</w:t>
            </w: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66.4</w:t>
            </w:r>
          </w:p>
        </w:tc>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179.3</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3100" w:type="dxa"/>
            <w:vAlign w:val="bottom"/>
          </w:tcPr>
          <w:p>
            <w:pPr>
              <w:spacing w:after="0"/>
              <w:rPr>
                <w:sz w:val="24"/>
                <w:szCs w:val="24"/>
                <w:color w:val="auto"/>
              </w:rPr>
            </w:pPr>
          </w:p>
        </w:tc>
        <w:tc>
          <w:tcPr>
            <w:tcW w:w="4940" w:type="dxa"/>
            <w:vAlign w:val="bottom"/>
            <w:gridSpan w:val="8"/>
          </w:tcPr>
          <w:p>
            <w:pPr>
              <w:ind w:left="880"/>
              <w:spacing w:after="0"/>
              <w:rPr>
                <w:sz w:val="20"/>
                <w:szCs w:val="20"/>
                <w:color w:val="auto"/>
              </w:rPr>
            </w:pPr>
            <w:r>
              <w:rPr>
                <w:rFonts w:ascii="Arial" w:cs="Arial" w:eastAsia="Arial" w:hAnsi="Arial"/>
                <w:sz w:val="14"/>
                <w:szCs w:val="14"/>
                <w:b w:val="1"/>
                <w:bCs w:val="1"/>
                <w:color w:val="auto"/>
              </w:rPr>
              <w:t>SALES VOLUME SUPPLEMENTAL INFORMATION</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20" w:type="dxa"/>
            <w:vAlign w:val="bottom"/>
            <w:gridSpan w:val="5"/>
          </w:tcPr>
          <w:p>
            <w:pPr>
              <w:jc w:val="right"/>
              <w:ind w:right="48"/>
              <w:spacing w:after="0"/>
              <w:rPr>
                <w:sz w:val="20"/>
                <w:szCs w:val="20"/>
                <w:color w:val="auto"/>
              </w:rPr>
            </w:pPr>
            <w:r>
              <w:rPr>
                <w:rFonts w:ascii="Arial" w:cs="Arial" w:eastAsia="Arial" w:hAnsi="Arial"/>
                <w:sz w:val="14"/>
                <w:szCs w:val="14"/>
                <w:color w:val="auto"/>
              </w:rPr>
              <w:t>(UNAUDITED - 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60" w:type="dxa"/>
            <w:vAlign w:val="bottom"/>
            <w:gridSpan w:val="6"/>
          </w:tcPr>
          <w:p>
            <w:pPr>
              <w:jc w:val="center"/>
              <w:ind w:right="500"/>
              <w:spacing w:after="0"/>
              <w:rPr>
                <w:sz w:val="20"/>
                <w:szCs w:val="20"/>
                <w:color w:val="auto"/>
              </w:rPr>
            </w:pPr>
            <w:r>
              <w:rPr>
                <w:rFonts w:ascii="Arial" w:cs="Arial" w:eastAsia="Arial" w:hAnsi="Arial"/>
                <w:sz w:val="14"/>
                <w:szCs w:val="14"/>
                <w:color w:val="auto"/>
                <w:w w:val="92"/>
              </w:rPr>
              <w:t>For the Three Months ended</w:t>
            </w:r>
          </w:p>
        </w:tc>
        <w:tc>
          <w:tcPr>
            <w:tcW w:w="420" w:type="dxa"/>
            <w:vAlign w:val="bottom"/>
          </w:tcPr>
          <w:p>
            <w:pPr>
              <w:spacing w:after="0"/>
              <w:rPr>
                <w:sz w:val="24"/>
                <w:szCs w:val="24"/>
                <w:color w:val="auto"/>
              </w:rPr>
            </w:pPr>
          </w:p>
        </w:tc>
        <w:tc>
          <w:tcPr>
            <w:tcW w:w="2980" w:type="dxa"/>
            <w:vAlign w:val="bottom"/>
            <w:gridSpan w:val="5"/>
          </w:tcPr>
          <w:p>
            <w:pPr>
              <w:jc w:val="center"/>
              <w:ind w:right="420"/>
              <w:spacing w:after="0"/>
              <w:rPr>
                <w:sz w:val="20"/>
                <w:szCs w:val="20"/>
                <w:color w:val="auto"/>
              </w:rPr>
            </w:pPr>
            <w:r>
              <w:rPr>
                <w:rFonts w:ascii="Arial" w:cs="Arial" w:eastAsia="Arial" w:hAnsi="Arial"/>
                <w:sz w:val="14"/>
                <w:szCs w:val="14"/>
                <w:color w:val="auto"/>
                <w:w w:val="94"/>
              </w:rPr>
              <w:t>For the Nine Months ended</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left="668"/>
              <w:spacing w:after="0"/>
              <w:rPr>
                <w:sz w:val="20"/>
                <w:szCs w:val="20"/>
                <w:color w:val="auto"/>
              </w:rPr>
            </w:pPr>
            <w:r>
              <w:rPr>
                <w:rFonts w:ascii="Arial" w:cs="Arial" w:eastAsia="Arial" w:hAnsi="Arial"/>
                <w:sz w:val="14"/>
                <w:szCs w:val="14"/>
                <w:color w:val="auto"/>
                <w:w w:val="91"/>
              </w:rPr>
              <w:t>September 30,</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color w:val="auto"/>
                <w:w w:val="89"/>
              </w:rPr>
              <w:t>September 30,</w:t>
            </w: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2015</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100" w:type="dxa"/>
            <w:vAlign w:val="bottom"/>
          </w:tcPr>
          <w:p>
            <w:pPr>
              <w:spacing w:after="0"/>
              <w:rPr>
                <w:sz w:val="20"/>
                <w:szCs w:val="20"/>
                <w:color w:val="auto"/>
              </w:rPr>
            </w:pPr>
            <w:r>
              <w:rPr>
                <w:rFonts w:ascii="Arial" w:cs="Arial" w:eastAsia="Arial" w:hAnsi="Arial"/>
                <w:sz w:val="14"/>
                <w:szCs w:val="14"/>
                <w:color w:val="auto"/>
              </w:rPr>
              <w:t>Volume (Gallons):</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Aviation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1,673.3</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4,695.4</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4,230.8</w:t>
            </w:r>
          </w:p>
        </w:tc>
        <w:tc>
          <w:tcPr>
            <w:tcW w:w="0" w:type="dxa"/>
            <w:vAlign w:val="bottom"/>
          </w:tcPr>
          <w:p>
            <w:pPr>
              <w:spacing w:after="0"/>
              <w:rPr>
                <w:sz w:val="1"/>
                <w:szCs w:val="1"/>
                <w:color w:val="auto"/>
              </w:rPr>
            </w:pPr>
          </w:p>
        </w:tc>
      </w:tr>
      <w:tr>
        <w:trPr>
          <w:trHeight w:val="209"/>
        </w:trPr>
        <w:tc>
          <w:tcPr>
            <w:tcW w:w="3100" w:type="dxa"/>
            <w:vAlign w:val="bottom"/>
          </w:tcPr>
          <w:p>
            <w:pPr>
              <w:ind w:left="280"/>
              <w:spacing w:after="0" w:line="209" w:lineRule="exact"/>
              <w:rPr>
                <w:sz w:val="20"/>
                <w:szCs w:val="20"/>
                <w:color w:val="auto"/>
              </w:rPr>
            </w:pPr>
            <w:r>
              <w:rPr>
                <w:rFonts w:ascii="Arial" w:cs="Arial" w:eastAsia="Arial" w:hAnsi="Arial"/>
                <w:sz w:val="14"/>
                <w:szCs w:val="14"/>
                <w:color w:val="auto"/>
              </w:rPr>
              <w:t xml:space="preserve">Marine segment </w:t>
            </w:r>
            <w:r>
              <w:rPr>
                <w:rFonts w:ascii="Arial" w:cs="Arial" w:eastAsia="Arial" w:hAnsi="Arial"/>
                <w:sz w:val="23"/>
                <w:szCs w:val="23"/>
                <w:color w:val="auto"/>
                <w:vertAlign w:val="superscript"/>
              </w:rPr>
              <w:t>(1)</w:t>
            </w: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2,263.4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6,501.1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4,891.6</w:t>
            </w:r>
          </w:p>
        </w:tc>
        <w:tc>
          <w:tcPr>
            <w:tcW w:w="0" w:type="dxa"/>
            <w:vAlign w:val="bottom"/>
          </w:tcPr>
          <w:p>
            <w:pPr>
              <w:spacing w:after="0"/>
              <w:rPr>
                <w:sz w:val="1"/>
                <w:szCs w:val="1"/>
                <w:color w:val="auto"/>
              </w:rPr>
            </w:pPr>
          </w:p>
        </w:tc>
      </w:tr>
      <w:tr>
        <w:trPr>
          <w:trHeight w:val="181"/>
        </w:trPr>
        <w:tc>
          <w:tcPr>
            <w:tcW w:w="3100" w:type="dxa"/>
            <w:vAlign w:val="bottom"/>
          </w:tcPr>
          <w:p>
            <w:pPr>
              <w:ind w:left="280"/>
              <w:spacing w:after="0"/>
              <w:rPr>
                <w:sz w:val="20"/>
                <w:szCs w:val="20"/>
                <w:color w:val="auto"/>
              </w:rPr>
            </w:pPr>
            <w:r>
              <w:rPr>
                <w:rFonts w:ascii="Arial" w:cs="Arial" w:eastAsia="Arial" w:hAnsi="Arial"/>
                <w:sz w:val="14"/>
                <w:szCs w:val="14"/>
                <w:color w:val="auto"/>
              </w:rPr>
              <w:t>Land segment</w:t>
            </w:r>
          </w:p>
        </w:tc>
        <w:tc>
          <w:tcPr>
            <w:tcW w:w="1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1,259.1</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1,101.6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3,550.6</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3,121.4</w:t>
            </w:r>
          </w:p>
        </w:tc>
        <w:tc>
          <w:tcPr>
            <w:tcW w:w="0" w:type="dxa"/>
            <w:vAlign w:val="bottom"/>
          </w:tcPr>
          <w:p>
            <w:pPr>
              <w:spacing w:after="0"/>
              <w:rPr>
                <w:sz w:val="1"/>
                <w:szCs w:val="1"/>
                <w:color w:val="auto"/>
              </w:rPr>
            </w:pPr>
          </w:p>
        </w:tc>
      </w:tr>
      <w:tr>
        <w:trPr>
          <w:trHeight w:val="169"/>
        </w:trPr>
        <w:tc>
          <w:tcPr>
            <w:tcW w:w="3100" w:type="dxa"/>
            <w:vAlign w:val="bottom"/>
          </w:tcPr>
          <w:p>
            <w:pPr>
              <w:ind w:left="280"/>
              <w:spacing w:after="0"/>
              <w:rPr>
                <w:sz w:val="20"/>
                <w:szCs w:val="20"/>
                <w:color w:val="auto"/>
              </w:rPr>
            </w:pPr>
            <w:r>
              <w:rPr>
                <w:rFonts w:ascii="Arial" w:cs="Arial" w:eastAsia="Arial" w:hAnsi="Arial"/>
                <w:sz w:val="14"/>
                <w:szCs w:val="14"/>
                <w:color w:val="auto"/>
              </w:rPr>
              <w:t>Consolidated total</w:t>
            </w:r>
          </w:p>
        </w:tc>
        <w:tc>
          <w:tcPr>
            <w:tcW w:w="14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5,195.8</w:t>
            </w:r>
          </w:p>
        </w:tc>
        <w:tc>
          <w:tcPr>
            <w:tcW w:w="18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4,315.6</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14,747.1</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12,243.8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960" w:firstLine="8"/>
        <w:spacing w:after="0" w:line="227" w:lineRule="auto"/>
        <w:tabs>
          <w:tab w:leader="none" w:pos="176"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Converted from metric tons to gallons at a rate of 264 gallons per metric ton. Marine segment metric tons were 8.6 and 6.5 for the three months ended September 30, 2015 and September 30, 2014, respectively and 24.6 and 18.5 for the nine months ended September 30, 2015 and September 30, 2014,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w:t>
      </w:r>
    </w:p>
    <w:p>
      <w:pPr>
        <w:spacing w:after="0" w:line="231" w:lineRule="auto"/>
        <w:rPr>
          <w:sz w:val="20"/>
          <w:szCs w:val="20"/>
          <w:color w:val="auto"/>
        </w:rPr>
      </w:pPr>
      <w:r>
        <w:rPr>
          <w:rFonts w:ascii="Arial" w:cs="Arial" w:eastAsia="Arial" w:hAnsi="Arial"/>
          <w:sz w:val="22"/>
          <w:szCs w:val="22"/>
          <w:color w:val="auto"/>
        </w:rPr>
        <w:t>Vice President,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2019-12-06T00:14:03Z</dcterms:created>
  <dcterms:modified xsi:type="dcterms:W3CDTF">2019-12-06T00:14:03Z</dcterms:modified>
</cp:coreProperties>
</file>