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7"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2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 February 19, 2020</w:t>
      </w: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WORLD FUEL SERVICES CORPORATION</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215" w:right="259" w:bottom="1440" w:gutter="0" w:footer="0" w:header="0"/>
        </w:sectPr>
      </w:pPr>
    </w:p>
    <w:p>
      <w:pPr>
        <w:spacing w:after="0" w:line="232"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Florida</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001-09533</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59-2459427</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4000" w:space="720"/>
            <w:col w:w="2800" w:space="720"/>
            <w:col w:w="3160"/>
          </w:cols>
          <w:pgMar w:left="240" w:top="215" w:right="259" w:bottom="1440" w:gutter="0" w:footer="0" w:header="0"/>
          <w:type w:val="continuous"/>
        </w:sectPr>
      </w:pPr>
    </w:p>
    <w:p>
      <w:pPr>
        <w:spacing w:after="0" w:line="5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9800 N.W. 41st Street</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Miami, Florida</w:t>
      </w:r>
    </w:p>
    <w:p>
      <w:pPr>
        <w:spacing w:after="0" w:line="9"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33178</w:t>
      </w:r>
    </w:p>
    <w:p>
      <w:pPr>
        <w:spacing w:after="0" w:line="27"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416" w:lineRule="exact"/>
        <w:rPr>
          <w:sz w:val="24"/>
          <w:szCs w:val="24"/>
          <w:color w:val="auto"/>
        </w:rPr>
      </w:pPr>
    </w:p>
    <w:p>
      <w:pPr>
        <w:sectPr>
          <w:pgSz w:w="11900" w:h="16838" w:orient="portrait"/>
          <w:cols w:equalWidth="0" w:num="2">
            <w:col w:w="7460" w:space="720"/>
            <w:col w:w="3220"/>
          </w:cols>
          <w:pgMar w:left="240" w:top="215" w:right="259" w:bottom="1440" w:gutter="0" w:footer="0" w:header="0"/>
          <w:type w:val="continuous"/>
        </w:sectPr>
      </w:pPr>
    </w:p>
    <w:p>
      <w:pPr>
        <w:spacing w:after="0" w:line="30" w:lineRule="exact"/>
        <w:rPr>
          <w:sz w:val="24"/>
          <w:szCs w:val="24"/>
          <w:color w:val="auto"/>
        </w:rPr>
      </w:pPr>
    </w:p>
    <w:p>
      <w:pPr>
        <w:jc w:val="center"/>
        <w:ind w:left="3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5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37" w:lineRule="exact"/>
        <w:rPr>
          <w:rFonts w:ascii="MS PGothic" w:cs="MS PGothic" w:eastAsia="MS PGothic" w:hAnsi="MS PGothic"/>
          <w:sz w:val="22"/>
          <w:szCs w:val="22"/>
          <w:color w:val="auto"/>
        </w:rPr>
      </w:pPr>
    </w:p>
    <w:p>
      <w:pPr>
        <w:ind w:left="300" w:hanging="292"/>
        <w:spacing w:after="0" w:line="235" w:lineRule="auto"/>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10" w:lineRule="exact"/>
        <w:rPr>
          <w:rFonts w:ascii="MS PGothic" w:cs="MS PGothic" w:eastAsia="MS PGothic" w:hAnsi="MS PGothic"/>
          <w:sz w:val="22"/>
          <w:szCs w:val="22"/>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3" w:lineRule="exact"/>
        <w:rPr>
          <w:rFonts w:ascii="MS PGothic" w:cs="MS PGothic" w:eastAsia="MS PGothic" w:hAnsi="MS PGothic"/>
          <w:sz w:val="22"/>
          <w:szCs w:val="22"/>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Pre-commencement communications pursuant to Rule 13e-4(c) under the Exchange Act (17 CFR 240.13e-4(c))</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92"/>
        </w:trPr>
        <w:tc>
          <w:tcPr>
            <w:tcW w:w="1360" w:type="dxa"/>
            <w:vAlign w:val="bottom"/>
          </w:tcPr>
          <w:p>
            <w:pPr>
              <w:spacing w:after="0"/>
              <w:rPr>
                <w:sz w:val="20"/>
                <w:szCs w:val="20"/>
                <w:color w:val="auto"/>
              </w:rPr>
            </w:pPr>
            <w:r>
              <w:rPr>
                <w:rFonts w:ascii="Arial" w:cs="Arial" w:eastAsia="Arial" w:hAnsi="Arial"/>
                <w:sz w:val="18"/>
                <w:szCs w:val="18"/>
                <w:b w:val="1"/>
                <w:bCs w:val="1"/>
                <w:color w:val="auto"/>
                <w:w w:val="86"/>
              </w:rPr>
              <w:t>Title of each class</w:t>
            </w:r>
          </w:p>
        </w:tc>
        <w:tc>
          <w:tcPr>
            <w:tcW w:w="3220" w:type="dxa"/>
            <w:vAlign w:val="bottom"/>
          </w:tcPr>
          <w:p>
            <w:pPr>
              <w:spacing w:after="0"/>
              <w:rPr>
                <w:sz w:val="24"/>
                <w:szCs w:val="24"/>
                <w:color w:val="auto"/>
              </w:rPr>
            </w:pPr>
          </w:p>
        </w:tc>
        <w:tc>
          <w:tcPr>
            <w:tcW w:w="2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Trading Symbol(s)</w:t>
            </w:r>
          </w:p>
        </w:tc>
        <w:tc>
          <w:tcPr>
            <w:tcW w:w="3860" w:type="dxa"/>
            <w:vAlign w:val="bottom"/>
            <w:gridSpan w:val="2"/>
          </w:tcPr>
          <w:p>
            <w:pPr>
              <w:jc w:val="center"/>
              <w:ind w:left="43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136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453"/>
        </w:trPr>
        <w:tc>
          <w:tcPr>
            <w:tcW w:w="4580" w:type="dxa"/>
            <w:vAlign w:val="bottom"/>
            <w:gridSpan w:val="2"/>
          </w:tcPr>
          <w:p>
            <w:pPr>
              <w:spacing w:after="0"/>
              <w:rPr>
                <w:sz w:val="20"/>
                <w:szCs w:val="20"/>
                <w:color w:val="auto"/>
              </w:rPr>
            </w:pPr>
            <w:r>
              <w:rPr>
                <w:rFonts w:ascii="Arial" w:cs="Arial" w:eastAsia="Arial" w:hAnsi="Arial"/>
                <w:sz w:val="18"/>
                <w:szCs w:val="18"/>
                <w:color w:val="auto"/>
              </w:rPr>
              <w:t>Common Stock, par value $0.01 per share</w:t>
            </w:r>
          </w:p>
        </w:tc>
        <w:tc>
          <w:tcPr>
            <w:tcW w:w="420" w:type="dxa"/>
            <w:vAlign w:val="bottom"/>
          </w:tcPr>
          <w:p>
            <w:pPr>
              <w:spacing w:after="0"/>
              <w:rPr>
                <w:sz w:val="24"/>
                <w:szCs w:val="24"/>
                <w:color w:val="auto"/>
              </w:rPr>
            </w:pPr>
          </w:p>
        </w:tc>
        <w:tc>
          <w:tcPr>
            <w:tcW w:w="1940" w:type="dxa"/>
            <w:vAlign w:val="bottom"/>
            <w:gridSpan w:val="2"/>
          </w:tcPr>
          <w:p>
            <w:pPr>
              <w:jc w:val="center"/>
              <w:ind w:right="520"/>
              <w:spacing w:after="0"/>
              <w:rPr>
                <w:sz w:val="20"/>
                <w:szCs w:val="20"/>
                <w:color w:val="auto"/>
              </w:rPr>
            </w:pPr>
            <w:r>
              <w:rPr>
                <w:rFonts w:ascii="Arial" w:cs="Arial" w:eastAsia="Arial" w:hAnsi="Arial"/>
                <w:sz w:val="18"/>
                <w:szCs w:val="18"/>
                <w:color w:val="auto"/>
              </w:rPr>
              <w:t>INT</w:t>
            </w:r>
          </w:p>
        </w:tc>
        <w:tc>
          <w:tcPr>
            <w:tcW w:w="5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29"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15" w:right="259" w:bottom="1440" w:gutter="0" w:footer="0" w:header="0"/>
          <w:type w:val="continuous"/>
        </w:sectPr>
      </w:pPr>
    </w:p>
    <w:bookmarkStart w:id="1" w:name="page2"/>
    <w:bookmarkEnd w:id="1"/>
    <w:p>
      <w:pPr>
        <w:spacing w:after="0"/>
        <w:tabs>
          <w:tab w:leader="none" w:pos="9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19, 2020, World Fuel Services Corporation (the “Company”) issued a press release announcing that a conference call has been scheduled on Thursday, February 27, 2020 at 5:00PM Eastern Time to discuss the Company’s fourth quarter and full year results, as well as certain forward-looking information. The Company plans to release its fourth quarter and full year results after the market closes on the same date. A copy of the press release is attached hereto as Exhibit 99.1.</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23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ind w:left="260"/>
              <w:spacing w:after="0"/>
              <w:rPr>
                <w:sz w:val="20"/>
                <w:szCs w:val="20"/>
                <w:color w:val="auto"/>
              </w:rPr>
            </w:pPr>
            <w:r>
              <w:rPr>
                <w:rFonts w:ascii="Arial" w:cs="Arial" w:eastAsia="Arial" w:hAnsi="Arial"/>
                <w:sz w:val="18"/>
                <w:szCs w:val="18"/>
                <w:color w:val="auto"/>
              </w:rPr>
              <w:t>(d)</w:t>
            </w:r>
          </w:p>
        </w:tc>
        <w:tc>
          <w:tcPr>
            <w:tcW w:w="110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80" w:type="dxa"/>
            <w:vAlign w:val="bottom"/>
          </w:tcPr>
          <w:p>
            <w:pPr>
              <w:spacing w:after="0"/>
              <w:rPr>
                <w:sz w:val="20"/>
                <w:szCs w:val="20"/>
                <w:color w:val="auto"/>
              </w:rPr>
            </w:pPr>
          </w:p>
        </w:tc>
      </w:tr>
      <w:tr>
        <w:trPr>
          <w:trHeight w:val="392"/>
        </w:trPr>
        <w:tc>
          <w:tcPr>
            <w:tcW w:w="9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9400" w:type="dxa"/>
            <w:vAlign w:val="bottom"/>
            <w:gridSpan w:val="3"/>
          </w:tcPr>
          <w:p>
            <w:pPr>
              <w:ind w:left="280"/>
              <w:spacing w:after="0"/>
              <w:rPr>
                <w:sz w:val="20"/>
                <w:szCs w:val="20"/>
                <w:color w:val="auto"/>
              </w:rPr>
            </w:pPr>
            <w:r>
              <w:rPr>
                <w:rFonts w:ascii="Arial" w:cs="Arial" w:eastAsia="Arial" w:hAnsi="Arial"/>
                <w:sz w:val="18"/>
                <w:szCs w:val="18"/>
                <w:color w:val="auto"/>
              </w:rPr>
              <w:t>Description</w:t>
            </w:r>
          </w:p>
        </w:tc>
      </w:tr>
      <w:tr>
        <w:trPr>
          <w:trHeight w:val="20"/>
        </w:trPr>
        <w:tc>
          <w:tcPr>
            <w:tcW w:w="9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r>
      <w:tr>
        <w:trPr>
          <w:trHeight w:val="453"/>
        </w:trPr>
        <w:tc>
          <w:tcPr>
            <w:tcW w:w="920" w:type="dxa"/>
            <w:vAlign w:val="bottom"/>
          </w:tcPr>
          <w:p>
            <w:pPr>
              <w:spacing w:after="0"/>
              <w:rPr>
                <w:sz w:val="24"/>
                <w:szCs w:val="24"/>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9400" w:type="dxa"/>
            <w:vAlign w:val="bottom"/>
            <w:gridSpan w:val="3"/>
          </w:tcPr>
          <w:p>
            <w:pPr>
              <w:ind w:left="280"/>
              <w:spacing w:after="0"/>
              <w:rPr>
                <w:sz w:val="20"/>
                <w:szCs w:val="20"/>
                <w:color w:val="auto"/>
              </w:rPr>
            </w:pPr>
            <w:r>
              <w:rPr>
                <w:rFonts w:ascii="Arial" w:cs="Arial" w:eastAsia="Arial" w:hAnsi="Arial"/>
                <w:sz w:val="18"/>
                <w:szCs w:val="18"/>
                <w:color w:val="auto"/>
              </w:rPr>
              <w:t>Press Release, dated February 19, 2020.</w:t>
            </w:r>
          </w:p>
        </w:tc>
      </w:tr>
      <w:tr>
        <w:trPr>
          <w:trHeight w:val="399"/>
        </w:trPr>
        <w:tc>
          <w:tcPr>
            <w:tcW w:w="9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4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6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February 19, 2020</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 Alexander Lake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Chief Legal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EXHIBIT 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Exhibit</w:t>
            </w:r>
          </w:p>
        </w:tc>
        <w:tc>
          <w:tcPr>
            <w:tcW w:w="460" w:type="dxa"/>
            <w:vAlign w:val="bottom"/>
          </w:tcPr>
          <w:p>
            <w:pPr>
              <w:spacing w:after="0"/>
              <w:rPr>
                <w:sz w:val="20"/>
                <w:szCs w:val="20"/>
                <w:color w:val="auto"/>
              </w:rPr>
            </w:pPr>
          </w:p>
        </w:tc>
        <w:tc>
          <w:tcPr>
            <w:tcW w:w="9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Description</w:t>
            </w:r>
          </w:p>
        </w:tc>
      </w:tr>
      <w:tr>
        <w:trPr>
          <w:trHeight w:val="176"/>
        </w:trPr>
        <w:tc>
          <w:tcPr>
            <w:tcW w:w="320" w:type="dxa"/>
            <w:vAlign w:val="bottom"/>
          </w:tcPr>
          <w:p>
            <w:pPr>
              <w:spacing w:after="0" w:line="17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580" w:type="dxa"/>
            <w:vAlign w:val="bottom"/>
            <w:gridSpan w:val="2"/>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Press Release, dated February 19, 2020.</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23" w:lineRule="exact"/>
        <w:rPr>
          <w:sz w:val="20"/>
          <w:szCs w:val="20"/>
          <w:color w:val="auto"/>
        </w:rPr>
      </w:pPr>
    </w:p>
    <w:p>
      <w:pPr>
        <w:ind w:left="160"/>
        <w:spacing w:after="0"/>
        <w:rPr>
          <w:sz w:val="20"/>
          <w:szCs w:val="20"/>
          <w:color w:val="auto"/>
        </w:rPr>
      </w:pPr>
      <w:r>
        <w:rPr>
          <w:rFonts w:ascii="Arial" w:cs="Arial" w:eastAsia="Arial" w:hAnsi="Arial"/>
          <w:sz w:val="23"/>
          <w:szCs w:val="23"/>
          <w:b w:val="1"/>
          <w:bCs w:val="1"/>
          <w:color w:val="auto"/>
        </w:rPr>
        <w:t>World Fuel Services Corporation to Host Fourth Quarter and Full Year 2019 Earnings Conference Call</w:t>
      </w:r>
    </w:p>
    <w:p>
      <w:pPr>
        <w:spacing w:after="0" w:line="250"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MIAMI--(BUSINESS WIRE)--February 19, 2020--World Fuel Services Corporation (NYSE:INT) invites you to participate in a conference call with its management team on Thursday, February 27, 2020 at 5:00PM Eastern Time to discuss the Company’s fourth quarter and full year results, as well as certain forward-looking information. The Company plans to release its fourth quarter and full year results after the market closes on the same date.</w:t>
      </w:r>
    </w:p>
    <w:p>
      <w:pPr>
        <w:spacing w:after="0" w:line="185" w:lineRule="exact"/>
        <w:rPr>
          <w:sz w:val="20"/>
          <w:szCs w:val="20"/>
          <w:color w:val="auto"/>
        </w:rPr>
      </w:pPr>
    </w:p>
    <w:p>
      <w:pPr>
        <w:ind w:right="260"/>
        <w:spacing w:after="0" w:line="258" w:lineRule="auto"/>
        <w:rPr>
          <w:sz w:val="20"/>
          <w:szCs w:val="20"/>
          <w:color w:val="auto"/>
        </w:rPr>
      </w:pPr>
      <w:r>
        <w:rPr>
          <w:rFonts w:ascii="Arial" w:cs="Arial" w:eastAsia="Arial" w:hAnsi="Arial"/>
          <w:sz w:val="21"/>
          <w:szCs w:val="21"/>
          <w:color w:val="auto"/>
        </w:rPr>
        <w:t>The live conference call will be accessible by telephone at (800) 769-9015 (within the United States and Canada) or (212) 231-2912 (International). Audio replay of the call will be available through March 12, 2020. The replay numbers are: (800) 633-8284 (within the United States and Canada) and (402) 977-9140 (International). The call ID is 21952887.</w:t>
      </w:r>
    </w:p>
    <w:p>
      <w:pPr>
        <w:spacing w:after="0" w:line="167" w:lineRule="exact"/>
        <w:rPr>
          <w:sz w:val="20"/>
          <w:szCs w:val="20"/>
          <w:color w:val="auto"/>
        </w:rPr>
      </w:pPr>
    </w:p>
    <w:p>
      <w:pPr>
        <w:ind w:right="60"/>
        <w:spacing w:after="0" w:line="258" w:lineRule="auto"/>
        <w:rPr>
          <w:sz w:val="20"/>
          <w:szCs w:val="20"/>
          <w:color w:val="auto"/>
        </w:rPr>
      </w:pPr>
      <w:r>
        <w:rPr>
          <w:rFonts w:ascii="Arial" w:cs="Arial" w:eastAsia="Arial" w:hAnsi="Arial"/>
          <w:sz w:val="21"/>
          <w:szCs w:val="21"/>
          <w:color w:val="auto"/>
        </w:rPr>
        <w:t xml:space="preserve">The conference call will also be available via live webcast. The live webcast may be accessed by visiting the Company’s website at </w:t>
      </w:r>
      <w:r>
        <w:rPr>
          <w:rFonts w:ascii="Arial" w:cs="Arial" w:eastAsia="Arial" w:hAnsi="Arial"/>
          <w:sz w:val="21"/>
          <w:szCs w:val="21"/>
          <w:u w:val="single" w:color="auto"/>
          <w:color w:val="auto"/>
        </w:rPr>
        <w:t>www.wfscorp.com</w:t>
      </w:r>
      <w:r>
        <w:rPr>
          <w:rFonts w:ascii="Arial" w:cs="Arial" w:eastAsia="Arial" w:hAnsi="Arial"/>
          <w:sz w:val="21"/>
          <w:szCs w:val="21"/>
          <w:color w:val="auto"/>
        </w:rPr>
        <w:t xml:space="preserve"> and clicking on the webcast icon. An archive of the webcast will be available on the Company’s website two hours after the completion of the live call and will remain available until March 12, 2020.</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540"/>
        <w:spacing w:after="0" w:line="287" w:lineRule="auto"/>
        <w:rPr>
          <w:sz w:val="20"/>
          <w:szCs w:val="20"/>
          <w:color w:val="auto"/>
        </w:rPr>
      </w:pPr>
      <w:r>
        <w:rPr>
          <w:rFonts w:ascii="Arial" w:cs="Arial" w:eastAsia="Arial" w:hAnsi="Arial"/>
          <w:sz w:val="19"/>
          <w:szCs w:val="19"/>
          <w:color w:val="auto"/>
        </w:rPr>
        <w:t>Headquartered in Miami, Florida, World Fuel Services is a global energy management company involved in providing supply fulfillment, energy procurement advisory services,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call 305-428-8000 or visit www.wfscorp.com.</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Ira M. Birns</w:t>
      </w:r>
    </w:p>
    <w:p>
      <w:pPr>
        <w:spacing w:after="0" w:line="238" w:lineRule="auto"/>
        <w:rPr>
          <w:sz w:val="20"/>
          <w:szCs w:val="20"/>
          <w:color w:val="auto"/>
        </w:rPr>
      </w:pPr>
      <w:r>
        <w:rPr>
          <w:rFonts w:ascii="Arial" w:cs="Arial" w:eastAsia="Arial" w:hAnsi="Arial"/>
          <w:sz w:val="22"/>
          <w:szCs w:val="22"/>
          <w:color w:val="auto"/>
        </w:rPr>
        <w:t>Executive Vice President &amp; Chief Financial Officer</w:t>
      </w:r>
    </w:p>
    <w:p>
      <w:pPr>
        <w:spacing w:after="0" w:line="230"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Glenn Klevitz, Vice President, Treasurer &amp;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305-428-8000</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2020-02-19T07:49:51Z</dcterms:created>
  <dcterms:modified xsi:type="dcterms:W3CDTF">2020-02-19T07:49:51Z</dcterms:modified>
</cp:coreProperties>
</file>