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July 5,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World Fuel Services Corporation announced today that it has completed the previously announced acquisition of PAPCO, Inc. and Associated Petroleum Products, Inc. A copy of the press release is attached hereto as Exhibit 99.1.</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(d)</w:t>
            </w:r>
          </w:p>
        </w:tc>
        <w:tc>
          <w:tcPr>
            <w:tcW w:w="11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446"/>
        </w:trPr>
        <w:tc>
          <w:tcPr>
            <w:tcW w:w="9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400" w:type="dxa"/>
            <w:vAlign w:val="bottom"/>
            <w:gridSpan w:val="3"/>
          </w:tcPr>
          <w:p>
            <w:pPr>
              <w:ind w:left="280"/>
              <w:spacing w:after="0"/>
              <w:rPr>
                <w:sz w:val="20"/>
                <w:szCs w:val="20"/>
                <w:color w:val="auto"/>
              </w:rPr>
            </w:pPr>
            <w:r>
              <w:rPr>
                <w:rFonts w:ascii="Arial" w:cs="Arial" w:eastAsia="Arial" w:hAnsi="Arial"/>
                <w:sz w:val="18"/>
                <w:szCs w:val="18"/>
                <w:color w:val="auto"/>
              </w:rPr>
              <w:t>Description</w:t>
            </w:r>
          </w:p>
        </w:tc>
      </w:tr>
      <w:tr>
        <w:trPr>
          <w:trHeight w:val="20"/>
        </w:trPr>
        <w:tc>
          <w:tcPr>
            <w:tcW w:w="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507"/>
        </w:trPr>
        <w:tc>
          <w:tcPr>
            <w:tcW w:w="9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400" w:type="dxa"/>
            <w:vAlign w:val="bottom"/>
            <w:gridSpan w:val="3"/>
          </w:tcPr>
          <w:p>
            <w:pPr>
              <w:ind w:left="280"/>
              <w:spacing w:after="0"/>
              <w:rPr>
                <w:sz w:val="20"/>
                <w:szCs w:val="20"/>
                <w:color w:val="auto"/>
              </w:rPr>
            </w:pPr>
            <w:r>
              <w:rPr>
                <w:rFonts w:ascii="Arial" w:cs="Arial" w:eastAsia="Arial" w:hAnsi="Arial"/>
                <w:sz w:val="18"/>
                <w:szCs w:val="18"/>
                <w:color w:val="auto"/>
              </w:rPr>
              <w:t>Press Release, dated July 5, 2016.</w:t>
            </w:r>
          </w:p>
        </w:tc>
      </w:tr>
      <w:tr>
        <w:trPr>
          <w:trHeight w:val="230"/>
        </w:trPr>
        <w:tc>
          <w:tcPr>
            <w:tcW w:w="92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280" w:type="dxa"/>
            <w:vAlign w:val="bottom"/>
            <w:tcBorders>
              <w:bottom w:val="single" w:sz="8" w:color="9A9A9A"/>
            </w:tcBorders>
          </w:tcPr>
          <w:p>
            <w:pPr>
              <w:spacing w:after="0"/>
              <w:rPr>
                <w:sz w:val="19"/>
                <w:szCs w:val="19"/>
                <w:color w:val="auto"/>
              </w:rPr>
            </w:pPr>
          </w:p>
        </w:tc>
      </w:tr>
      <w:tr>
        <w:trPr>
          <w:trHeight w:val="21"/>
        </w:trPr>
        <w:tc>
          <w:tcPr>
            <w:tcW w:w="9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2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July 5,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5, 2016.</w:t>
      </w:r>
    </w:p>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World Fuel Services Corporation Completes PAPCO, Inc. and Associated Petroleum Products, Inc. Acquisitions</w:t>
      </w:r>
    </w:p>
    <w:p>
      <w:pPr>
        <w:spacing w:after="0" w:line="247" w:lineRule="exact"/>
        <w:rPr>
          <w:sz w:val="20"/>
          <w:szCs w:val="20"/>
          <w:color w:val="auto"/>
        </w:rPr>
      </w:pPr>
    </w:p>
    <w:p>
      <w:pPr>
        <w:ind w:right="900"/>
        <w:spacing w:after="0" w:line="274" w:lineRule="auto"/>
        <w:rPr>
          <w:sz w:val="20"/>
          <w:szCs w:val="20"/>
          <w:color w:val="auto"/>
        </w:rPr>
      </w:pPr>
      <w:r>
        <w:rPr>
          <w:rFonts w:ascii="Arial" w:cs="Arial" w:eastAsia="Arial" w:hAnsi="Arial"/>
          <w:sz w:val="21"/>
          <w:szCs w:val="21"/>
          <w:color w:val="auto"/>
        </w:rPr>
        <w:t>MIAMI--(BUSINESS WIRE)--July 5, 2016--World Fuel Services Corporation (NYSE: INT), today announced that it has completed the previously announced acquisitions of PAPCO, Inc. and Associated Petroleum Products, Inc.</w:t>
      </w:r>
    </w:p>
    <w:p>
      <w:pPr>
        <w:spacing w:after="0" w:line="151"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PAPCO is headquartered in Virginia Beach, VA, with 150 employees and 2015 revenue of $1 billion and APP is headquartered in Tacoma, WA, with 275 employees and 2015 revenue of $600 million. Both are leading distributors of gasoline, diesel, lubricants, propane and related services in their respective regions.</w:t>
      </w:r>
    </w:p>
    <w:p>
      <w:pPr>
        <w:spacing w:after="0" w:line="186"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“We are pleased to welcome the PAPCO and APP teams to the World Fuel Services organization,” stated Michael J. Kasbar, chairman and chief executive officer of World Fuel Services Corporation. “These transactions, combined with our existing World Fuel land segment operations, will serve to further enhance our commercial and industrial platforms to deliver value-added solutions to customers across the United States.”</w:t>
      </w:r>
    </w:p>
    <w:p>
      <w:pPr>
        <w:spacing w:after="0" w:line="185"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Excluding the impact of one-time acquisition related expenses and amortization of acquired intangible assets of approximately $4 million and $9 million respectively, the transactions are expected to be $0.22 to $0.26 accretive to earnings on a Non-GAAP basis in the first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Specifically, we have used non-GAAP accretion to earnings per share, which excludes one-time acquisition-related expenses and amortization of acquired intangible assets, primarily because we do not believe they are reflective of the company’s core operating results. We believe that this non-GAAP financial measure, when considered in conjunction with our financial information prepared in accordance with GAAP, is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accretion may not be comparable to the presentation of such metric by other companies. Investors are encouraged to review the reconciliation of this non-GAAP measure to its most directly comparable GAAP financial measure contained in this press release.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the effect of the acquisitions on our land segment, our commercial and industrial platform and delivery of value-added solutions, as well as the effect of the transaction on our earnings. These forward-looking statements are qualified in their entirety by cautionary statements and risk factor disclosures contained in the company’s Securities and Exchange Commission (“SEC”) filings, including the company’s Annual Report on Form 10-K filed with the SEC on February 16, 2016. Actual results may differ materially from any forward-looking statements due to risks and uncertainties, including, but not limited to: our ability to effectively integrate and derive benefits from the acquisitions, our ability to capitalize on new market opportunities, potential liabilities, limited indemnities and the extent of any insurance coverage, the outcome of pending litigation and other proceedings, the impact of quarterly fluctuations in results, the creditworthiness of our customers and counterparties and our ability to collect accounts receivable, environmental and other risks associated with the storage, transportation and delivery of petroleum products, our failure to effectively hedge certain financial risks associated with the use of derivatives, non-performance by counterparties or customers on derivatives contracts, loss of, or reduced sales, to a significant government customer, uninsured losses, the failure of fuel and other products we sell to meet specifications, fluctuations in world oil prices or foreign currency, changes in political, economic, regulatory, or environmental conditions, adverse conditions in the markets or industries in which we or our customers and suppliers operate,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2019-12-05T18:12:37Z</dcterms:created>
  <dcterms:modified xsi:type="dcterms:W3CDTF">2019-12-05T18:12:37Z</dcterms:modified>
</cp:coreProperties>
</file>