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2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226060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2715260</wp:posOffset>
            </wp:positionH>
            <wp:positionV relativeFrom="paragraph">
              <wp:posOffset>210820</wp:posOffset>
            </wp:positionV>
            <wp:extent cx="182689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PURSUANT TO SECTION 13 OR 15(d) OF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2715260</wp:posOffset>
            </wp:positionH>
            <wp:positionV relativeFrom="paragraph">
              <wp:posOffset>201930</wp:posOffset>
            </wp:positionV>
            <wp:extent cx="182689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Date of Report (Date of earliest event reported):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May 29, 2015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WORLD FUEL SERVICES CORPORATION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900" w:orient="portrait"/>
          <w:cols w:equalWidth="0" w:num="1">
            <w:col w:w="11420"/>
          </w:cols>
          <w:pgMar w:left="240" w:top="538" w:right="239" w:bottom="0" w:gutter="0" w:footer="0" w:header="0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Florida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(State or other jurisdiction of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1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1-9533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(Commission File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59-2459427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(I.R.S. Employer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3">
            <w:col w:w="4360" w:space="720"/>
            <w:col w:w="3120" w:space="720"/>
            <w:col w:w="2500"/>
          </w:cols>
          <w:pgMar w:left="240" w:top="538" w:right="239" w:bottom="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9800 N.W. 41</w:t>
      </w: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st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Street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Miami, FL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2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33178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2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(Zip Code)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2">
            <w:col w:w="7520" w:space="720"/>
            <w:col w:w="3180"/>
          </w:cols>
          <w:pgMar w:left="240" w:top="538" w:right="239" w:bottom="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Registrant’s telephone number, including area code: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(305) 428-8000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12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154940</wp:posOffset>
            </wp:positionV>
            <wp:extent cx="7246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197485</wp:posOffset>
            </wp:positionV>
            <wp:extent cx="72466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435610</wp:posOffset>
            </wp:positionV>
            <wp:extent cx="7267575" cy="29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Item 5.07. Submission of Matters to a Vote of Security Holders.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220" w:firstLine="891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May 29, 2015, World Fuel Services Corporation (the “Company”) held its annual meeting of shareholders. The matters voted upon and the results of the vote were as follows: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Proposal 1: Election of Directors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48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shareholders elected all of the Company’s nominees for director for one-year terms expiring on the date of the annual meeting in 2016 or until their successors are duly elected and qualified.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4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Nominee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8"/>
              </w:rPr>
              <w:t>Votes For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Votes Withheld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Broker Non-Votes</w:t>
            </w:r>
          </w:p>
        </w:tc>
      </w:tr>
      <w:tr>
        <w:trPr>
          <w:trHeight w:val="210"/>
        </w:trPr>
        <w:tc>
          <w:tcPr>
            <w:tcW w:w="42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Michael J. Kasbar</w:t>
            </w:r>
          </w:p>
        </w:tc>
        <w:tc>
          <w:tcPr>
            <w:tcW w:w="28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52,940,623</w:t>
            </w:r>
          </w:p>
        </w:tc>
        <w:tc>
          <w:tcPr>
            <w:tcW w:w="26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2,932,296</w:t>
            </w:r>
          </w:p>
        </w:tc>
        <w:tc>
          <w:tcPr>
            <w:tcW w:w="28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5,564,716</w:t>
            </w:r>
          </w:p>
        </w:tc>
        <w:tc>
          <w:tcPr>
            <w:tcW w:w="1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4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Ken Bakshi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54,691,272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1,181,647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5,564,716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4480" w:type="dxa"/>
            <w:vAlign w:val="bottom"/>
            <w:gridSpan w:val="2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Jorge L. Benitez</w:t>
            </w:r>
          </w:p>
        </w:tc>
        <w:tc>
          <w:tcPr>
            <w:tcW w:w="182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55,526,305</w:t>
            </w:r>
          </w:p>
        </w:tc>
        <w:tc>
          <w:tcPr>
            <w:tcW w:w="2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346,614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5,564,716</w:t>
            </w: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4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Richard A. Kassar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44,829,539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11,043,380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5,564,716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4480" w:type="dxa"/>
            <w:vAlign w:val="bottom"/>
            <w:gridSpan w:val="2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Myles Klein</w:t>
            </w:r>
          </w:p>
        </w:tc>
        <w:tc>
          <w:tcPr>
            <w:tcW w:w="182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55,230,913</w:t>
            </w:r>
          </w:p>
        </w:tc>
        <w:tc>
          <w:tcPr>
            <w:tcW w:w="2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642,006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5,564,716</w:t>
            </w: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4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John L. Manley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55,523,465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349,454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5,564,716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4480" w:type="dxa"/>
            <w:vAlign w:val="bottom"/>
            <w:gridSpan w:val="2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J. Thomas Presby</w:t>
            </w:r>
          </w:p>
        </w:tc>
        <w:tc>
          <w:tcPr>
            <w:tcW w:w="182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55,025,627</w:t>
            </w:r>
          </w:p>
        </w:tc>
        <w:tc>
          <w:tcPr>
            <w:tcW w:w="2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847,292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5,564,716</w:t>
            </w: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4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Stephen K. Roddenberry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54,898,983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973,936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5,564,716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4480" w:type="dxa"/>
            <w:vAlign w:val="bottom"/>
            <w:gridSpan w:val="2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Paul H. Stebbins</w:t>
            </w:r>
          </w:p>
        </w:tc>
        <w:tc>
          <w:tcPr>
            <w:tcW w:w="182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55,378,084</w:t>
            </w:r>
          </w:p>
        </w:tc>
        <w:tc>
          <w:tcPr>
            <w:tcW w:w="2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494,835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5,564,716</w:t>
            </w: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Proposal 2: Non-Binding, Advisory Vote on Executive Compensation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shareholders approved, by a non-binding, advisory vote, the compensation of the Company’s named executive officers.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700" w:type="dxa"/>
            <w:vAlign w:val="bottom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Votes For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Votes Against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vMerge w:val="restart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Abstentions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8"/>
              </w:rPr>
              <w:t>Broker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CCEEFF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CCEEFF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CCEEFF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8"/>
              </w:rPr>
              <w:t>Non-Votes</w:t>
            </w:r>
          </w:p>
        </w:tc>
        <w:tc>
          <w:tcPr>
            <w:tcW w:w="120" w:type="dxa"/>
            <w:vAlign w:val="bottom"/>
            <w:tcBorders>
              <w:bottom w:val="single" w:sz="8" w:color="CCEEFF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00" w:orient="portrait"/>
          <w:cols w:equalWidth="0" w:num="1">
            <w:col w:w="11420"/>
          </w:cols>
          <w:pgMar w:left="240" w:top="538" w:right="239" w:bottom="0" w:gutter="0" w:footer="0" w:header="0"/>
          <w:type w:val="continuous"/>
        </w:sectPr>
      </w:pPr>
    </w:p>
    <w:bookmarkStart w:id="1" w:name="page2"/>
    <w:bookmarkEnd w:id="1"/>
    <w:p>
      <w:pPr>
        <w:ind w:left="940"/>
        <w:spacing w:after="0"/>
        <w:tabs>
          <w:tab w:leader="none" w:pos="3900" w:val="left"/>
          <w:tab w:leader="none" w:pos="6880" w:val="left"/>
          <w:tab w:leader="none" w:pos="9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45,739,461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9,858,328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275,130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5,564,716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-119380</wp:posOffset>
            </wp:positionV>
            <wp:extent cx="7246620" cy="1371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Proposal 3: Ratification of Appointment of Independent Registered Certified Public Accounting Firm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shareholders ratified the appointment of PricewaterhouseCoopers LLP as the Company’s independent registered certified public accounting firm for the 2015 fiscal year.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940" w:type="dxa"/>
            <w:vAlign w:val="bottom"/>
            <w:gridSpan w:val="2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8"/>
              </w:rPr>
              <w:t>Votes For</w:t>
            </w:r>
          </w:p>
        </w:tc>
        <w:tc>
          <w:tcPr>
            <w:tcW w:w="2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Votes Against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Abstentions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8"/>
              </w:rPr>
              <w:t>Broker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8"/>
              </w:rPr>
              <w:t>Non-Votes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7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ind w:right="8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60,964,556</w:t>
            </w:r>
          </w:p>
        </w:tc>
        <w:tc>
          <w:tcPr>
            <w:tcW w:w="24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ind w:right="9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297,232</w:t>
            </w:r>
          </w:p>
        </w:tc>
        <w:tc>
          <w:tcPr>
            <w:tcW w:w="24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ind w:right="9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175,847</w:t>
            </w:r>
          </w:p>
        </w:tc>
        <w:tc>
          <w:tcPr>
            <w:tcW w:w="24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—</w:t>
            </w:r>
          </w:p>
        </w:tc>
        <w:tc>
          <w:tcPr>
            <w:tcW w:w="1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2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70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-29210</wp:posOffset>
            </wp:positionV>
            <wp:extent cx="12700" cy="298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-29210</wp:posOffset>
            </wp:positionV>
            <wp:extent cx="12700" cy="298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June 4, 2015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World Fuel Services Corporation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R. Alexander Lake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R. Alexander Lake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3632835</wp:posOffset>
            </wp:positionH>
            <wp:positionV relativeFrom="paragraph">
              <wp:posOffset>-130810</wp:posOffset>
            </wp:positionV>
            <wp:extent cx="3618865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Senior Vice President, General Counsel and Corporate Secretary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83820</wp:posOffset>
            </wp:positionV>
            <wp:extent cx="7267575" cy="298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60"/>
      </w:cols>
      <w:pgMar w:left="240" w:top="121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2019-12-06T00:12:32Z</dcterms:created>
  <dcterms:modified xsi:type="dcterms:W3CDTF">2019-12-06T00:12:32Z</dcterms:modified>
</cp:coreProperties>
</file>