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220345</wp:posOffset>
            </wp:positionV>
            <wp:extent cx="164401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4015" cy="3810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220345</wp:posOffset>
            </wp:positionV>
            <wp:extent cx="164401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4015" cy="38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Date of Report (Date of earliest event reported): October 17, 2017</w:t>
      </w:r>
    </w:p>
    <w:p>
      <w:pPr>
        <w:spacing w:after="0" w:line="17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WORLD FUEL SERVICES CORPORATION</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39" w:lineRule="exact"/>
        <w:rPr>
          <w:sz w:val="24"/>
          <w:szCs w:val="24"/>
          <w:color w:val="auto"/>
        </w:rPr>
      </w:pPr>
    </w:p>
    <w:tbl>
      <w:tblPr>
        <w:tblLayout w:type="fixed"/>
        <w:tblInd w:w="1100" w:type="dxa"/>
        <w:tblCellMar>
          <w:top w:w="0" w:type="dxa"/>
          <w:left w:w="0" w:type="dxa"/>
          <w:bottom w:w="0" w:type="dxa"/>
          <w:right w:w="0" w:type="dxa"/>
        </w:tblCellMar>
      </w:tblPr>
      <w:tr>
        <w:trPr>
          <w:trHeight w:val="179"/>
        </w:trPr>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Florida</w:t>
            </w:r>
          </w:p>
        </w:tc>
        <w:tc>
          <w:tcPr>
            <w:tcW w:w="4920" w:type="dxa"/>
            <w:vAlign w:val="bottom"/>
          </w:tcPr>
          <w:p>
            <w:pPr>
              <w:jc w:val="center"/>
              <w:ind w:left="1052"/>
              <w:spacing w:after="0"/>
              <w:rPr>
                <w:sz w:val="20"/>
                <w:szCs w:val="20"/>
                <w:color w:val="auto"/>
              </w:rPr>
            </w:pPr>
            <w:r>
              <w:rPr>
                <w:rFonts w:ascii="Times New Roman" w:cs="Times New Roman" w:eastAsia="Times New Roman" w:hAnsi="Times New Roman"/>
                <w:sz w:val="14"/>
                <w:szCs w:val="14"/>
                <w:b w:val="1"/>
                <w:bCs w:val="1"/>
                <w:color w:val="auto"/>
              </w:rPr>
              <w:t>1-9533</w:t>
            </w:r>
          </w:p>
        </w:tc>
        <w:tc>
          <w:tcPr>
            <w:tcW w:w="2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59-2459427</w:t>
            </w:r>
          </w:p>
        </w:tc>
      </w:tr>
      <w:tr>
        <w:trPr>
          <w:trHeight w:val="171"/>
        </w:trPr>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(State or other jurisdiction of</w:t>
            </w:r>
          </w:p>
        </w:tc>
        <w:tc>
          <w:tcPr>
            <w:tcW w:w="4920" w:type="dxa"/>
            <w:vAlign w:val="bottom"/>
          </w:tcPr>
          <w:p>
            <w:pPr>
              <w:jc w:val="center"/>
              <w:ind w:left="1032"/>
              <w:spacing w:after="0"/>
              <w:rPr>
                <w:sz w:val="20"/>
                <w:szCs w:val="20"/>
                <w:color w:val="auto"/>
              </w:rPr>
            </w:pPr>
            <w:r>
              <w:rPr>
                <w:rFonts w:ascii="Times New Roman" w:cs="Times New Roman" w:eastAsia="Times New Roman" w:hAnsi="Times New Roman"/>
                <w:sz w:val="14"/>
                <w:szCs w:val="14"/>
                <w:color w:val="auto"/>
                <w:w w:val="97"/>
              </w:rPr>
              <w:t>(Commission File</w:t>
            </w:r>
          </w:p>
        </w:tc>
        <w:tc>
          <w:tcPr>
            <w:tcW w:w="2440" w:type="dxa"/>
            <w:vAlign w:val="bottom"/>
          </w:tcPr>
          <w:p>
            <w:pPr>
              <w:jc w:val="center"/>
              <w:ind w:left="1372"/>
              <w:spacing w:after="0"/>
              <w:rPr>
                <w:sz w:val="20"/>
                <w:szCs w:val="20"/>
                <w:color w:val="auto"/>
              </w:rPr>
            </w:pPr>
            <w:r>
              <w:rPr>
                <w:rFonts w:ascii="Times New Roman" w:cs="Times New Roman" w:eastAsia="Times New Roman" w:hAnsi="Times New Roman"/>
                <w:sz w:val="14"/>
                <w:szCs w:val="14"/>
                <w:color w:val="auto"/>
                <w:w w:val="96"/>
              </w:rPr>
              <w:t>(I.R.S. Employer</w:t>
            </w:r>
          </w:p>
        </w:tc>
      </w:tr>
      <w:tr>
        <w:trPr>
          <w:trHeight w:val="175"/>
        </w:trPr>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incorporation)</w:t>
            </w:r>
          </w:p>
        </w:tc>
        <w:tc>
          <w:tcPr>
            <w:tcW w:w="4920" w:type="dxa"/>
            <w:vAlign w:val="bottom"/>
          </w:tcPr>
          <w:p>
            <w:pPr>
              <w:jc w:val="center"/>
              <w:ind w:left="1032"/>
              <w:spacing w:after="0"/>
              <w:rPr>
                <w:sz w:val="20"/>
                <w:szCs w:val="20"/>
                <w:color w:val="auto"/>
              </w:rPr>
            </w:pPr>
            <w:r>
              <w:rPr>
                <w:rFonts w:ascii="Times New Roman" w:cs="Times New Roman" w:eastAsia="Times New Roman" w:hAnsi="Times New Roman"/>
                <w:sz w:val="14"/>
                <w:szCs w:val="14"/>
                <w:color w:val="auto"/>
                <w:w w:val="98"/>
              </w:rPr>
              <w:t>Number)</w:t>
            </w:r>
          </w:p>
        </w:tc>
        <w:tc>
          <w:tcPr>
            <w:tcW w:w="2440" w:type="dxa"/>
            <w:vAlign w:val="bottom"/>
          </w:tcPr>
          <w:p>
            <w:pPr>
              <w:jc w:val="center"/>
              <w:ind w:left="1352"/>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705"/>
        </w:trPr>
        <w:tc>
          <w:tcPr>
            <w:tcW w:w="1620" w:type="dxa"/>
            <w:vAlign w:val="bottom"/>
          </w:tcPr>
          <w:p>
            <w:pPr>
              <w:spacing w:after="0"/>
              <w:rPr>
                <w:sz w:val="24"/>
                <w:szCs w:val="24"/>
                <w:color w:val="auto"/>
              </w:rPr>
            </w:pPr>
          </w:p>
        </w:tc>
        <w:tc>
          <w:tcPr>
            <w:tcW w:w="4920" w:type="dxa"/>
            <w:vAlign w:val="bottom"/>
          </w:tcPr>
          <w:p>
            <w:pPr>
              <w:jc w:val="center"/>
              <w:ind w:right="2612"/>
              <w:spacing w:after="0"/>
              <w:rPr>
                <w:sz w:val="20"/>
                <w:szCs w:val="20"/>
                <w:color w:val="auto"/>
              </w:rPr>
            </w:pPr>
            <w:r>
              <w:rPr>
                <w:rFonts w:ascii="Times New Roman" w:cs="Times New Roman" w:eastAsia="Times New Roman" w:hAnsi="Times New Roman"/>
                <w:sz w:val="14"/>
                <w:szCs w:val="14"/>
                <w:b w:val="1"/>
                <w:bCs w:val="1"/>
                <w:color w:val="auto"/>
                <w:w w:val="95"/>
              </w:rPr>
              <w:t>9800 N.W. 41</w:t>
            </w:r>
            <w:r>
              <w:rPr>
                <w:rFonts w:ascii="Times New Roman" w:cs="Times New Roman" w:eastAsia="Times New Roman" w:hAnsi="Times New Roman"/>
                <w:sz w:val="22"/>
                <w:szCs w:val="22"/>
                <w:b w:val="1"/>
                <w:bCs w:val="1"/>
                <w:color w:val="auto"/>
                <w:w w:val="95"/>
                <w:vertAlign w:val="superscript"/>
              </w:rPr>
              <w:t>st</w:t>
            </w:r>
            <w:r>
              <w:rPr>
                <w:rFonts w:ascii="Times New Roman" w:cs="Times New Roman" w:eastAsia="Times New Roman" w:hAnsi="Times New Roman"/>
                <w:sz w:val="14"/>
                <w:szCs w:val="14"/>
                <w:b w:val="1"/>
                <w:bCs w:val="1"/>
                <w:color w:val="auto"/>
                <w:w w:val="95"/>
              </w:rPr>
              <w:t xml:space="preserve"> Street</w:t>
            </w:r>
          </w:p>
        </w:tc>
        <w:tc>
          <w:tcPr>
            <w:tcW w:w="2440" w:type="dxa"/>
            <w:vAlign w:val="bottom"/>
          </w:tcPr>
          <w:p>
            <w:pPr>
              <w:spacing w:after="0"/>
              <w:rPr>
                <w:sz w:val="24"/>
                <w:szCs w:val="24"/>
                <w:color w:val="auto"/>
              </w:rPr>
            </w:pPr>
          </w:p>
        </w:tc>
      </w:tr>
      <w:tr>
        <w:trPr>
          <w:trHeight w:val="179"/>
        </w:trPr>
        <w:tc>
          <w:tcPr>
            <w:tcW w:w="1620" w:type="dxa"/>
            <w:vAlign w:val="bottom"/>
          </w:tcPr>
          <w:p>
            <w:pPr>
              <w:spacing w:after="0"/>
              <w:rPr>
                <w:sz w:val="15"/>
                <w:szCs w:val="15"/>
                <w:color w:val="auto"/>
              </w:rPr>
            </w:pPr>
          </w:p>
        </w:tc>
        <w:tc>
          <w:tcPr>
            <w:tcW w:w="4920" w:type="dxa"/>
            <w:vAlign w:val="bottom"/>
          </w:tcPr>
          <w:p>
            <w:pPr>
              <w:jc w:val="center"/>
              <w:ind w:right="2612"/>
              <w:spacing w:after="0"/>
              <w:rPr>
                <w:sz w:val="20"/>
                <w:szCs w:val="20"/>
                <w:color w:val="auto"/>
              </w:rPr>
            </w:pPr>
            <w:r>
              <w:rPr>
                <w:rFonts w:ascii="Times New Roman" w:cs="Times New Roman" w:eastAsia="Times New Roman" w:hAnsi="Times New Roman"/>
                <w:sz w:val="14"/>
                <w:szCs w:val="14"/>
                <w:b w:val="1"/>
                <w:bCs w:val="1"/>
                <w:color w:val="auto"/>
                <w:w w:val="99"/>
              </w:rPr>
              <w:t>Miami, FL</w:t>
            </w:r>
          </w:p>
        </w:tc>
        <w:tc>
          <w:tcPr>
            <w:tcW w:w="2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33178</w:t>
            </w:r>
          </w:p>
        </w:tc>
      </w:tr>
      <w:tr>
        <w:trPr>
          <w:trHeight w:val="183"/>
        </w:trPr>
        <w:tc>
          <w:tcPr>
            <w:tcW w:w="1620" w:type="dxa"/>
            <w:vAlign w:val="bottom"/>
          </w:tcPr>
          <w:p>
            <w:pPr>
              <w:spacing w:after="0"/>
              <w:rPr>
                <w:sz w:val="15"/>
                <w:szCs w:val="15"/>
                <w:color w:val="auto"/>
              </w:rPr>
            </w:pPr>
          </w:p>
        </w:tc>
        <w:tc>
          <w:tcPr>
            <w:tcW w:w="4920" w:type="dxa"/>
            <w:vAlign w:val="bottom"/>
          </w:tcPr>
          <w:p>
            <w:pPr>
              <w:jc w:val="center"/>
              <w:ind w:right="2612"/>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40" w:type="dxa"/>
            <w:vAlign w:val="bottom"/>
          </w:tcPr>
          <w:p>
            <w:pPr>
              <w:jc w:val="center"/>
              <w:ind w:left="1372"/>
              <w:spacing w:after="0"/>
              <w:rPr>
                <w:sz w:val="20"/>
                <w:szCs w:val="20"/>
                <w:color w:val="auto"/>
              </w:rPr>
            </w:pPr>
            <w:r>
              <w:rPr>
                <w:rFonts w:ascii="Times New Roman" w:cs="Times New Roman" w:eastAsia="Times New Roman" w:hAnsi="Times New Roman"/>
                <w:sz w:val="14"/>
                <w:szCs w:val="14"/>
                <w:color w:val="auto"/>
                <w:w w:val="96"/>
              </w:rPr>
              <w:t>(Zip Code)</w:t>
            </w:r>
          </w:p>
        </w:tc>
      </w:tr>
    </w:tbl>
    <w:p>
      <w:pPr>
        <w:spacing w:after="0" w:line="3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(305) 428-8000</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56"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 [  ]</w:t>
      </w:r>
    </w:p>
    <w:p>
      <w:pPr>
        <w:spacing w:after="0" w:line="161" w:lineRule="exact"/>
        <w:rPr>
          <w:sz w:val="24"/>
          <w:szCs w:val="24"/>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69850</wp:posOffset>
            </wp:positionV>
            <wp:extent cx="730631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6310" cy="51435"/>
                    </a:xfrm>
                    <a:prstGeom prst="rect">
                      <a:avLst/>
                    </a:prstGeom>
                    <a:noFill/>
                  </pic:spPr>
                </pic:pic>
              </a:graphicData>
            </a:graphic>
          </wp:anchor>
        </w:drawing>
      </w:r>
    </w:p>
    <w:p>
      <w:pPr>
        <w:sectPr>
          <w:pgSz w:w="11900" w:h="16838" w:orient="portrait"/>
          <w:cols w:equalWidth="0" w:num="1">
            <w:col w:w="11320"/>
          </w:cols>
          <w:pgMar w:left="220" w:top="381" w:right="35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5.02.</w:t>
      </w:r>
      <w:r>
        <w:rPr>
          <w:sz w:val="20"/>
          <w:szCs w:val="20"/>
          <w:color w:val="auto"/>
        </w:rPr>
        <w:tab/>
      </w:r>
      <w:r>
        <w:rPr>
          <w:rFonts w:ascii="Times New Roman" w:cs="Times New Roman" w:eastAsia="Times New Roman" w:hAnsi="Times New Roman"/>
          <w:sz w:val="16"/>
          <w:szCs w:val="16"/>
          <w:b w:val="1"/>
          <w:bCs w:val="1"/>
          <w:color w:val="auto"/>
        </w:rPr>
        <w:t>Departures of Directors or Certain Officers; Election of Directors; Appointment of Certain Officers; Compensatory Arrangements of Certain Officers.</w:t>
      </w:r>
    </w:p>
    <w:p>
      <w:pPr>
        <w:spacing w:after="0" w:line="165" w:lineRule="exact"/>
        <w:rPr>
          <w:sz w:val="20"/>
          <w:szCs w:val="20"/>
          <w:color w:val="auto"/>
        </w:rPr>
      </w:pPr>
    </w:p>
    <w:p>
      <w:pPr>
        <w:jc w:val="both"/>
        <w:ind w:right="80" w:firstLine="305"/>
        <w:spacing w:after="0" w:line="273" w:lineRule="auto"/>
        <w:rPr>
          <w:sz w:val="20"/>
          <w:szCs w:val="20"/>
          <w:color w:val="auto"/>
        </w:rPr>
      </w:pPr>
      <w:r>
        <w:rPr>
          <w:rFonts w:ascii="Times New Roman" w:cs="Times New Roman" w:eastAsia="Times New Roman" w:hAnsi="Times New Roman"/>
          <w:sz w:val="16"/>
          <w:szCs w:val="16"/>
          <w:color w:val="auto"/>
        </w:rPr>
        <w:t>On October 17, 2017, World Fuel Services Corporation (the “Company”) announced that the Board of Directors (the “Board”) of the Company appointed Jeffrey P. Smith as Executive Vice President and Chief Operating Officer of the Company, effective October 16, 2017.</w:t>
      </w:r>
    </w:p>
    <w:p>
      <w:pPr>
        <w:spacing w:after="0" w:line="110" w:lineRule="exact"/>
        <w:rPr>
          <w:sz w:val="20"/>
          <w:szCs w:val="20"/>
          <w:color w:val="auto"/>
        </w:rPr>
      </w:pPr>
    </w:p>
    <w:p>
      <w:pPr>
        <w:jc w:val="both"/>
        <w:ind w:right="80" w:firstLine="305"/>
        <w:spacing w:after="0" w:line="244" w:lineRule="auto"/>
        <w:rPr>
          <w:sz w:val="20"/>
          <w:szCs w:val="20"/>
          <w:color w:val="auto"/>
        </w:rPr>
      </w:pPr>
      <w:r>
        <w:rPr>
          <w:rFonts w:ascii="Times New Roman" w:cs="Times New Roman" w:eastAsia="Times New Roman" w:hAnsi="Times New Roman"/>
          <w:sz w:val="16"/>
          <w:szCs w:val="16"/>
          <w:color w:val="auto"/>
        </w:rPr>
        <w:t>Mr. Smith, age 55, previously served as Chief Information Officer of International Business Machines Corporation (“IBM”) from August 2014 through May 2017, where he was responsible for global information technology ("IT") operations, including provisioning and management of all computing devices and all software solutions required to run IBM, such as Customer Relationship Management (CRM) for sales and service and Enterprise Resource Planning (ERP) for financials and manufacturing. Prior to joining IBM, Mr. Smith served as Chief Executive Officer of Suncorp Business Services, part of Suncorp Group Limited, from July 2010 to August 2014, and Chief Information Officer from March 2007 to July 2010. While at Suncorp, Mr. Smith was responsible for the Group’s technology, analytics, real estate, finance, procurement, and customer relationship, IT and business process outsourcing operations. With more than thirty years of corporate experience, Mr. Smith has also held senior executive roles in a number of companies including Telstra Corporation and Honeywell.</w:t>
      </w:r>
    </w:p>
    <w:p>
      <w:pPr>
        <w:spacing w:after="0" w:line="133" w:lineRule="exact"/>
        <w:rPr>
          <w:sz w:val="20"/>
          <w:szCs w:val="20"/>
          <w:color w:val="auto"/>
        </w:rPr>
      </w:pPr>
    </w:p>
    <w:p>
      <w:pPr>
        <w:jc w:val="both"/>
        <w:ind w:right="80" w:firstLine="305"/>
        <w:spacing w:after="0" w:line="250" w:lineRule="auto"/>
        <w:rPr>
          <w:sz w:val="20"/>
          <w:szCs w:val="20"/>
          <w:color w:val="auto"/>
        </w:rPr>
      </w:pPr>
      <w:r>
        <w:rPr>
          <w:rFonts w:ascii="Times New Roman" w:cs="Times New Roman" w:eastAsia="Times New Roman" w:hAnsi="Times New Roman"/>
          <w:sz w:val="16"/>
          <w:szCs w:val="16"/>
          <w:color w:val="auto"/>
        </w:rPr>
        <w:t>Mr. Smith will receive an annual base salary of $600,000 and will be a participant in the Company’s executive compensation programs in the same manner as the Company’s other executive officers, as described in the “Compensation Discussion and Analysis” sections of the Company’s proxy statements. In connection with the appointment, Mr. Smith was designated as a participating executive in the Company’s Executive Severance Policy (“ESP”), which was previously filed as Exhibit 10.1 to the Company’s Quarterly Report on Form 10-Q filed with the Securities and Exchange Commission (“SEC”) on July 27, 2017.</w:t>
      </w:r>
    </w:p>
    <w:p>
      <w:pPr>
        <w:spacing w:after="0" w:line="127" w:lineRule="exact"/>
        <w:rPr>
          <w:sz w:val="20"/>
          <w:szCs w:val="20"/>
          <w:color w:val="auto"/>
        </w:rPr>
      </w:pPr>
    </w:p>
    <w:p>
      <w:pPr>
        <w:jc w:val="both"/>
        <w:ind w:right="80" w:firstLine="305"/>
        <w:spacing w:after="0" w:line="247" w:lineRule="auto"/>
        <w:rPr>
          <w:sz w:val="20"/>
          <w:szCs w:val="20"/>
          <w:color w:val="auto"/>
        </w:rPr>
      </w:pPr>
      <w:r>
        <w:rPr>
          <w:rFonts w:ascii="Times New Roman" w:cs="Times New Roman" w:eastAsia="Times New Roman" w:hAnsi="Times New Roman"/>
          <w:sz w:val="16"/>
          <w:szCs w:val="16"/>
          <w:color w:val="auto"/>
        </w:rPr>
        <w:t>In addition, Mr. Smith will be granted the following restricted stock units (“RSUs”) on November 10, 2017: (i) a service-based RSU award in an amount equal to $1.5 million, which will vest equally on the third, fourth and fifth anniversaries of the grant date (the form of which was previously filed as Exhibit 10.4 to the Company’s Quarterly Report on Form 10-Q filed on August 2, 2011), and (ii) a performance-based RSU award in an amount equal to $1.5 million, which will vest in 2021 based on the Company’s performance during the period ending December 31, 2020 (the form of which was previously filed as Exhibit 10.18 to the Company’s Annual Report on Form 10-K filed with the SEC on February 21, 2017).</w:t>
      </w:r>
    </w:p>
    <w:p>
      <w:pPr>
        <w:spacing w:after="0" w:line="130" w:lineRule="exact"/>
        <w:rPr>
          <w:sz w:val="20"/>
          <w:szCs w:val="20"/>
          <w:color w:val="auto"/>
        </w:rPr>
      </w:pPr>
    </w:p>
    <w:p>
      <w:pPr>
        <w:jc w:val="both"/>
        <w:ind w:right="80" w:firstLine="305"/>
        <w:spacing w:after="0" w:line="255" w:lineRule="auto"/>
        <w:rPr>
          <w:sz w:val="20"/>
          <w:szCs w:val="20"/>
          <w:color w:val="auto"/>
        </w:rPr>
      </w:pPr>
      <w:r>
        <w:rPr>
          <w:rFonts w:ascii="Times New Roman" w:cs="Times New Roman" w:eastAsia="Times New Roman" w:hAnsi="Times New Roman"/>
          <w:sz w:val="16"/>
          <w:szCs w:val="16"/>
          <w:color w:val="auto"/>
        </w:rPr>
        <w:t>There is no arrangement or understanding between Mr. Smith and any other person pursuant to which Mr. Smith was appointed an officer of the Company that would require disclosure under item 401(b) of Regulation S-K. Additionally, there is no family relationship between Mr. Smith and any other person that would require disclosure under item 401(d) of Regulation S-K. Mr. Smith is also not a party to any transaction that would require disclosure under Item 404(a) of Regulation S-K.</w:t>
      </w:r>
    </w:p>
    <w:p>
      <w:pPr>
        <w:spacing w:after="0" w:line="124" w:lineRule="exact"/>
        <w:rPr>
          <w:sz w:val="20"/>
          <w:szCs w:val="20"/>
          <w:color w:val="auto"/>
        </w:rPr>
      </w:pPr>
    </w:p>
    <w:p>
      <w:pPr>
        <w:jc w:val="both"/>
        <w:ind w:right="80" w:firstLine="305"/>
        <w:spacing w:after="0" w:line="255" w:lineRule="auto"/>
        <w:rPr>
          <w:sz w:val="20"/>
          <w:szCs w:val="20"/>
          <w:color w:val="auto"/>
        </w:rPr>
      </w:pPr>
      <w:r>
        <w:rPr>
          <w:rFonts w:ascii="Times New Roman" w:cs="Times New Roman" w:eastAsia="Times New Roman" w:hAnsi="Times New Roman"/>
          <w:sz w:val="16"/>
          <w:szCs w:val="16"/>
          <w:color w:val="auto"/>
        </w:rPr>
        <w:t>Effective October 16, 2017, Carlos M. Velazquez, the Company’s Senior Vice President – Financial Operations and principal accounting officer will now be reporting to Mr. Smith and the Company’s Executive Vice President and Chief Financial Officer, Ira M. Birns, has assumed the responsibilities of principal accounting officer. Mr. Birns will not receive any additional compensation in connection with assuming the responsibilities.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and FD Disclosure</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copy of the Company’s press release announcing the appointment of Mr. Smith is attached hereto as Exhibit 99.1.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Exhibits</w:t>
            </w:r>
          </w:p>
        </w:tc>
        <w:tc>
          <w:tcPr>
            <w:tcW w:w="620" w:type="dxa"/>
            <w:vAlign w:val="bottom"/>
          </w:tcPr>
          <w:p>
            <w:pPr>
              <w:spacing w:after="0"/>
              <w:rPr>
                <w:sz w:val="15"/>
                <w:szCs w:val="15"/>
                <w:color w:val="auto"/>
              </w:rPr>
            </w:pPr>
          </w:p>
        </w:tc>
        <w:tc>
          <w:tcPr>
            <w:tcW w:w="8540" w:type="dxa"/>
            <w:vAlign w:val="bottom"/>
          </w:tcPr>
          <w:p>
            <w:pPr>
              <w:spacing w:after="0"/>
              <w:rPr>
                <w:sz w:val="15"/>
                <w:szCs w:val="15"/>
                <w:color w:val="auto"/>
              </w:rPr>
            </w:pPr>
          </w:p>
        </w:tc>
      </w:tr>
      <w:tr>
        <w:trPr>
          <w:trHeight w:val="336"/>
        </w:trPr>
        <w:tc>
          <w:tcPr>
            <w:tcW w:w="11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w w:val="94"/>
              </w:rPr>
              <w:t>Exhibit No.</w:t>
            </w:r>
          </w:p>
        </w:tc>
        <w:tc>
          <w:tcPr>
            <w:tcW w:w="50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500" w:type="dxa"/>
            <w:vAlign w:val="bottom"/>
          </w:tcPr>
          <w:p>
            <w:pPr>
              <w:spacing w:after="0"/>
              <w:rPr>
                <w:sz w:val="16"/>
                <w:szCs w:val="16"/>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Press Release, dated October 17, 2017.</w:t>
            </w:r>
          </w:p>
        </w:tc>
      </w:tr>
      <w:tr>
        <w:trPr>
          <w:trHeight w:val="356"/>
        </w:trPr>
        <w:tc>
          <w:tcPr>
            <w:tcW w:w="1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r>
        <w:trPr>
          <w:trHeight w:val="20"/>
        </w:trPr>
        <w:tc>
          <w:tcPr>
            <w:tcW w:w="1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5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-38100</wp:posOffset>
            </wp:positionV>
            <wp:extent cx="3175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 cy="5143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-38100</wp:posOffset>
            </wp:positionV>
            <wp:extent cx="3175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51435"/>
                    </a:xfrm>
                    <a:prstGeom prst="rect">
                      <a:avLst/>
                    </a:prstGeom>
                    <a:noFill/>
                  </pic:spPr>
                </pic:pic>
              </a:graphicData>
            </a:graphic>
          </wp:anchor>
        </w:drawing>
      </w:r>
    </w:p>
    <w:p>
      <w:pPr>
        <w:sectPr>
          <w:pgSz w:w="11900" w:h="16838" w:orient="portrait"/>
          <w:cols w:equalWidth="0" w:num="1">
            <w:col w:w="11540"/>
          </w:cols>
          <w:pgMar w:left="220" w:top="115" w:right="1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spacing w:after="0"/>
        <w:tabs>
          <w:tab w:leader="none" w:pos="560" w:val="left"/>
          <w:tab w:leader="none" w:pos="65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October 17, 2017</w:t>
      </w:r>
      <w:r>
        <w:rPr>
          <w:sz w:val="20"/>
          <w:szCs w:val="20"/>
          <w:color w:val="auto"/>
        </w:rPr>
        <w:tab/>
      </w:r>
      <w:r>
        <w:rPr>
          <w:rFonts w:ascii="Times New Roman" w:cs="Times New Roman" w:eastAsia="Times New Roman" w:hAnsi="Times New Roman"/>
          <w:sz w:val="12"/>
          <w:szCs w:val="12"/>
          <w:b w:val="1"/>
          <w:bCs w:val="1"/>
          <w:color w:val="auto"/>
        </w:rPr>
        <w:t>World Fuel Services Corporation</w:t>
      </w:r>
    </w:p>
    <w:p>
      <w:pPr>
        <w:spacing w:after="0" w:line="39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15240</wp:posOffset>
            </wp:positionV>
            <wp:extent cx="239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9030" cy="635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Ira M. Birns,</w:t>
      </w:r>
    </w:p>
    <w:p>
      <w:pPr>
        <w:spacing w:after="0" w:line="2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Executive Vice President and Chief Financial</w:t>
      </w:r>
    </w:p>
    <w:p>
      <w:pPr>
        <w:spacing w:after="0" w:line="2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3063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6310" cy="51435"/>
                    </a:xfrm>
                    <a:prstGeom prst="rect">
                      <a:avLst/>
                    </a:prstGeom>
                    <a:noFill/>
                  </pic:spPr>
                </pic:pic>
              </a:graphicData>
            </a:graphic>
          </wp:anchor>
        </w:drawing>
      </w:r>
    </w:p>
    <w:p>
      <w:pPr>
        <w:sectPr>
          <w:pgSz w:w="11900" w:h="16838" w:orient="portrait"/>
          <w:cols w:equalWidth="0" w:num="1">
            <w:col w:w="11140"/>
          </w:cols>
          <w:pgMar w:left="220" w:top="115" w:right="539" w:bottom="1440" w:gutter="0" w:footer="0" w:header="0"/>
        </w:sectPr>
      </w:pPr>
    </w:p>
    <w:bookmarkStart w:id="3" w:name="page4"/>
    <w:bookmarkEnd w:id="3"/>
    <w:p>
      <w:pPr>
        <w:jc w:val="right"/>
        <w:ind w:right="3899"/>
        <w:spacing w:after="0"/>
        <w:rPr>
          <w:sz w:val="20"/>
          <w:szCs w:val="20"/>
          <w:color w:val="auto"/>
        </w:rPr>
      </w:pPr>
      <w:r>
        <w:rPr>
          <w:rFonts w:ascii="Times New Roman" w:cs="Times New Roman" w:eastAsia="Times New Roman" w:hAnsi="Times New Roman"/>
          <w:sz w:val="16"/>
          <w:szCs w:val="16"/>
          <w:color w:val="auto"/>
        </w:rPr>
        <w:t>EXHIBIT INDEX</w:t>
      </w:r>
    </w:p>
    <w:p>
      <w:pPr>
        <w:spacing w:after="0" w:line="36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69195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9595" cy="6350"/>
                    </a:xfrm>
                    <a:prstGeom prst="rect">
                      <a:avLst/>
                    </a:prstGeom>
                    <a:noFill/>
                  </pic:spPr>
                </pic:pic>
              </a:graphicData>
            </a:graphic>
          </wp:anchor>
        </w:drawing>
      </w:r>
    </w:p>
    <w:p>
      <w:pPr>
        <w:spacing w:after="0" w:line="12" w:lineRule="exact"/>
        <w:rPr>
          <w:sz w:val="20"/>
          <w:szCs w:val="20"/>
          <w:color w:val="auto"/>
        </w:rPr>
      </w:pPr>
    </w:p>
    <w:p>
      <w:pPr>
        <w:spacing w:after="0"/>
        <w:tabs>
          <w:tab w:leader="none" w:pos="1940" w:val="left"/>
        </w:tabs>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4"/>
            <w:szCs w:val="14"/>
            <w:u w:val="single" w:color="auto"/>
            <w:color w:val="0000EE"/>
          </w:rPr>
          <w:t>99.1</w:t>
        </w:r>
      </w:hyperlink>
      <w:r>
        <w:rPr>
          <w:rFonts w:ascii="Times New Roman" w:cs="Times New Roman" w:eastAsia="Times New Roman" w:hAnsi="Times New Roman"/>
          <w:sz w:val="14"/>
          <w:szCs w:val="14"/>
          <w:u w:val="single" w:color="auto"/>
          <w:color w:val="0000EE"/>
        </w:rPr>
        <w:tab/>
      </w:r>
      <w:hyperlink w:anchor="page5">
        <w:r>
          <w:rPr>
            <w:rFonts w:ascii="Times New Roman" w:cs="Times New Roman" w:eastAsia="Times New Roman" w:hAnsi="Times New Roman"/>
            <w:sz w:val="12"/>
            <w:szCs w:val="12"/>
            <w:u w:val="single" w:color="auto"/>
            <w:color w:val="0000EE"/>
          </w:rPr>
          <w:t>Press Release, dated October 17, 2017.</w:t>
        </w:r>
      </w:hyperlink>
    </w:p>
    <w:p>
      <w:pPr>
        <w:sectPr>
          <w:pgSz w:w="11900" w:h="16838" w:orient="portrait"/>
          <w:cols w:equalWidth="0" w:num="1">
            <w:col w:w="10239"/>
          </w:cols>
          <w:pgMar w:left="220" w:top="12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World Fuel Services Corporation Appoints Jeff Smith as Chief Operating Officer</w:t>
      </w:r>
    </w:p>
    <w:p>
      <w:pPr>
        <w:spacing w:after="0" w:line="16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MIAMI--(BUSINESS WIRE)--October 17, 2017--World Fuel Services Corporation (NYSE: INT) today announced the appointment of Jeff Smith as Executive Vice President and Chief Operating Officer of the company.</w:t>
      </w:r>
    </w:p>
    <w:p>
      <w:pPr>
        <w:spacing w:after="0" w:line="11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With more than thirty years of corporate experience, Mr. Smith brings to World Fuel Services extensive operational and management experience in driving global transformation to complex operating models. Mr. Smith most recently served as Chief Information Officer of International Business Machines Corporation (“IBM”) from August 2014 through May 2017, where he was responsible for managing all front and back office systems and support for multiple domains including digital, supply chain, manufacturing, financial, and application services. Mr. Smith has also led both information technology and corporate business strategy in his roles as Chief Information Officer or Chief Executive Officer of large complex organizations in telecommunications, technology and financial services, including Suncorp Business Services, Telstra Corporation and Honeywell.</w:t>
      </w:r>
    </w:p>
    <w:p>
      <w:pPr>
        <w:spacing w:after="0" w:line="32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“We are excited to have Jeff join us to accelerate our digital transformation,” said Michael J. Kasbar, chairman and chief executive officer. “His expertise in bringing agility to business teams will be instrumental in driving improved operational performance to provide an exceptional experience for our customers and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69850</wp:posOffset>
            </wp:positionV>
            <wp:extent cx="73063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6310" cy="51435"/>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auto"/>
        </w:rPr>
        <w:t>Information Relating to Forward-Looking Statements</w:t>
      </w:r>
    </w:p>
    <w:p>
      <w:pPr>
        <w:spacing w:after="0" w:line="16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This release includes forward-looking statements within the meaning of the Private Securities Litigation Reform Act of 1995, including statements regarding our expectations about our digital transformation and driving improved operational performance. These forward-looking statements are qualified in their entirety by cautionary statements and risk factor disclosures contained in the company’s Securities and Exchange Commission (“SEC”) filings, including the company’s Annual Report on Form 10-K filed with the SEC on February 21, 2017. Actual results may differ materially from any forward-looking statements due to risks and uncertainties, including, but not limited to: our ability to effectively leverage technology and operating systems and realize anticipated benefits of digitizing our business, our ability to successfully execute and achieve efficiencies and other benefits related to our transformation initiatives, our ability to integrate and derive benefits from acquired businesses, our ability to capitalize on new market opportunities,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potential liabilities and the extent of any insurance coverage, the outcome of pending litigation and other proceedings,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About World Fuel Services Corporation</w:t>
      </w:r>
    </w:p>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more information, call 305-428-8000 or visit </w:t>
      </w:r>
      <w:r>
        <w:rPr>
          <w:rFonts w:ascii="Times New Roman" w:cs="Times New Roman" w:eastAsia="Times New Roman" w:hAnsi="Times New Roman"/>
          <w:sz w:val="16"/>
          <w:szCs w:val="16"/>
          <w:u w:val="single" w:color="auto"/>
          <w:color w:val="auto"/>
        </w:rPr>
        <w:t>www.wfscorp.com</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World Fuel Services Corporation</w:t>
      </w:r>
    </w:p>
    <w:p>
      <w:pPr>
        <w:spacing w:after="0" w:line="238" w:lineRule="auto"/>
        <w:rPr>
          <w:sz w:val="20"/>
          <w:szCs w:val="20"/>
          <w:color w:val="auto"/>
        </w:rPr>
      </w:pPr>
      <w:r>
        <w:rPr>
          <w:rFonts w:ascii="Times New Roman" w:cs="Times New Roman" w:eastAsia="Times New Roman" w:hAnsi="Times New Roman"/>
          <w:sz w:val="16"/>
          <w:szCs w:val="16"/>
          <w:color w:val="auto"/>
        </w:rPr>
        <w:t>Ira M. Birns, 305-428-8000</w:t>
      </w:r>
    </w:p>
    <w:p>
      <w:pPr>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sectPr>
      <w:pgSz w:w="11900" w:h="16838" w:orient="portrait"/>
      <w:cols w:equalWidth="0" w:num="1">
        <w:col w:w="11460"/>
      </w:cols>
      <w:pgMar w:left="220" w:top="1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2019-12-29T04:09:26Z</dcterms:created>
  <dcterms:modified xsi:type="dcterms:W3CDTF">2019-12-29T04:09:26Z</dcterms:modified>
</cp:coreProperties>
</file>