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255270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4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18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333" w:lineRule="exact"/>
        <w:rPr>
          <w:sz w:val="24"/>
          <w:szCs w:val="24"/>
          <w:color w:val="auto"/>
        </w:rPr>
      </w:pPr>
    </w:p>
    <w:p>
      <w:pPr>
        <w:ind w:left="3300" w:right="1900" w:hanging="3204"/>
        <w:spacing w:after="0" w:line="501" w:lineRule="auto"/>
        <w:tabs>
          <w:tab w:leader="none" w:pos="367"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MARCH 31, 2017</w:t>
      </w:r>
    </w:p>
    <w:p>
      <w:pPr>
        <w:spacing w:after="0" w:line="81" w:lineRule="exact"/>
        <w:rPr>
          <w:sz w:val="24"/>
          <w:szCs w:val="24"/>
          <w:color w:val="auto"/>
        </w:rPr>
      </w:pPr>
    </w:p>
    <w:p>
      <w:pPr>
        <w:ind w:left="380" w:hanging="284"/>
        <w:spacing w:after="0"/>
        <w:tabs>
          <w:tab w:leader="none" w:pos="38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98" w:lineRule="exact"/>
        <w:rPr>
          <w:sz w:val="24"/>
          <w:szCs w:val="24"/>
          <w:color w:val="auto"/>
        </w:rPr>
      </w:pPr>
    </w:p>
    <w:p>
      <w:pPr>
        <w:ind w:left="2940"/>
        <w:spacing w:after="0"/>
        <w:tabs>
          <w:tab w:leader="none" w:pos="72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1-9533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85725</wp:posOffset>
            </wp:positionV>
            <wp:extent cx="1337945" cy="5575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37945" cy="5575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WORLD FUEL SERVICES CORPORATION</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51" w:lineRule="exact"/>
        <w:rPr>
          <w:sz w:val="24"/>
          <w:szCs w:val="24"/>
          <w:color w:val="auto"/>
        </w:rPr>
      </w:pPr>
    </w:p>
    <w:tbl>
      <w:tblPr>
        <w:tblLayout w:type="fixed"/>
        <w:tblInd w:w="1280" w:type="dxa"/>
        <w:tblCellMar>
          <w:top w:w="0" w:type="dxa"/>
          <w:left w:w="0" w:type="dxa"/>
          <w:bottom w:w="0" w:type="dxa"/>
          <w:right w:w="0" w:type="dxa"/>
        </w:tblCellMar>
      </w:tblPr>
      <w:tr>
        <w:trPr>
          <w:trHeight w:val="220"/>
        </w:trPr>
        <w:tc>
          <w:tcPr>
            <w:tcW w:w="4840" w:type="dxa"/>
            <w:vAlign w:val="bottom"/>
          </w:tcPr>
          <w:p>
            <w:pPr>
              <w:jc w:val="center"/>
              <w:ind w:right="1810"/>
              <w:spacing w:after="0"/>
              <w:rPr>
                <w:sz w:val="20"/>
                <w:szCs w:val="20"/>
                <w:color w:val="auto"/>
              </w:rPr>
            </w:pPr>
            <w:r>
              <w:rPr>
                <w:rFonts w:ascii="Arial" w:cs="Arial" w:eastAsia="Arial" w:hAnsi="Arial"/>
                <w:sz w:val="18"/>
                <w:szCs w:val="18"/>
                <w:b w:val="1"/>
                <w:bCs w:val="1"/>
                <w:color w:val="auto"/>
                <w:w w:val="96"/>
              </w:rPr>
              <w:t>Florida</w:t>
            </w:r>
          </w:p>
        </w:tc>
        <w:tc>
          <w:tcPr>
            <w:tcW w:w="3240" w:type="dxa"/>
            <w:vAlign w:val="bottom"/>
          </w:tcPr>
          <w:p>
            <w:pPr>
              <w:jc w:val="right"/>
              <w:ind w:right="150"/>
              <w:spacing w:after="0"/>
              <w:rPr>
                <w:sz w:val="20"/>
                <w:szCs w:val="20"/>
                <w:color w:val="auto"/>
              </w:rPr>
            </w:pPr>
            <w:r>
              <w:rPr>
                <w:rFonts w:ascii="Arial" w:cs="Arial" w:eastAsia="Arial" w:hAnsi="Arial"/>
                <w:sz w:val="18"/>
                <w:szCs w:val="18"/>
                <w:b w:val="1"/>
                <w:bCs w:val="1"/>
                <w:color w:val="auto"/>
              </w:rPr>
              <w:t>59-2459427</w:t>
            </w:r>
          </w:p>
        </w:tc>
      </w:tr>
      <w:tr>
        <w:trPr>
          <w:trHeight w:val="216"/>
        </w:trPr>
        <w:tc>
          <w:tcPr>
            <w:tcW w:w="4840" w:type="dxa"/>
            <w:vAlign w:val="bottom"/>
          </w:tcPr>
          <w:p>
            <w:pPr>
              <w:jc w:val="center"/>
              <w:ind w:right="1810"/>
              <w:spacing w:after="0"/>
              <w:rPr>
                <w:sz w:val="20"/>
                <w:szCs w:val="20"/>
                <w:color w:val="auto"/>
              </w:rPr>
            </w:pPr>
            <w:r>
              <w:rPr>
                <w:rFonts w:ascii="Arial" w:cs="Arial" w:eastAsia="Arial" w:hAnsi="Arial"/>
                <w:sz w:val="18"/>
                <w:szCs w:val="18"/>
                <w:color w:val="auto"/>
                <w:w w:val="93"/>
              </w:rPr>
              <w:t>(State or other jurisdiction of</w:t>
            </w:r>
          </w:p>
        </w:tc>
        <w:tc>
          <w:tcPr>
            <w:tcW w:w="3240" w:type="dxa"/>
            <w:vAlign w:val="bottom"/>
          </w:tcPr>
          <w:p>
            <w:pPr>
              <w:jc w:val="center"/>
              <w:ind w:left="1810"/>
              <w:spacing w:after="0"/>
              <w:rPr>
                <w:sz w:val="20"/>
                <w:szCs w:val="20"/>
                <w:color w:val="auto"/>
              </w:rPr>
            </w:pPr>
            <w:r>
              <w:rPr>
                <w:rFonts w:ascii="Arial" w:cs="Arial" w:eastAsia="Arial" w:hAnsi="Arial"/>
                <w:sz w:val="18"/>
                <w:szCs w:val="18"/>
                <w:color w:val="auto"/>
                <w:w w:val="92"/>
              </w:rPr>
              <w:t>(I.R.S. Employer</w:t>
            </w:r>
          </w:p>
        </w:tc>
      </w:tr>
      <w:tr>
        <w:trPr>
          <w:trHeight w:val="230"/>
        </w:trPr>
        <w:tc>
          <w:tcPr>
            <w:tcW w:w="4840" w:type="dxa"/>
            <w:vAlign w:val="bottom"/>
          </w:tcPr>
          <w:p>
            <w:pPr>
              <w:jc w:val="center"/>
              <w:ind w:right="1810"/>
              <w:spacing w:after="0"/>
              <w:rPr>
                <w:sz w:val="20"/>
                <w:szCs w:val="20"/>
                <w:color w:val="auto"/>
              </w:rPr>
            </w:pPr>
            <w:r>
              <w:rPr>
                <w:rFonts w:ascii="Arial" w:cs="Arial" w:eastAsia="Arial" w:hAnsi="Arial"/>
                <w:sz w:val="18"/>
                <w:szCs w:val="18"/>
                <w:color w:val="auto"/>
                <w:w w:val="93"/>
              </w:rPr>
              <w:t>incorporation or organization)</w:t>
            </w:r>
          </w:p>
        </w:tc>
        <w:tc>
          <w:tcPr>
            <w:tcW w:w="3240" w:type="dxa"/>
            <w:vAlign w:val="bottom"/>
          </w:tcPr>
          <w:p>
            <w:pPr>
              <w:jc w:val="center"/>
              <w:ind w:left="1810"/>
              <w:spacing w:after="0"/>
              <w:rPr>
                <w:sz w:val="20"/>
                <w:szCs w:val="20"/>
                <w:color w:val="auto"/>
              </w:rPr>
            </w:pPr>
            <w:r>
              <w:rPr>
                <w:rFonts w:ascii="Arial" w:cs="Arial" w:eastAsia="Arial" w:hAnsi="Arial"/>
                <w:sz w:val="18"/>
                <w:szCs w:val="18"/>
                <w:color w:val="auto"/>
                <w:w w:val="95"/>
              </w:rPr>
              <w:t>Identification No.)</w:t>
            </w:r>
          </w:p>
        </w:tc>
      </w:tr>
      <w:tr>
        <w:trPr>
          <w:trHeight w:val="522"/>
        </w:trPr>
        <w:tc>
          <w:tcPr>
            <w:tcW w:w="4840" w:type="dxa"/>
            <w:vAlign w:val="bottom"/>
          </w:tcPr>
          <w:p>
            <w:pPr>
              <w:jc w:val="center"/>
              <w:ind w:right="1810"/>
              <w:spacing w:after="0"/>
              <w:rPr>
                <w:sz w:val="20"/>
                <w:szCs w:val="20"/>
                <w:color w:val="auto"/>
              </w:rPr>
            </w:pPr>
            <w:r>
              <w:rPr>
                <w:rFonts w:ascii="Arial" w:cs="Arial" w:eastAsia="Arial" w:hAnsi="Arial"/>
                <w:sz w:val="18"/>
                <w:szCs w:val="18"/>
                <w:b w:val="1"/>
                <w:bCs w:val="1"/>
                <w:color w:val="auto"/>
                <w:w w:val="91"/>
              </w:rPr>
              <w:t>9800 N.W. 41</w:t>
            </w:r>
            <w:r>
              <w:rPr>
                <w:rFonts w:ascii="Arial" w:cs="Arial" w:eastAsia="Arial" w:hAnsi="Arial"/>
                <w:sz w:val="12"/>
                <w:szCs w:val="12"/>
                <w:b w:val="1"/>
                <w:bCs w:val="1"/>
                <w:color w:val="auto"/>
                <w:w w:val="91"/>
              </w:rPr>
              <w:t>st</w:t>
            </w:r>
            <w:r>
              <w:rPr>
                <w:rFonts w:ascii="Arial" w:cs="Arial" w:eastAsia="Arial" w:hAnsi="Arial"/>
                <w:sz w:val="18"/>
                <w:szCs w:val="18"/>
                <w:b w:val="1"/>
                <w:bCs w:val="1"/>
                <w:color w:val="auto"/>
                <w:w w:val="91"/>
              </w:rPr>
              <w:t xml:space="preserve"> Street</w:t>
            </w:r>
          </w:p>
        </w:tc>
        <w:tc>
          <w:tcPr>
            <w:tcW w:w="3240" w:type="dxa"/>
            <w:vAlign w:val="bottom"/>
          </w:tcPr>
          <w:p>
            <w:pPr>
              <w:spacing w:after="0"/>
              <w:rPr>
                <w:sz w:val="24"/>
                <w:szCs w:val="24"/>
                <w:color w:val="auto"/>
              </w:rPr>
            </w:pPr>
          </w:p>
        </w:tc>
      </w:tr>
      <w:tr>
        <w:trPr>
          <w:trHeight w:val="220"/>
        </w:trPr>
        <w:tc>
          <w:tcPr>
            <w:tcW w:w="4840" w:type="dxa"/>
            <w:vAlign w:val="bottom"/>
          </w:tcPr>
          <w:p>
            <w:pPr>
              <w:jc w:val="center"/>
              <w:ind w:right="1810"/>
              <w:spacing w:after="0"/>
              <w:rPr>
                <w:sz w:val="20"/>
                <w:szCs w:val="20"/>
                <w:color w:val="auto"/>
              </w:rPr>
            </w:pPr>
            <w:r>
              <w:rPr>
                <w:rFonts w:ascii="Arial" w:cs="Arial" w:eastAsia="Arial" w:hAnsi="Arial"/>
                <w:sz w:val="18"/>
                <w:szCs w:val="18"/>
                <w:b w:val="1"/>
                <w:bCs w:val="1"/>
                <w:color w:val="auto"/>
                <w:w w:val="97"/>
              </w:rPr>
              <w:t>Miami, Florida</w:t>
            </w:r>
          </w:p>
        </w:tc>
        <w:tc>
          <w:tcPr>
            <w:tcW w:w="3240" w:type="dxa"/>
            <w:vAlign w:val="bottom"/>
          </w:tcPr>
          <w:p>
            <w:pPr>
              <w:jc w:val="right"/>
              <w:ind w:right="350"/>
              <w:spacing w:after="0"/>
              <w:rPr>
                <w:sz w:val="20"/>
                <w:szCs w:val="20"/>
                <w:color w:val="auto"/>
              </w:rPr>
            </w:pPr>
            <w:r>
              <w:rPr>
                <w:rFonts w:ascii="Arial" w:cs="Arial" w:eastAsia="Arial" w:hAnsi="Arial"/>
                <w:sz w:val="18"/>
                <w:szCs w:val="18"/>
                <w:b w:val="1"/>
                <w:bCs w:val="1"/>
                <w:color w:val="auto"/>
              </w:rPr>
              <w:t>33178</w:t>
            </w:r>
          </w:p>
        </w:tc>
      </w:tr>
      <w:tr>
        <w:trPr>
          <w:trHeight w:val="230"/>
        </w:trPr>
        <w:tc>
          <w:tcPr>
            <w:tcW w:w="4840" w:type="dxa"/>
            <w:vAlign w:val="bottom"/>
          </w:tcPr>
          <w:p>
            <w:pPr>
              <w:jc w:val="center"/>
              <w:ind w:right="1810"/>
              <w:spacing w:after="0"/>
              <w:rPr>
                <w:sz w:val="20"/>
                <w:szCs w:val="20"/>
                <w:color w:val="auto"/>
              </w:rPr>
            </w:pPr>
            <w:r>
              <w:rPr>
                <w:rFonts w:ascii="Arial" w:cs="Arial" w:eastAsia="Arial" w:hAnsi="Arial"/>
                <w:sz w:val="18"/>
                <w:szCs w:val="18"/>
                <w:color w:val="auto"/>
                <w:w w:val="92"/>
              </w:rPr>
              <w:t>(Address of Principal Executive Offices)</w:t>
            </w:r>
          </w:p>
        </w:tc>
        <w:tc>
          <w:tcPr>
            <w:tcW w:w="3240" w:type="dxa"/>
            <w:vAlign w:val="bottom"/>
          </w:tcPr>
          <w:p>
            <w:pPr>
              <w:jc w:val="center"/>
              <w:ind w:left="1790"/>
              <w:spacing w:after="0"/>
              <w:rPr>
                <w:sz w:val="20"/>
                <w:szCs w:val="20"/>
                <w:color w:val="auto"/>
              </w:rPr>
            </w:pPr>
            <w:r>
              <w:rPr>
                <w:rFonts w:ascii="Arial" w:cs="Arial" w:eastAsia="Arial" w:hAnsi="Arial"/>
                <w:sz w:val="18"/>
                <w:szCs w:val="18"/>
                <w:color w:val="auto"/>
                <w:w w:val="94"/>
              </w:rPr>
              <w:t>(Zip Code)</w:t>
            </w:r>
          </w:p>
        </w:tc>
      </w:tr>
    </w:tbl>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(305) 428-8000</w:t>
      </w:r>
    </w:p>
    <w:p>
      <w:pPr>
        <w:spacing w:after="0" w:line="175" w:lineRule="exact"/>
        <w:rPr>
          <w:sz w:val="24"/>
          <w:szCs w:val="24"/>
          <w:color w:val="auto"/>
        </w:rPr>
      </w:pPr>
    </w:p>
    <w:p>
      <w:pPr>
        <w:jc w:val="both"/>
        <w:ind w:firstLine="243"/>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jc w:val="both"/>
        <w:ind w:firstLine="243"/>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jc w:val="both"/>
        <w:ind w:firstLine="243"/>
        <w:spacing w:after="0" w:line="227" w:lineRule="exact"/>
        <w:rPr>
          <w:sz w:val="20"/>
          <w:szCs w:val="20"/>
          <w:color w:val="auto"/>
        </w:rPr>
      </w:pPr>
      <w:r>
        <w:rPr>
          <w:rFonts w:ascii="Arial" w:cs="Arial" w:eastAsia="Arial" w:hAnsi="Arial"/>
          <w:sz w:val="18"/>
          <w:szCs w:val="18"/>
          <w:color w:val="auto"/>
        </w:rPr>
        <w:t xml:space="preserve">Indicate by check mark whether the registrant is a large accelerated filer, an accelerated filer, a non-accelerated filer, or a smaller reporting company. See the definitions of “large accelerated filer”, “accelerated filer” and “smaller reporting company” in Rule 12b-2 of the Exchange Act. Large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Non-accelerated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Smaller reporting company </w:t>
      </w:r>
      <w:r>
        <w:rPr>
          <w:rFonts w:ascii="MS PGothic" w:cs="MS PGothic" w:eastAsia="MS PGothic" w:hAnsi="MS PGothic"/>
          <w:sz w:val="18"/>
          <w:szCs w:val="18"/>
          <w:color w:val="auto"/>
        </w:rPr>
        <w:t>☐</w:t>
      </w:r>
      <w:r>
        <w:rPr>
          <w:rFonts w:ascii="Arial" w:cs="Arial" w:eastAsia="Arial" w:hAnsi="Arial"/>
          <w:sz w:val="18"/>
          <w:szCs w:val="18"/>
          <w:color w:val="auto"/>
        </w:rPr>
        <w:t xml:space="preserve"> Emerging growth company </w:t>
      </w:r>
      <w:r>
        <w:rPr>
          <w:rFonts w:ascii="MS PGothic" w:cs="MS PGothic" w:eastAsia="MS PGothic" w:hAnsi="MS PGothic"/>
          <w:sz w:val="18"/>
          <w:szCs w:val="18"/>
          <w:color w:val="auto"/>
        </w:rPr>
        <w:t>☐</w:t>
      </w:r>
    </w:p>
    <w:p>
      <w:pPr>
        <w:spacing w:after="0" w:line="130" w:lineRule="exact"/>
        <w:rPr>
          <w:sz w:val="24"/>
          <w:szCs w:val="24"/>
          <w:color w:val="auto"/>
        </w:rPr>
      </w:pPr>
    </w:p>
    <w:p>
      <w:pPr>
        <w:ind w:right="100" w:firstLine="243"/>
        <w:spacing w:after="0" w:line="22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 w:lineRule="exact"/>
        <w:rPr>
          <w:sz w:val="24"/>
          <w:szCs w:val="24"/>
          <w:color w:val="auto"/>
        </w:rPr>
      </w:pPr>
    </w:p>
    <w:p>
      <w:pPr>
        <w:ind w:left="26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62" w:lineRule="exact"/>
        <w:rPr>
          <w:sz w:val="24"/>
          <w:szCs w:val="24"/>
          <w:color w:val="auto"/>
        </w:rPr>
      </w:pPr>
    </w:p>
    <w:p>
      <w:pPr>
        <w:ind w:left="260"/>
        <w:spacing w:after="0"/>
        <w:rPr>
          <w:sz w:val="20"/>
          <w:szCs w:val="20"/>
          <w:color w:val="auto"/>
        </w:rPr>
      </w:pPr>
      <w:r>
        <w:rPr>
          <w:rFonts w:ascii="Arial" w:cs="Arial" w:eastAsia="Arial" w:hAnsi="Arial"/>
          <w:sz w:val="18"/>
          <w:szCs w:val="18"/>
          <w:color w:val="auto"/>
        </w:rPr>
        <w:t>The registrant had a total of 69,062,486 shares of common stock, par value $0.01 per share, issued and outstanding as of April 20,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760" w:type="dxa"/>
            <w:vAlign w:val="bottom"/>
            <w:gridSpan w:val="8"/>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480"/>
        </w:trPr>
        <w:tc>
          <w:tcPr>
            <w:tcW w:w="4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0" w:type="dxa"/>
            <w:vAlign w:val="bottom"/>
            <w:gridSpan w:val="9"/>
          </w:tcPr>
          <w:p>
            <w:pPr>
              <w:ind w:left="860"/>
              <w:spacing w:after="0"/>
              <w:rPr>
                <w:sz w:val="20"/>
                <w:szCs w:val="20"/>
                <w:color w:val="auto"/>
              </w:rPr>
            </w:pPr>
            <w:r>
              <w:rPr>
                <w:rFonts w:ascii="Arial" w:cs="Arial" w:eastAsia="Arial" w:hAnsi="Arial"/>
                <w:sz w:val="18"/>
                <w:szCs w:val="18"/>
                <w:b w:val="1"/>
                <w:bCs w:val="1"/>
                <w:color w:val="auto"/>
              </w:rPr>
              <w:t>Table of Contents</w:t>
            </w:r>
          </w:p>
        </w:tc>
        <w:tc>
          <w:tcPr>
            <w:tcW w:w="620" w:type="dxa"/>
            <w:vAlign w:val="bottom"/>
          </w:tcPr>
          <w:p>
            <w:pPr>
              <w:spacing w:after="0"/>
              <w:rPr>
                <w:sz w:val="24"/>
                <w:szCs w:val="24"/>
                <w:color w:val="auto"/>
              </w:rPr>
            </w:pPr>
          </w:p>
        </w:tc>
      </w:tr>
      <w:tr>
        <w:trPr>
          <w:trHeight w:val="554"/>
        </w:trPr>
        <w:tc>
          <w:tcPr>
            <w:tcW w:w="40" w:type="dxa"/>
            <w:vAlign w:val="bottom"/>
          </w:tcPr>
          <w:p>
            <w:pPr>
              <w:spacing w:after="0"/>
              <w:rPr>
                <w:sz w:val="24"/>
                <w:szCs w:val="24"/>
                <w:color w:val="auto"/>
              </w:rPr>
            </w:pPr>
          </w:p>
        </w:tc>
        <w:tc>
          <w:tcPr>
            <w:tcW w:w="440" w:type="dxa"/>
            <w:vAlign w:val="bottom"/>
            <w:tcBorders>
              <w:bottom w:val="single" w:sz="8" w:color="0000EE"/>
            </w:tcBorders>
          </w:tcPr>
          <w:p>
            <w:pPr>
              <w:spacing w:after="0"/>
              <w:rPr>
                <w:rFonts w:ascii="Arial" w:cs="Arial" w:eastAsia="Arial" w:hAnsi="Arial"/>
                <w:sz w:val="18"/>
                <w:szCs w:val="18"/>
                <w:color w:val="0000EE"/>
                <w:w w:val="87"/>
              </w:rPr>
            </w:pPr>
            <w:hyperlink w:anchor="page3">
              <w:r>
                <w:rPr>
                  <w:rFonts w:ascii="Arial" w:cs="Arial" w:eastAsia="Arial" w:hAnsi="Arial"/>
                  <w:sz w:val="18"/>
                  <w:szCs w:val="18"/>
                  <w:color w:val="0000EE"/>
                  <w:w w:val="87"/>
                </w:rPr>
                <w:t>Part I.</w:t>
              </w:r>
            </w:hyperlink>
          </w:p>
        </w:tc>
        <w:tc>
          <w:tcPr>
            <w:tcW w:w="360" w:type="dxa"/>
            <w:vAlign w:val="bottom"/>
            <w:gridSpan w:val="3"/>
          </w:tcPr>
          <w:p>
            <w:pPr>
              <w:spacing w:after="0"/>
              <w:rPr>
                <w:sz w:val="24"/>
                <w:szCs w:val="24"/>
                <w:color w:val="auto"/>
              </w:rPr>
            </w:pPr>
          </w:p>
        </w:tc>
        <w:tc>
          <w:tcPr>
            <w:tcW w:w="1580" w:type="dxa"/>
            <w:vAlign w:val="bottom"/>
            <w:tcBorders>
              <w:bottom w:val="single" w:sz="8" w:color="0000EE"/>
            </w:tcBorders>
            <w:gridSpan w:val="6"/>
          </w:tcPr>
          <w:p>
            <w:pPr>
              <w:spacing w:after="0"/>
              <w:rPr>
                <w:rFonts w:ascii="Arial" w:cs="Arial" w:eastAsia="Arial" w:hAnsi="Arial"/>
                <w:sz w:val="18"/>
                <w:szCs w:val="18"/>
                <w:color w:val="0000EE"/>
                <w:w w:val="93"/>
              </w:rPr>
            </w:pPr>
            <w:hyperlink w:anchor="page3">
              <w:r>
                <w:rPr>
                  <w:rFonts w:ascii="Arial" w:cs="Arial" w:eastAsia="Arial" w:hAnsi="Arial"/>
                  <w:sz w:val="18"/>
                  <w:szCs w:val="18"/>
                  <w:color w:val="0000EE"/>
                  <w:w w:val="93"/>
                </w:rPr>
                <w:t>Financial Information</w:t>
              </w:r>
            </w:hyperlink>
          </w:p>
        </w:tc>
        <w:tc>
          <w:tcPr>
            <w:tcW w:w="8360" w:type="dxa"/>
            <w:vAlign w:val="bottom"/>
            <w:gridSpan w:val="12"/>
          </w:tcPr>
          <w:p>
            <w:pPr>
              <w:spacing w:after="0"/>
              <w:rPr>
                <w:sz w:val="24"/>
                <w:szCs w:val="24"/>
                <w:color w:val="auto"/>
              </w:rPr>
            </w:pPr>
          </w:p>
        </w:tc>
        <w:tc>
          <w:tcPr>
            <w:tcW w:w="620" w:type="dxa"/>
            <w:vAlign w:val="bottom"/>
          </w:tcPr>
          <w:p>
            <w:pPr>
              <w:spacing w:after="0"/>
              <w:rPr>
                <w:sz w:val="24"/>
                <w:szCs w:val="24"/>
                <w:color w:val="auto"/>
              </w:rPr>
            </w:pPr>
          </w:p>
        </w:tc>
      </w:tr>
      <w:tr>
        <w:trPr>
          <w:trHeight w:val="520"/>
        </w:trPr>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gridSpan w:val="2"/>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Item 1.</w:t>
              </w:r>
            </w:hyperlink>
          </w:p>
        </w:tc>
        <w:tc>
          <w:tcPr>
            <w:tcW w:w="400" w:type="dxa"/>
            <w:vAlign w:val="bottom"/>
          </w:tcPr>
          <w:p>
            <w:pPr>
              <w:spacing w:after="0"/>
              <w:rPr>
                <w:sz w:val="24"/>
                <w:szCs w:val="24"/>
                <w:color w:val="auto"/>
              </w:rPr>
            </w:pPr>
          </w:p>
        </w:tc>
        <w:tc>
          <w:tcPr>
            <w:tcW w:w="9020" w:type="dxa"/>
            <w:vAlign w:val="bottom"/>
            <w:gridSpan w:val="15"/>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 (Unaudited)</w:t>
              </w:r>
            </w:hyperlink>
          </w:p>
        </w:tc>
        <w:tc>
          <w:tcPr>
            <w:tcW w:w="62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44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Consolidated Balance Sheets as of March 31, 2017 and December 31, 2016</w:t>
              </w:r>
            </w:hyperlink>
          </w:p>
        </w:tc>
        <w:tc>
          <w:tcPr>
            <w:tcW w:w="3580" w:type="dxa"/>
            <w:vAlign w:val="bottom"/>
            <w:gridSpan w:val="5"/>
          </w:tcPr>
          <w:p>
            <w:pPr>
              <w:spacing w:after="0"/>
              <w:rPr>
                <w:sz w:val="21"/>
                <w:szCs w:val="21"/>
                <w:color w:val="auto"/>
              </w:rPr>
            </w:pPr>
          </w:p>
        </w:tc>
        <w:tc>
          <w:tcPr>
            <w:tcW w:w="62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1</w:t>
              </w:r>
            </w:hyperlink>
          </w:p>
        </w:tc>
      </w:tr>
      <w:tr>
        <w:trPr>
          <w:trHeight w:val="250"/>
        </w:trPr>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020" w:type="dxa"/>
            <w:vAlign w:val="bottom"/>
            <w:gridSpan w:val="15"/>
          </w:tcPr>
          <w:p>
            <w:pPr>
              <w:spacing w:after="0"/>
              <w:rPr>
                <w:rFonts w:ascii="Arial" w:cs="Arial" w:eastAsia="Arial" w:hAnsi="Arial"/>
                <w:sz w:val="18"/>
                <w:szCs w:val="18"/>
                <w:color w:val="0000EE"/>
                <w:w w:val="94"/>
              </w:rPr>
            </w:pPr>
            <w:hyperlink w:anchor="page4">
              <w:r>
                <w:rPr>
                  <w:rFonts w:ascii="Arial" w:cs="Arial" w:eastAsia="Arial" w:hAnsi="Arial"/>
                  <w:sz w:val="18"/>
                  <w:szCs w:val="18"/>
                  <w:color w:val="0000EE"/>
                  <w:w w:val="94"/>
                </w:rPr>
                <w:t>Consolidated Statements of Income and Comprehensive Income for the Three Months ended March 31, 2017 and 2016</w:t>
              </w:r>
            </w:hyperlink>
          </w:p>
        </w:tc>
        <w:tc>
          <w:tcPr>
            <w:tcW w:w="620" w:type="dxa"/>
            <w:vAlign w:val="bottom"/>
          </w:tcPr>
          <w:p>
            <w:pPr>
              <w:jc w:val="right"/>
              <w:spacing w:after="0"/>
              <w:rPr>
                <w:rFonts w:ascii="Arial" w:cs="Arial" w:eastAsia="Arial" w:hAnsi="Arial"/>
                <w:sz w:val="18"/>
                <w:szCs w:val="18"/>
                <w:color w:val="auto"/>
              </w:rPr>
            </w:pPr>
            <w:hyperlink w:anchor="page4">
              <w:r>
                <w:rPr>
                  <w:rFonts w:ascii="Arial" w:cs="Arial" w:eastAsia="Arial" w:hAnsi="Arial"/>
                  <w:sz w:val="18"/>
                  <w:szCs w:val="18"/>
                  <w:color w:val="auto"/>
                </w:rPr>
                <w:t>2</w:t>
              </w:r>
            </w:hyperlink>
          </w:p>
        </w:tc>
      </w:tr>
      <w:tr>
        <w:trPr>
          <w:trHeight w:val="250"/>
        </w:trPr>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580" w:type="dxa"/>
            <w:vAlign w:val="bottom"/>
            <w:tcBorders>
              <w:top w:val="single" w:sz="8" w:color="0000EE"/>
            </w:tcBorders>
            <w:gridSpan w:val="14"/>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Consolidated Statements of Shareholders’ Equity for the Three Months ended March 31, 2017 and 2016</w:t>
              </w:r>
            </w:hyperlink>
          </w:p>
        </w:tc>
        <w:tc>
          <w:tcPr>
            <w:tcW w:w="440" w:type="dxa"/>
            <w:vAlign w:val="bottom"/>
          </w:tcPr>
          <w:p>
            <w:pPr>
              <w:spacing w:after="0"/>
              <w:rPr>
                <w:sz w:val="21"/>
                <w:szCs w:val="21"/>
                <w:color w:val="auto"/>
              </w:rPr>
            </w:pPr>
          </w:p>
        </w:tc>
        <w:tc>
          <w:tcPr>
            <w:tcW w:w="620" w:type="dxa"/>
            <w:vAlign w:val="bottom"/>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3</w:t>
              </w:r>
            </w:hyperlink>
          </w:p>
        </w:tc>
      </w:tr>
      <w:tr>
        <w:trPr>
          <w:trHeight w:val="250"/>
        </w:trPr>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500" w:type="dxa"/>
            <w:vAlign w:val="bottom"/>
            <w:tcBorders>
              <w:top w:val="single" w:sz="8" w:color="0000EE"/>
            </w:tcBorders>
            <w:gridSpan w:val="13"/>
          </w:tcPr>
          <w:p>
            <w:pPr>
              <w:spacing w:after="0"/>
              <w:rPr>
                <w:rFonts w:ascii="Arial" w:cs="Arial" w:eastAsia="Arial" w:hAnsi="Arial"/>
                <w:sz w:val="18"/>
                <w:szCs w:val="18"/>
                <w:color w:val="0000EE"/>
                <w:w w:val="98"/>
              </w:rPr>
            </w:pPr>
            <w:hyperlink w:anchor="page6">
              <w:r>
                <w:rPr>
                  <w:rFonts w:ascii="Arial" w:cs="Arial" w:eastAsia="Arial" w:hAnsi="Arial"/>
                  <w:sz w:val="18"/>
                  <w:szCs w:val="18"/>
                  <w:color w:val="0000EE"/>
                  <w:w w:val="98"/>
                </w:rPr>
                <w:t>Consolidated Statements of Cash Flows for the Three Months ended March 31, 2017 and 2016</w:t>
              </w:r>
            </w:hyperlink>
          </w:p>
        </w:tc>
        <w:tc>
          <w:tcPr>
            <w:tcW w:w="1520" w:type="dxa"/>
            <w:vAlign w:val="bottom"/>
            <w:gridSpan w:val="2"/>
          </w:tcPr>
          <w:p>
            <w:pPr>
              <w:spacing w:after="0"/>
              <w:rPr>
                <w:sz w:val="21"/>
                <w:szCs w:val="21"/>
                <w:color w:val="auto"/>
              </w:rPr>
            </w:pPr>
          </w:p>
        </w:tc>
        <w:tc>
          <w:tcPr>
            <w:tcW w:w="620" w:type="dxa"/>
            <w:vAlign w:val="bottom"/>
          </w:tcPr>
          <w:p>
            <w:pPr>
              <w:jc w:val="right"/>
              <w:spacing w:after="0"/>
              <w:rPr>
                <w:rFonts w:ascii="Arial" w:cs="Arial" w:eastAsia="Arial" w:hAnsi="Arial"/>
                <w:sz w:val="18"/>
                <w:szCs w:val="18"/>
                <w:color w:val="auto"/>
              </w:rPr>
            </w:pPr>
            <w:hyperlink w:anchor="page6">
              <w:r>
                <w:rPr>
                  <w:rFonts w:ascii="Arial" w:cs="Arial" w:eastAsia="Arial" w:hAnsi="Arial"/>
                  <w:sz w:val="18"/>
                  <w:szCs w:val="18"/>
                  <w:color w:val="auto"/>
                </w:rPr>
                <w:t>4</w:t>
              </w:r>
            </w:hyperlink>
          </w:p>
        </w:tc>
      </w:tr>
      <w:tr>
        <w:trPr>
          <w:trHeight w:val="250"/>
        </w:trPr>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42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9"/>
              </w:rPr>
            </w:pPr>
            <w:hyperlink w:anchor="page8">
              <w:r>
                <w:rPr>
                  <w:rFonts w:ascii="Arial" w:cs="Arial" w:eastAsia="Arial" w:hAnsi="Arial"/>
                  <w:sz w:val="18"/>
                  <w:szCs w:val="18"/>
                  <w:color w:val="0000EE"/>
                  <w:w w:val="89"/>
                </w:rPr>
                <w:t>Notes to the Consolidated Financial Statements</w:t>
              </w:r>
            </w:hyperlink>
          </w:p>
        </w:tc>
        <w:tc>
          <w:tcPr>
            <w:tcW w:w="3400" w:type="dxa"/>
            <w:vAlign w:val="bottom"/>
            <w:tcBorders>
              <w:top w:val="single" w:sz="8" w:color="0000EE"/>
            </w:tcBorders>
            <w:gridSpan w:val="5"/>
          </w:tcPr>
          <w:p>
            <w:pPr>
              <w:spacing w:after="0"/>
              <w:rPr>
                <w:sz w:val="21"/>
                <w:szCs w:val="21"/>
                <w:color w:val="auto"/>
              </w:rPr>
            </w:pPr>
          </w:p>
        </w:tc>
        <w:tc>
          <w:tcPr>
            <w:tcW w:w="2200" w:type="dxa"/>
            <w:vAlign w:val="bottom"/>
            <w:gridSpan w:val="3"/>
          </w:tcPr>
          <w:p>
            <w:pPr>
              <w:spacing w:after="0"/>
              <w:rPr>
                <w:sz w:val="21"/>
                <w:szCs w:val="21"/>
                <w:color w:val="auto"/>
              </w:rPr>
            </w:pPr>
          </w:p>
        </w:tc>
        <w:tc>
          <w:tcPr>
            <w:tcW w:w="620" w:type="dxa"/>
            <w:vAlign w:val="bottom"/>
          </w:tcPr>
          <w:p>
            <w:pPr>
              <w:jc w:val="right"/>
              <w:spacing w:after="0"/>
              <w:rPr>
                <w:rFonts w:ascii="Arial" w:cs="Arial" w:eastAsia="Arial" w:hAnsi="Arial"/>
                <w:sz w:val="18"/>
                <w:szCs w:val="18"/>
                <w:color w:val="auto"/>
              </w:rPr>
            </w:pPr>
            <w:hyperlink w:anchor="page8">
              <w:r>
                <w:rPr>
                  <w:rFonts w:ascii="Arial" w:cs="Arial" w:eastAsia="Arial" w:hAnsi="Arial"/>
                  <w:sz w:val="18"/>
                  <w:szCs w:val="18"/>
                  <w:color w:val="auto"/>
                </w:rPr>
                <w:t>6</w:t>
              </w:r>
            </w:hyperlink>
          </w:p>
        </w:tc>
      </w:tr>
      <w:tr>
        <w:trPr>
          <w:trHeight w:val="520"/>
        </w:trPr>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gridSpan w:val="2"/>
          </w:tcPr>
          <w:p>
            <w:pPr>
              <w:spacing w:after="0"/>
              <w:rPr>
                <w:rFonts w:ascii="Arial" w:cs="Arial" w:eastAsia="Arial" w:hAnsi="Arial"/>
                <w:sz w:val="18"/>
                <w:szCs w:val="18"/>
                <w:color w:val="0000EE"/>
                <w:w w:val="90"/>
              </w:rPr>
            </w:pPr>
            <w:hyperlink w:anchor="page21">
              <w:r>
                <w:rPr>
                  <w:rFonts w:ascii="Arial" w:cs="Arial" w:eastAsia="Arial" w:hAnsi="Arial"/>
                  <w:sz w:val="18"/>
                  <w:szCs w:val="18"/>
                  <w:color w:val="0000EE"/>
                  <w:w w:val="90"/>
                </w:rPr>
                <w:t>Item 2.</w:t>
              </w:r>
            </w:hyperlink>
          </w:p>
        </w:tc>
        <w:tc>
          <w:tcPr>
            <w:tcW w:w="400" w:type="dxa"/>
            <w:vAlign w:val="bottom"/>
          </w:tcPr>
          <w:p>
            <w:pPr>
              <w:spacing w:after="0"/>
              <w:rPr>
                <w:sz w:val="24"/>
                <w:szCs w:val="24"/>
                <w:color w:val="auto"/>
              </w:rPr>
            </w:pPr>
          </w:p>
        </w:tc>
        <w:tc>
          <w:tcPr>
            <w:tcW w:w="9020" w:type="dxa"/>
            <w:vAlign w:val="bottom"/>
            <w:gridSpan w:val="15"/>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Management’s Discussion and Analysis of Financial Condition and Results of Operations</w:t>
              </w:r>
            </w:hyperlink>
          </w:p>
        </w:tc>
        <w:tc>
          <w:tcPr>
            <w:tcW w:w="620" w:type="dxa"/>
            <w:vAlign w:val="bottom"/>
          </w:tcPr>
          <w:p>
            <w:pPr>
              <w:jc w:val="right"/>
              <w:spacing w:after="0"/>
              <w:rPr>
                <w:rFonts w:ascii="Arial" w:cs="Arial" w:eastAsia="Arial" w:hAnsi="Arial"/>
                <w:sz w:val="18"/>
                <w:szCs w:val="18"/>
                <w:color w:val="auto"/>
              </w:rPr>
            </w:pPr>
            <w:hyperlink w:anchor="page21">
              <w:r>
                <w:rPr>
                  <w:rFonts w:ascii="Arial" w:cs="Arial" w:eastAsia="Arial" w:hAnsi="Arial"/>
                  <w:sz w:val="18"/>
                  <w:szCs w:val="18"/>
                  <w:color w:val="auto"/>
                </w:rPr>
                <w:t>19</w:t>
              </w:r>
            </w:hyperlink>
          </w:p>
        </w:tc>
      </w:tr>
      <w:tr>
        <w:trPr>
          <w:trHeight w:val="520"/>
        </w:trPr>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Borders>
              <w:top w:val="single" w:sz="8" w:color="0000EE"/>
            </w:tcBorders>
            <w:gridSpan w:val="2"/>
          </w:tcPr>
          <w:p>
            <w:pPr>
              <w:spacing w:after="0"/>
              <w:rPr>
                <w:rFonts w:ascii="Arial" w:cs="Arial" w:eastAsia="Arial" w:hAnsi="Arial"/>
                <w:sz w:val="18"/>
                <w:szCs w:val="18"/>
                <w:color w:val="0000EE"/>
                <w:w w:val="90"/>
              </w:rPr>
            </w:pPr>
            <w:hyperlink w:anchor="page28">
              <w:r>
                <w:rPr>
                  <w:rFonts w:ascii="Arial" w:cs="Arial" w:eastAsia="Arial" w:hAnsi="Arial"/>
                  <w:sz w:val="18"/>
                  <w:szCs w:val="18"/>
                  <w:color w:val="0000EE"/>
                  <w:w w:val="90"/>
                </w:rPr>
                <w:t>Item 3.</w:t>
              </w:r>
            </w:hyperlink>
          </w:p>
        </w:tc>
        <w:tc>
          <w:tcPr>
            <w:tcW w:w="400" w:type="dxa"/>
            <w:vAlign w:val="bottom"/>
          </w:tcPr>
          <w:p>
            <w:pPr>
              <w:spacing w:after="0"/>
              <w:rPr>
                <w:sz w:val="24"/>
                <w:szCs w:val="24"/>
                <w:color w:val="auto"/>
              </w:rPr>
            </w:pPr>
          </w:p>
        </w:tc>
        <w:tc>
          <w:tcPr>
            <w:tcW w:w="6460" w:type="dxa"/>
            <w:vAlign w:val="bottom"/>
            <w:tcBorders>
              <w:top w:val="single" w:sz="8" w:color="0000EE"/>
            </w:tcBorders>
            <w:gridSpan w:val="11"/>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Quantitative and Qualitative Disclosures About Market Risk</w:t>
              </w:r>
            </w:hyperlink>
          </w:p>
        </w:tc>
        <w:tc>
          <w:tcPr>
            <w:tcW w:w="2560" w:type="dxa"/>
            <w:vAlign w:val="bottom"/>
            <w:gridSpan w:val="4"/>
          </w:tcPr>
          <w:p>
            <w:pPr>
              <w:spacing w:after="0"/>
              <w:rPr>
                <w:sz w:val="24"/>
                <w:szCs w:val="24"/>
                <w:color w:val="auto"/>
              </w:rPr>
            </w:pPr>
          </w:p>
        </w:tc>
        <w:tc>
          <w:tcPr>
            <w:tcW w:w="620" w:type="dxa"/>
            <w:vAlign w:val="bottom"/>
          </w:tcPr>
          <w:p>
            <w:pPr>
              <w:jc w:val="right"/>
              <w:spacing w:after="0"/>
              <w:rPr>
                <w:rFonts w:ascii="Arial" w:cs="Arial" w:eastAsia="Arial" w:hAnsi="Arial"/>
                <w:sz w:val="18"/>
                <w:szCs w:val="18"/>
                <w:color w:val="auto"/>
              </w:rPr>
            </w:pPr>
            <w:hyperlink w:anchor="page28">
              <w:r>
                <w:rPr>
                  <w:rFonts w:ascii="Arial" w:cs="Arial" w:eastAsia="Arial" w:hAnsi="Arial"/>
                  <w:sz w:val="18"/>
                  <w:szCs w:val="18"/>
                  <w:color w:val="auto"/>
                </w:rPr>
                <w:t>26</w:t>
              </w:r>
            </w:hyperlink>
          </w:p>
        </w:tc>
      </w:tr>
      <w:tr>
        <w:trPr>
          <w:trHeight w:val="520"/>
        </w:trPr>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0"/>
              </w:rPr>
            </w:pPr>
            <w:hyperlink w:anchor="page28">
              <w:r>
                <w:rPr>
                  <w:rFonts w:ascii="Arial" w:cs="Arial" w:eastAsia="Arial" w:hAnsi="Arial"/>
                  <w:sz w:val="18"/>
                  <w:szCs w:val="18"/>
                  <w:color w:val="0000EE"/>
                  <w:w w:val="90"/>
                </w:rPr>
                <w:t>Item 4.</w:t>
              </w:r>
            </w:hyperlink>
          </w:p>
        </w:tc>
        <w:tc>
          <w:tcPr>
            <w:tcW w:w="400" w:type="dxa"/>
            <w:vAlign w:val="bottom"/>
          </w:tcPr>
          <w:p>
            <w:pPr>
              <w:spacing w:after="0"/>
              <w:rPr>
                <w:sz w:val="24"/>
                <w:szCs w:val="24"/>
                <w:color w:val="auto"/>
              </w:rPr>
            </w:pPr>
          </w:p>
        </w:tc>
        <w:tc>
          <w:tcPr>
            <w:tcW w:w="178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8"/>
              </w:rPr>
            </w:pPr>
            <w:hyperlink w:anchor="page28">
              <w:r>
                <w:rPr>
                  <w:rFonts w:ascii="Arial" w:cs="Arial" w:eastAsia="Arial" w:hAnsi="Arial"/>
                  <w:sz w:val="18"/>
                  <w:szCs w:val="18"/>
                  <w:color w:val="0000EE"/>
                  <w:w w:val="88"/>
                </w:rPr>
                <w:t>Controls and Procedures</w:t>
              </w:r>
            </w:hyperlink>
          </w:p>
        </w:tc>
        <w:tc>
          <w:tcPr>
            <w:tcW w:w="2580" w:type="dxa"/>
            <w:vAlign w:val="bottom"/>
            <w:tcBorders>
              <w:top w:val="single" w:sz="8" w:color="0000EE"/>
            </w:tcBorders>
            <w:gridSpan w:val="4"/>
          </w:tcPr>
          <w:p>
            <w:pPr>
              <w:spacing w:after="0"/>
              <w:rPr>
                <w:sz w:val="24"/>
                <w:szCs w:val="24"/>
                <w:color w:val="auto"/>
              </w:rPr>
            </w:pPr>
          </w:p>
        </w:tc>
        <w:tc>
          <w:tcPr>
            <w:tcW w:w="4660" w:type="dxa"/>
            <w:vAlign w:val="bottom"/>
            <w:gridSpan w:val="6"/>
          </w:tcPr>
          <w:p>
            <w:pPr>
              <w:spacing w:after="0"/>
              <w:rPr>
                <w:sz w:val="24"/>
                <w:szCs w:val="24"/>
                <w:color w:val="auto"/>
              </w:rPr>
            </w:pPr>
          </w:p>
        </w:tc>
        <w:tc>
          <w:tcPr>
            <w:tcW w:w="620" w:type="dxa"/>
            <w:vAlign w:val="bottom"/>
          </w:tcPr>
          <w:p>
            <w:pPr>
              <w:jc w:val="right"/>
              <w:spacing w:after="0"/>
              <w:rPr>
                <w:rFonts w:ascii="Arial" w:cs="Arial" w:eastAsia="Arial" w:hAnsi="Arial"/>
                <w:sz w:val="18"/>
                <w:szCs w:val="18"/>
                <w:color w:val="auto"/>
              </w:rPr>
            </w:pPr>
            <w:hyperlink w:anchor="page28">
              <w:r>
                <w:rPr>
                  <w:rFonts w:ascii="Arial" w:cs="Arial" w:eastAsia="Arial" w:hAnsi="Arial"/>
                  <w:sz w:val="18"/>
                  <w:szCs w:val="18"/>
                  <w:color w:val="auto"/>
                </w:rPr>
                <w:t>26</w:t>
              </w:r>
            </w:hyperlink>
          </w:p>
        </w:tc>
      </w:tr>
      <w:tr>
        <w:trPr>
          <w:trHeight w:val="520"/>
        </w:trPr>
        <w:tc>
          <w:tcPr>
            <w:tcW w:w="40" w:type="dxa"/>
            <w:vAlign w:val="bottom"/>
          </w:tcPr>
          <w:p>
            <w:pPr>
              <w:spacing w:after="0"/>
              <w:rPr>
                <w:sz w:val="24"/>
                <w:szCs w:val="24"/>
                <w:color w:val="auto"/>
              </w:rPr>
            </w:pPr>
          </w:p>
        </w:tc>
        <w:tc>
          <w:tcPr>
            <w:tcW w:w="50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29">
              <w:r>
                <w:rPr>
                  <w:rFonts w:ascii="Arial" w:cs="Arial" w:eastAsia="Arial" w:hAnsi="Arial"/>
                  <w:sz w:val="18"/>
                  <w:szCs w:val="18"/>
                  <w:color w:val="0000EE"/>
                  <w:w w:val="90"/>
                </w:rPr>
                <w:t>Part II.</w:t>
              </w:r>
            </w:hyperlink>
          </w:p>
        </w:tc>
        <w:tc>
          <w:tcPr>
            <w:tcW w:w="300" w:type="dxa"/>
            <w:vAlign w:val="bottom"/>
            <w:gridSpan w:val="2"/>
          </w:tcPr>
          <w:p>
            <w:pPr>
              <w:spacing w:after="0"/>
              <w:rPr>
                <w:sz w:val="24"/>
                <w:szCs w:val="24"/>
                <w:color w:val="auto"/>
              </w:rPr>
            </w:pPr>
          </w:p>
        </w:tc>
        <w:tc>
          <w:tcPr>
            <w:tcW w:w="1320" w:type="dxa"/>
            <w:vAlign w:val="bottom"/>
            <w:tcBorders>
              <w:bottom w:val="single" w:sz="8" w:color="0000EE"/>
            </w:tcBorders>
            <w:gridSpan w:val="4"/>
          </w:tcPr>
          <w:p>
            <w:pPr>
              <w:spacing w:after="0"/>
              <w:rPr>
                <w:rFonts w:ascii="Arial" w:cs="Arial" w:eastAsia="Arial" w:hAnsi="Arial"/>
                <w:sz w:val="18"/>
                <w:szCs w:val="18"/>
                <w:color w:val="0000EE"/>
                <w:w w:val="92"/>
              </w:rPr>
            </w:pPr>
            <w:hyperlink w:anchor="page29">
              <w:r>
                <w:rPr>
                  <w:rFonts w:ascii="Arial" w:cs="Arial" w:eastAsia="Arial" w:hAnsi="Arial"/>
                  <w:sz w:val="18"/>
                  <w:szCs w:val="18"/>
                  <w:color w:val="0000EE"/>
                  <w:w w:val="92"/>
                </w:rPr>
                <w:t>Other Information</w:t>
              </w:r>
            </w:hyperlink>
          </w:p>
        </w:tc>
        <w:tc>
          <w:tcPr>
            <w:tcW w:w="8620" w:type="dxa"/>
            <w:vAlign w:val="bottom"/>
            <w:gridSpan w:val="14"/>
          </w:tcPr>
          <w:p>
            <w:pPr>
              <w:spacing w:after="0"/>
              <w:rPr>
                <w:sz w:val="24"/>
                <w:szCs w:val="24"/>
                <w:color w:val="auto"/>
              </w:rPr>
            </w:pPr>
          </w:p>
        </w:tc>
        <w:tc>
          <w:tcPr>
            <w:tcW w:w="620" w:type="dxa"/>
            <w:vAlign w:val="bottom"/>
          </w:tcPr>
          <w:p>
            <w:pPr>
              <w:spacing w:after="0"/>
              <w:rPr>
                <w:sz w:val="24"/>
                <w:szCs w:val="24"/>
                <w:color w:val="auto"/>
              </w:rPr>
            </w:pPr>
          </w:p>
        </w:tc>
      </w:tr>
      <w:tr>
        <w:trPr>
          <w:trHeight w:val="520"/>
        </w:trPr>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29">
              <w:r>
                <w:rPr>
                  <w:rFonts w:ascii="Arial" w:cs="Arial" w:eastAsia="Arial" w:hAnsi="Arial"/>
                  <w:sz w:val="18"/>
                  <w:szCs w:val="18"/>
                  <w:color w:val="0000EE"/>
                  <w:w w:val="90"/>
                </w:rPr>
                <w:t>Item 1.</w:t>
              </w:r>
            </w:hyperlink>
          </w:p>
        </w:tc>
        <w:tc>
          <w:tcPr>
            <w:tcW w:w="400" w:type="dxa"/>
            <w:vAlign w:val="bottom"/>
          </w:tcPr>
          <w:p>
            <w:pPr>
              <w:spacing w:after="0"/>
              <w:rPr>
                <w:sz w:val="24"/>
                <w:szCs w:val="24"/>
                <w:color w:val="auto"/>
              </w:rPr>
            </w:pPr>
          </w:p>
        </w:tc>
        <w:tc>
          <w:tcPr>
            <w:tcW w:w="1340" w:type="dxa"/>
            <w:vAlign w:val="bottom"/>
            <w:tcBorders>
              <w:bottom w:val="single" w:sz="8" w:color="0000EE"/>
            </w:tcBorders>
            <w:gridSpan w:val="4"/>
          </w:tcPr>
          <w:p>
            <w:pPr>
              <w:spacing w:after="0"/>
              <w:rPr>
                <w:rFonts w:ascii="Arial" w:cs="Arial" w:eastAsia="Arial" w:hAnsi="Arial"/>
                <w:sz w:val="18"/>
                <w:szCs w:val="18"/>
                <w:color w:val="0000EE"/>
                <w:w w:val="88"/>
              </w:rPr>
            </w:pPr>
            <w:hyperlink w:anchor="page29">
              <w:r>
                <w:rPr>
                  <w:rFonts w:ascii="Arial" w:cs="Arial" w:eastAsia="Arial" w:hAnsi="Arial"/>
                  <w:sz w:val="18"/>
                  <w:szCs w:val="18"/>
                  <w:color w:val="0000EE"/>
                  <w:w w:val="88"/>
                </w:rPr>
                <w:t>Legal Proceedings</w:t>
              </w:r>
            </w:hyperlink>
          </w:p>
        </w:tc>
        <w:tc>
          <w:tcPr>
            <w:tcW w:w="7680" w:type="dxa"/>
            <w:vAlign w:val="bottom"/>
            <w:gridSpan w:val="11"/>
          </w:tcPr>
          <w:p>
            <w:pPr>
              <w:spacing w:after="0"/>
              <w:rPr>
                <w:sz w:val="24"/>
                <w:szCs w:val="24"/>
                <w:color w:val="auto"/>
              </w:rPr>
            </w:pPr>
          </w:p>
        </w:tc>
        <w:tc>
          <w:tcPr>
            <w:tcW w:w="620" w:type="dxa"/>
            <w:vAlign w:val="bottom"/>
          </w:tcPr>
          <w:p>
            <w:pPr>
              <w:jc w:val="right"/>
              <w:spacing w:after="0"/>
              <w:rPr>
                <w:rFonts w:ascii="Arial" w:cs="Arial" w:eastAsia="Arial" w:hAnsi="Arial"/>
                <w:sz w:val="18"/>
                <w:szCs w:val="18"/>
                <w:color w:val="auto"/>
              </w:rPr>
            </w:pPr>
            <w:hyperlink w:anchor="page29">
              <w:r>
                <w:rPr>
                  <w:rFonts w:ascii="Arial" w:cs="Arial" w:eastAsia="Arial" w:hAnsi="Arial"/>
                  <w:sz w:val="18"/>
                  <w:szCs w:val="18"/>
                  <w:color w:val="auto"/>
                </w:rPr>
                <w:t>27</w:t>
              </w:r>
            </w:hyperlink>
          </w:p>
        </w:tc>
      </w:tr>
      <w:tr>
        <w:trPr>
          <w:trHeight w:val="520"/>
        </w:trPr>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gridSpan w:val="2"/>
          </w:tcPr>
          <w:p>
            <w:pPr>
              <w:spacing w:after="0"/>
              <w:rPr>
                <w:rFonts w:ascii="Arial" w:cs="Arial" w:eastAsia="Arial" w:hAnsi="Arial"/>
                <w:sz w:val="18"/>
                <w:szCs w:val="18"/>
                <w:color w:val="0000EE"/>
                <w:w w:val="90"/>
              </w:rPr>
            </w:pPr>
            <w:hyperlink w:anchor="page29">
              <w:r>
                <w:rPr>
                  <w:rFonts w:ascii="Arial" w:cs="Arial" w:eastAsia="Arial" w:hAnsi="Arial"/>
                  <w:sz w:val="18"/>
                  <w:szCs w:val="18"/>
                  <w:color w:val="0000EE"/>
                  <w:w w:val="90"/>
                </w:rPr>
                <w:t>Item 2.</w:t>
              </w:r>
            </w:hyperlink>
          </w:p>
        </w:tc>
        <w:tc>
          <w:tcPr>
            <w:tcW w:w="400" w:type="dxa"/>
            <w:vAlign w:val="bottom"/>
          </w:tcPr>
          <w:p>
            <w:pPr>
              <w:spacing w:after="0"/>
              <w:rPr>
                <w:sz w:val="24"/>
                <w:szCs w:val="24"/>
                <w:color w:val="auto"/>
              </w:rPr>
            </w:pPr>
          </w:p>
        </w:tc>
        <w:tc>
          <w:tcPr>
            <w:tcW w:w="9020" w:type="dxa"/>
            <w:vAlign w:val="bottom"/>
            <w:gridSpan w:val="15"/>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Unregistered sales of Equity Securities and Use of Proceeds</w:t>
              </w:r>
            </w:hyperlink>
          </w:p>
        </w:tc>
        <w:tc>
          <w:tcPr>
            <w:tcW w:w="620" w:type="dxa"/>
            <w:vAlign w:val="bottom"/>
          </w:tcPr>
          <w:p>
            <w:pPr>
              <w:jc w:val="right"/>
              <w:spacing w:after="0"/>
              <w:rPr>
                <w:rFonts w:ascii="Arial" w:cs="Arial" w:eastAsia="Arial" w:hAnsi="Arial"/>
                <w:sz w:val="18"/>
                <w:szCs w:val="18"/>
                <w:color w:val="auto"/>
              </w:rPr>
            </w:pPr>
            <w:hyperlink w:anchor="page29">
              <w:r>
                <w:rPr>
                  <w:rFonts w:ascii="Arial" w:cs="Arial" w:eastAsia="Arial" w:hAnsi="Arial"/>
                  <w:sz w:val="18"/>
                  <w:szCs w:val="18"/>
                  <w:color w:val="auto"/>
                </w:rPr>
                <w:t>27</w:t>
              </w:r>
            </w:hyperlink>
          </w:p>
        </w:tc>
      </w:tr>
      <w:tr>
        <w:trPr>
          <w:trHeight w:val="520"/>
        </w:trPr>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Borders>
              <w:top w:val="single" w:sz="8" w:color="0000EE"/>
            </w:tcBorders>
            <w:gridSpan w:val="2"/>
          </w:tcPr>
          <w:p>
            <w:pPr>
              <w:spacing w:after="0"/>
              <w:rPr>
                <w:rFonts w:ascii="Arial" w:cs="Arial" w:eastAsia="Arial" w:hAnsi="Arial"/>
                <w:sz w:val="18"/>
                <w:szCs w:val="18"/>
                <w:color w:val="0000EE"/>
                <w:w w:val="90"/>
              </w:rPr>
            </w:pPr>
            <w:hyperlink w:anchor="page30">
              <w:r>
                <w:rPr>
                  <w:rFonts w:ascii="Arial" w:cs="Arial" w:eastAsia="Arial" w:hAnsi="Arial"/>
                  <w:sz w:val="18"/>
                  <w:szCs w:val="18"/>
                  <w:color w:val="0000EE"/>
                  <w:w w:val="90"/>
                </w:rPr>
                <w:t>Item 6.</w:t>
              </w:r>
            </w:hyperlink>
          </w:p>
        </w:tc>
        <w:tc>
          <w:tcPr>
            <w:tcW w:w="400" w:type="dxa"/>
            <w:vAlign w:val="bottom"/>
          </w:tcPr>
          <w:p>
            <w:pPr>
              <w:spacing w:after="0"/>
              <w:rPr>
                <w:sz w:val="24"/>
                <w:szCs w:val="24"/>
                <w:color w:val="auto"/>
              </w:rPr>
            </w:pPr>
          </w:p>
        </w:tc>
        <w:tc>
          <w:tcPr>
            <w:tcW w:w="4320" w:type="dxa"/>
            <w:vAlign w:val="bottom"/>
            <w:tcBorders>
              <w:top w:val="single" w:sz="8" w:color="0000EE"/>
            </w:tcBorders>
            <w:gridSpan w:val="8"/>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Exhibits</w:t>
              </w:r>
            </w:hyperlink>
          </w:p>
        </w:tc>
        <w:tc>
          <w:tcPr>
            <w:tcW w:w="4700" w:type="dxa"/>
            <w:vAlign w:val="bottom"/>
            <w:gridSpan w:val="7"/>
          </w:tcPr>
          <w:p>
            <w:pPr>
              <w:spacing w:after="0"/>
              <w:rPr>
                <w:sz w:val="24"/>
                <w:szCs w:val="24"/>
                <w:color w:val="auto"/>
              </w:rPr>
            </w:pPr>
          </w:p>
        </w:tc>
        <w:tc>
          <w:tcPr>
            <w:tcW w:w="620" w:type="dxa"/>
            <w:vAlign w:val="bottom"/>
          </w:tcPr>
          <w:p>
            <w:pPr>
              <w:jc w:val="right"/>
              <w:spacing w:after="0"/>
              <w:rPr>
                <w:rFonts w:ascii="Arial" w:cs="Arial" w:eastAsia="Arial" w:hAnsi="Arial"/>
                <w:sz w:val="18"/>
                <w:szCs w:val="18"/>
                <w:color w:val="auto"/>
              </w:rPr>
            </w:pPr>
            <w:hyperlink w:anchor="page30">
              <w:r>
                <w:rPr>
                  <w:rFonts w:ascii="Arial" w:cs="Arial" w:eastAsia="Arial" w:hAnsi="Arial"/>
                  <w:sz w:val="18"/>
                  <w:szCs w:val="18"/>
                  <w:color w:val="auto"/>
                </w:rPr>
                <w:t>28</w:t>
              </w:r>
            </w:hyperlink>
          </w:p>
        </w:tc>
      </w:tr>
      <w:tr>
        <w:trPr>
          <w:trHeight w:val="520"/>
        </w:trPr>
        <w:tc>
          <w:tcPr>
            <w:tcW w:w="40" w:type="dxa"/>
            <w:vAlign w:val="bottom"/>
          </w:tcPr>
          <w:p>
            <w:pPr>
              <w:spacing w:after="0"/>
              <w:rPr>
                <w:sz w:val="24"/>
                <w:szCs w:val="24"/>
                <w:color w:val="auto"/>
              </w:rPr>
            </w:pPr>
          </w:p>
        </w:tc>
        <w:tc>
          <w:tcPr>
            <w:tcW w:w="760" w:type="dxa"/>
            <w:vAlign w:val="bottom"/>
            <w:tcBorders>
              <w:bottom w:val="single" w:sz="8" w:color="0000EE"/>
            </w:tcBorders>
            <w:gridSpan w:val="3"/>
          </w:tcPr>
          <w:p>
            <w:pPr>
              <w:spacing w:after="0"/>
              <w:rPr>
                <w:rFonts w:ascii="Arial" w:cs="Arial" w:eastAsia="Arial" w:hAnsi="Arial"/>
                <w:sz w:val="18"/>
                <w:szCs w:val="18"/>
                <w:color w:val="0000EE"/>
                <w:w w:val="85"/>
              </w:rPr>
            </w:pPr>
            <w:hyperlink w:anchor="page31">
              <w:r>
                <w:rPr>
                  <w:rFonts w:ascii="Arial" w:cs="Arial" w:eastAsia="Arial" w:hAnsi="Arial"/>
                  <w:sz w:val="18"/>
                  <w:szCs w:val="18"/>
                  <w:color w:val="0000EE"/>
                  <w:w w:val="85"/>
                </w:rPr>
                <w:t>Signatures</w:t>
              </w:r>
            </w:hyperlink>
          </w:p>
        </w:tc>
        <w:tc>
          <w:tcPr>
            <w:tcW w:w="40" w:type="dxa"/>
            <w:vAlign w:val="bottom"/>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jc w:val="right"/>
              <w:spacing w:after="0"/>
              <w:rPr>
                <w:rFonts w:ascii="Arial" w:cs="Arial" w:eastAsia="Arial" w:hAnsi="Arial"/>
                <w:sz w:val="18"/>
                <w:szCs w:val="18"/>
                <w:color w:val="auto"/>
              </w:rPr>
            </w:pPr>
            <w:hyperlink w:anchor="page31">
              <w:r>
                <w:rPr>
                  <w:rFonts w:ascii="Arial" w:cs="Arial" w:eastAsia="Arial" w:hAnsi="Arial"/>
                  <w:sz w:val="18"/>
                  <w:szCs w:val="18"/>
                  <w:color w:val="auto"/>
                </w:rPr>
                <w:t>29</w:t>
              </w:r>
            </w:hyperlink>
          </w:p>
        </w:tc>
      </w:tr>
    </w:tbl>
    <w:p>
      <w:pPr>
        <w:sectPr>
          <w:pgSz w:w="11900" w:h="16838" w:orient="portrait"/>
          <w:cols w:equalWidth="0" w:num="1">
            <w:col w:w="11400"/>
          </w:cols>
          <w:pgMar w:left="240" w:top="108" w:right="25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96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
        </w:trPr>
        <w:tc>
          <w:tcPr>
            <w:tcW w:w="1280" w:type="dxa"/>
            <w:vAlign w:val="bottom"/>
            <w:gridSpan w:val="2"/>
            <w:shd w:val="clear" w:color="auto" w:fill="0000EE"/>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480"/>
        </w:trPr>
        <w:tc>
          <w:tcPr>
            <w:tcW w:w="7960" w:type="dxa"/>
            <w:vAlign w:val="bottom"/>
            <w:gridSpan w:val="3"/>
          </w:tcPr>
          <w:p>
            <w:pPr>
              <w:spacing w:after="0"/>
              <w:rPr>
                <w:sz w:val="20"/>
                <w:szCs w:val="20"/>
                <w:color w:val="auto"/>
              </w:rPr>
            </w:pPr>
            <w:r>
              <w:rPr>
                <w:rFonts w:ascii="Arial" w:cs="Arial" w:eastAsia="Arial" w:hAnsi="Arial"/>
                <w:sz w:val="18"/>
                <w:szCs w:val="18"/>
                <w:b w:val="1"/>
                <w:bCs w:val="1"/>
                <w:color w:val="auto"/>
              </w:rPr>
              <w:t>Part I — Financial Information</w:t>
            </w:r>
          </w:p>
        </w:tc>
        <w:tc>
          <w:tcPr>
            <w:tcW w:w="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432"/>
        </w:trPr>
        <w:tc>
          <w:tcPr>
            <w:tcW w:w="98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6980" w:type="dxa"/>
            <w:vAlign w:val="bottom"/>
            <w:gridSpan w:val="2"/>
          </w:tcPr>
          <w:p>
            <w:pPr>
              <w:spacing w:after="0"/>
              <w:rPr>
                <w:sz w:val="20"/>
                <w:szCs w:val="20"/>
                <w:color w:val="auto"/>
              </w:rPr>
            </w:pPr>
            <w:r>
              <w:rPr>
                <w:rFonts w:ascii="Arial" w:cs="Arial" w:eastAsia="Arial" w:hAnsi="Arial"/>
                <w:sz w:val="18"/>
                <w:szCs w:val="18"/>
                <w:b w:val="1"/>
                <w:bCs w:val="1"/>
                <w:color w:val="auto"/>
              </w:rPr>
              <w:t>Financial Statements</w:t>
            </w:r>
          </w:p>
        </w:tc>
        <w:tc>
          <w:tcPr>
            <w:tcW w:w="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414"/>
        </w:trPr>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80" w:type="dxa"/>
            <w:vAlign w:val="bottom"/>
          </w:tcPr>
          <w:p>
            <w:pPr>
              <w:jc w:val="center"/>
              <w:ind w:left="2110"/>
              <w:spacing w:after="0"/>
              <w:rPr>
                <w:sz w:val="20"/>
                <w:szCs w:val="20"/>
                <w:color w:val="auto"/>
              </w:rPr>
            </w:pPr>
            <w:r>
              <w:rPr>
                <w:rFonts w:ascii="Arial" w:cs="Arial" w:eastAsia="Arial" w:hAnsi="Arial"/>
                <w:sz w:val="18"/>
                <w:szCs w:val="18"/>
                <w:b w:val="1"/>
                <w:bCs w:val="1"/>
                <w:color w:val="auto"/>
                <w:w w:val="90"/>
              </w:rPr>
              <w:t>World Fuel Services Corporation and Subsidiaries</w:t>
            </w:r>
          </w:p>
        </w:tc>
        <w:tc>
          <w:tcPr>
            <w:tcW w:w="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20"/>
        </w:trPr>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80" w:type="dxa"/>
            <w:vAlign w:val="bottom"/>
          </w:tcPr>
          <w:p>
            <w:pPr>
              <w:jc w:val="center"/>
              <w:ind w:left="2110"/>
              <w:spacing w:after="0"/>
              <w:rPr>
                <w:sz w:val="20"/>
                <w:szCs w:val="20"/>
                <w:color w:val="auto"/>
              </w:rPr>
            </w:pPr>
            <w:r>
              <w:rPr>
                <w:rFonts w:ascii="Arial" w:cs="Arial" w:eastAsia="Arial" w:hAnsi="Arial"/>
                <w:sz w:val="18"/>
                <w:szCs w:val="18"/>
                <w:b w:val="1"/>
                <w:bCs w:val="1"/>
                <w:color w:val="auto"/>
                <w:w w:val="87"/>
              </w:rPr>
              <w:t>Consolidated Balance Sheets</w:t>
            </w:r>
          </w:p>
        </w:tc>
        <w:tc>
          <w:tcPr>
            <w:tcW w:w="4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80" w:type="dxa"/>
            <w:vAlign w:val="bottom"/>
          </w:tcPr>
          <w:p>
            <w:pPr>
              <w:jc w:val="center"/>
              <w:ind w:left="2090"/>
              <w:spacing w:after="0"/>
              <w:rPr>
                <w:sz w:val="20"/>
                <w:szCs w:val="20"/>
                <w:color w:val="auto"/>
              </w:rPr>
            </w:pPr>
            <w:r>
              <w:rPr>
                <w:rFonts w:ascii="Arial" w:cs="Arial" w:eastAsia="Arial" w:hAnsi="Arial"/>
                <w:sz w:val="18"/>
                <w:szCs w:val="18"/>
                <w:color w:val="auto"/>
                <w:w w:val="91"/>
              </w:rPr>
              <w:t>(Unaudited - In millions, except per share data)</w:t>
            </w:r>
          </w:p>
        </w:tc>
        <w:tc>
          <w:tcPr>
            <w:tcW w:w="4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615"/>
        </w:trPr>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8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As of</w:t>
            </w:r>
          </w:p>
        </w:tc>
      </w:tr>
      <w:tr>
        <w:trPr>
          <w:trHeight w:val="258"/>
        </w:trPr>
        <w:tc>
          <w:tcPr>
            <w:tcW w:w="9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6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60" w:type="dxa"/>
            <w:vAlign w:val="bottom"/>
          </w:tcPr>
          <w:p>
            <w:pPr>
              <w:jc w:val="right"/>
              <w:ind w:right="88"/>
              <w:spacing w:after="0"/>
              <w:rPr>
                <w:sz w:val="20"/>
                <w:szCs w:val="20"/>
                <w:color w:val="auto"/>
              </w:rPr>
            </w:pPr>
            <w:r>
              <w:rPr>
                <w:rFonts w:ascii="Arial" w:cs="Arial" w:eastAsia="Arial" w:hAnsi="Arial"/>
                <w:sz w:val="14"/>
                <w:szCs w:val="14"/>
                <w:b w:val="1"/>
                <w:bCs w:val="1"/>
                <w:color w:val="auto"/>
              </w:rPr>
              <w:t>March 31,</w:t>
            </w:r>
          </w:p>
        </w:tc>
        <w:tc>
          <w:tcPr>
            <w:tcW w:w="480" w:type="dxa"/>
            <w:vAlign w:val="bottom"/>
          </w:tcPr>
          <w:p>
            <w:pPr>
              <w:spacing w:after="0"/>
              <w:rPr>
                <w:sz w:val="22"/>
                <w:szCs w:val="22"/>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b w:val="1"/>
                <w:bCs w:val="1"/>
                <w:color w:val="auto"/>
              </w:rPr>
              <w:t>December 31,</w:t>
            </w:r>
          </w:p>
        </w:tc>
      </w:tr>
      <w:tr>
        <w:trPr>
          <w:trHeight w:val="276"/>
        </w:trPr>
        <w:tc>
          <w:tcPr>
            <w:tcW w:w="9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2017</w:t>
            </w:r>
          </w:p>
        </w:tc>
        <w:tc>
          <w:tcPr>
            <w:tcW w:w="4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2016</w:t>
            </w:r>
          </w:p>
        </w:tc>
      </w:tr>
      <w:tr>
        <w:trPr>
          <w:trHeight w:val="270"/>
        </w:trPr>
        <w:tc>
          <w:tcPr>
            <w:tcW w:w="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Assets:</w:t>
            </w:r>
          </w:p>
        </w:tc>
        <w:tc>
          <w:tcPr>
            <w:tcW w:w="300" w:type="dxa"/>
            <w:vAlign w:val="bottom"/>
            <w:shd w:val="clear" w:color="auto" w:fill="CCEEFF"/>
          </w:tcPr>
          <w:p>
            <w:pPr>
              <w:spacing w:after="0"/>
              <w:rPr>
                <w:sz w:val="23"/>
                <w:szCs w:val="23"/>
                <w:color w:val="auto"/>
              </w:rPr>
            </w:pPr>
          </w:p>
        </w:tc>
        <w:tc>
          <w:tcPr>
            <w:tcW w:w="668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r>
      <w:tr>
        <w:trPr>
          <w:trHeight w:val="264"/>
        </w:trPr>
        <w:tc>
          <w:tcPr>
            <w:tcW w:w="980" w:type="dxa"/>
            <w:vAlign w:val="bottom"/>
          </w:tcPr>
          <w:p>
            <w:pPr>
              <w:ind w:left="40"/>
              <w:spacing w:after="0"/>
              <w:rPr>
                <w:sz w:val="20"/>
                <w:szCs w:val="20"/>
                <w:color w:val="auto"/>
              </w:rPr>
            </w:pPr>
            <w:r>
              <w:rPr>
                <w:rFonts w:ascii="Arial" w:cs="Arial" w:eastAsia="Arial" w:hAnsi="Arial"/>
                <w:sz w:val="14"/>
                <w:szCs w:val="14"/>
                <w:color w:val="auto"/>
                <w:w w:val="96"/>
              </w:rPr>
              <w:t>Current assets:</w:t>
            </w:r>
          </w:p>
        </w:tc>
        <w:tc>
          <w:tcPr>
            <w:tcW w:w="300" w:type="dxa"/>
            <w:vAlign w:val="bottom"/>
          </w:tcPr>
          <w:p>
            <w:pPr>
              <w:spacing w:after="0"/>
              <w:rPr>
                <w:sz w:val="22"/>
                <w:szCs w:val="22"/>
                <w:color w:val="auto"/>
              </w:rPr>
            </w:pPr>
          </w:p>
        </w:tc>
        <w:tc>
          <w:tcPr>
            <w:tcW w:w="66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76"/>
        </w:trPr>
        <w:tc>
          <w:tcPr>
            <w:tcW w:w="796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Cash and cash equivalents</w:t>
            </w:r>
          </w:p>
        </w:tc>
        <w:tc>
          <w:tcPr>
            <w:tcW w:w="4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619.3</w:t>
            </w:r>
          </w:p>
        </w:tc>
        <w:tc>
          <w:tcPr>
            <w:tcW w:w="48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698.6</w:t>
            </w:r>
          </w:p>
        </w:tc>
      </w:tr>
      <w:tr>
        <w:trPr>
          <w:trHeight w:val="264"/>
        </w:trPr>
        <w:tc>
          <w:tcPr>
            <w:tcW w:w="7960" w:type="dxa"/>
            <w:vAlign w:val="bottom"/>
            <w:gridSpan w:val="3"/>
          </w:tcPr>
          <w:p>
            <w:pPr>
              <w:ind w:left="180"/>
              <w:spacing w:after="0"/>
              <w:rPr>
                <w:sz w:val="20"/>
                <w:szCs w:val="20"/>
                <w:color w:val="auto"/>
              </w:rPr>
            </w:pPr>
            <w:r>
              <w:rPr>
                <w:rFonts w:ascii="Arial" w:cs="Arial" w:eastAsia="Arial" w:hAnsi="Arial"/>
                <w:sz w:val="14"/>
                <w:szCs w:val="14"/>
                <w:color w:val="auto"/>
              </w:rPr>
              <w:t>Accounts receivable, net</w:t>
            </w:r>
          </w:p>
        </w:tc>
        <w:tc>
          <w:tcPr>
            <w:tcW w:w="480" w:type="dxa"/>
            <w:vAlign w:val="bottom"/>
          </w:tcPr>
          <w:p>
            <w:pPr>
              <w:spacing w:after="0"/>
              <w:rPr>
                <w:sz w:val="22"/>
                <w:szCs w:val="22"/>
                <w:color w:val="auto"/>
              </w:rPr>
            </w:pPr>
          </w:p>
        </w:tc>
        <w:tc>
          <w:tcPr>
            <w:tcW w:w="1160" w:type="dxa"/>
            <w:vAlign w:val="bottom"/>
          </w:tcPr>
          <w:p>
            <w:pPr>
              <w:jc w:val="right"/>
              <w:ind w:right="88"/>
              <w:spacing w:after="0"/>
              <w:rPr>
                <w:sz w:val="20"/>
                <w:szCs w:val="20"/>
                <w:color w:val="auto"/>
              </w:rPr>
            </w:pPr>
            <w:r>
              <w:rPr>
                <w:rFonts w:ascii="Arial" w:cs="Arial" w:eastAsia="Arial" w:hAnsi="Arial"/>
                <w:sz w:val="14"/>
                <w:szCs w:val="14"/>
                <w:color w:val="auto"/>
              </w:rPr>
              <w:t>2,209.1</w:t>
            </w:r>
          </w:p>
        </w:tc>
        <w:tc>
          <w:tcPr>
            <w:tcW w:w="480" w:type="dxa"/>
            <w:vAlign w:val="bottom"/>
          </w:tcPr>
          <w:p>
            <w:pPr>
              <w:spacing w:after="0"/>
              <w:rPr>
                <w:sz w:val="22"/>
                <w:szCs w:val="22"/>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2,344.0</w:t>
            </w:r>
          </w:p>
        </w:tc>
      </w:tr>
      <w:tr>
        <w:trPr>
          <w:trHeight w:val="276"/>
        </w:trPr>
        <w:tc>
          <w:tcPr>
            <w:tcW w:w="9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Inventories</w:t>
            </w:r>
          </w:p>
        </w:tc>
        <w:tc>
          <w:tcPr>
            <w:tcW w:w="300" w:type="dxa"/>
            <w:vAlign w:val="bottom"/>
            <w:shd w:val="clear" w:color="auto" w:fill="CCEEFF"/>
          </w:tcPr>
          <w:p>
            <w:pPr>
              <w:spacing w:after="0"/>
              <w:rPr>
                <w:sz w:val="24"/>
                <w:szCs w:val="24"/>
                <w:color w:val="auto"/>
              </w:rPr>
            </w:pPr>
          </w:p>
        </w:tc>
        <w:tc>
          <w:tcPr>
            <w:tcW w:w="668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460.0</w:t>
            </w:r>
          </w:p>
        </w:tc>
        <w:tc>
          <w:tcPr>
            <w:tcW w:w="4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458.0</w:t>
            </w:r>
          </w:p>
        </w:tc>
      </w:tr>
      <w:tr>
        <w:trPr>
          <w:trHeight w:val="264"/>
        </w:trPr>
        <w:tc>
          <w:tcPr>
            <w:tcW w:w="7960" w:type="dxa"/>
            <w:vAlign w:val="bottom"/>
            <w:gridSpan w:val="3"/>
          </w:tcPr>
          <w:p>
            <w:pPr>
              <w:ind w:left="180"/>
              <w:spacing w:after="0"/>
              <w:rPr>
                <w:sz w:val="20"/>
                <w:szCs w:val="20"/>
                <w:color w:val="auto"/>
              </w:rPr>
            </w:pPr>
            <w:r>
              <w:rPr>
                <w:rFonts w:ascii="Arial" w:cs="Arial" w:eastAsia="Arial" w:hAnsi="Arial"/>
                <w:sz w:val="14"/>
                <w:szCs w:val="14"/>
                <w:color w:val="auto"/>
              </w:rPr>
              <w:t>Prepaid expenses</w:t>
            </w:r>
          </w:p>
        </w:tc>
        <w:tc>
          <w:tcPr>
            <w:tcW w:w="480" w:type="dxa"/>
            <w:vAlign w:val="bottom"/>
          </w:tcPr>
          <w:p>
            <w:pPr>
              <w:spacing w:after="0"/>
              <w:rPr>
                <w:sz w:val="22"/>
                <w:szCs w:val="22"/>
                <w:color w:val="auto"/>
              </w:rPr>
            </w:pPr>
          </w:p>
        </w:tc>
        <w:tc>
          <w:tcPr>
            <w:tcW w:w="1160" w:type="dxa"/>
            <w:vAlign w:val="bottom"/>
          </w:tcPr>
          <w:p>
            <w:pPr>
              <w:jc w:val="right"/>
              <w:ind w:right="88"/>
              <w:spacing w:after="0"/>
              <w:rPr>
                <w:sz w:val="20"/>
                <w:szCs w:val="20"/>
                <w:color w:val="auto"/>
              </w:rPr>
            </w:pPr>
            <w:r>
              <w:rPr>
                <w:rFonts w:ascii="Arial" w:cs="Arial" w:eastAsia="Arial" w:hAnsi="Arial"/>
                <w:sz w:val="14"/>
                <w:szCs w:val="14"/>
                <w:color w:val="auto"/>
              </w:rPr>
              <w:t>46.4</w:t>
            </w:r>
          </w:p>
        </w:tc>
        <w:tc>
          <w:tcPr>
            <w:tcW w:w="480" w:type="dxa"/>
            <w:vAlign w:val="bottom"/>
          </w:tcPr>
          <w:p>
            <w:pPr>
              <w:spacing w:after="0"/>
              <w:rPr>
                <w:sz w:val="22"/>
                <w:szCs w:val="22"/>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46.5</w:t>
            </w:r>
          </w:p>
        </w:tc>
      </w:tr>
      <w:tr>
        <w:trPr>
          <w:trHeight w:val="276"/>
        </w:trPr>
        <w:tc>
          <w:tcPr>
            <w:tcW w:w="796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Short-term derivative assets, net</w:t>
            </w:r>
          </w:p>
        </w:tc>
        <w:tc>
          <w:tcPr>
            <w:tcW w:w="48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50.0</w:t>
            </w:r>
          </w:p>
        </w:tc>
        <w:tc>
          <w:tcPr>
            <w:tcW w:w="4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58.9</w:t>
            </w:r>
          </w:p>
        </w:tc>
      </w:tr>
      <w:tr>
        <w:trPr>
          <w:trHeight w:val="264"/>
        </w:trPr>
        <w:tc>
          <w:tcPr>
            <w:tcW w:w="796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color w:val="auto"/>
              </w:rPr>
              <w:t>Other current assets</w:t>
            </w:r>
          </w:p>
        </w:tc>
        <w:tc>
          <w:tcPr>
            <w:tcW w:w="4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204.4</w:t>
            </w:r>
          </w:p>
        </w:tc>
        <w:tc>
          <w:tcPr>
            <w:tcW w:w="4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230.6</w:t>
            </w:r>
          </w:p>
        </w:tc>
      </w:tr>
      <w:tr>
        <w:trPr>
          <w:trHeight w:val="270"/>
        </w:trPr>
        <w:tc>
          <w:tcPr>
            <w:tcW w:w="7960" w:type="dxa"/>
            <w:vAlign w:val="bottom"/>
            <w:gridSpan w:val="3"/>
            <w:shd w:val="clear" w:color="auto" w:fill="CCEEFF"/>
          </w:tcPr>
          <w:p>
            <w:pPr>
              <w:ind w:left="280"/>
              <w:spacing w:after="0"/>
              <w:rPr>
                <w:sz w:val="20"/>
                <w:szCs w:val="20"/>
                <w:color w:val="auto"/>
              </w:rPr>
            </w:pPr>
            <w:r>
              <w:rPr>
                <w:rFonts w:ascii="Arial" w:cs="Arial" w:eastAsia="Arial" w:hAnsi="Arial"/>
                <w:sz w:val="14"/>
                <w:szCs w:val="14"/>
                <w:color w:val="auto"/>
              </w:rPr>
              <w:t>Total current assets</w:t>
            </w:r>
          </w:p>
        </w:tc>
        <w:tc>
          <w:tcPr>
            <w:tcW w:w="48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3,589.2</w:t>
            </w:r>
          </w:p>
        </w:tc>
        <w:tc>
          <w:tcPr>
            <w:tcW w:w="48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3,836.6</w:t>
            </w:r>
          </w:p>
        </w:tc>
      </w:tr>
      <w:tr>
        <w:trPr>
          <w:trHeight w:val="264"/>
        </w:trPr>
        <w:tc>
          <w:tcPr>
            <w:tcW w:w="7960" w:type="dxa"/>
            <w:vAlign w:val="bottom"/>
            <w:gridSpan w:val="3"/>
          </w:tcPr>
          <w:p>
            <w:pPr>
              <w:ind w:left="40"/>
              <w:spacing w:after="0"/>
              <w:rPr>
                <w:sz w:val="20"/>
                <w:szCs w:val="20"/>
                <w:color w:val="auto"/>
              </w:rPr>
            </w:pPr>
            <w:r>
              <w:rPr>
                <w:rFonts w:ascii="Arial" w:cs="Arial" w:eastAsia="Arial" w:hAnsi="Arial"/>
                <w:sz w:val="14"/>
                <w:szCs w:val="14"/>
                <w:color w:val="auto"/>
              </w:rPr>
              <w:t>Property and equipment, net</w:t>
            </w:r>
          </w:p>
        </w:tc>
        <w:tc>
          <w:tcPr>
            <w:tcW w:w="480" w:type="dxa"/>
            <w:vAlign w:val="bottom"/>
          </w:tcPr>
          <w:p>
            <w:pPr>
              <w:spacing w:after="0"/>
              <w:rPr>
                <w:sz w:val="22"/>
                <w:szCs w:val="22"/>
                <w:color w:val="auto"/>
              </w:rPr>
            </w:pPr>
          </w:p>
        </w:tc>
        <w:tc>
          <w:tcPr>
            <w:tcW w:w="1160" w:type="dxa"/>
            <w:vAlign w:val="bottom"/>
          </w:tcPr>
          <w:p>
            <w:pPr>
              <w:jc w:val="right"/>
              <w:ind w:right="88"/>
              <w:spacing w:after="0"/>
              <w:rPr>
                <w:sz w:val="20"/>
                <w:szCs w:val="20"/>
                <w:color w:val="auto"/>
              </w:rPr>
            </w:pPr>
            <w:r>
              <w:rPr>
                <w:rFonts w:ascii="Arial" w:cs="Arial" w:eastAsia="Arial" w:hAnsi="Arial"/>
                <w:sz w:val="14"/>
                <w:szCs w:val="14"/>
                <w:color w:val="auto"/>
              </w:rPr>
              <w:t>317.3</w:t>
            </w:r>
          </w:p>
        </w:tc>
        <w:tc>
          <w:tcPr>
            <w:tcW w:w="480" w:type="dxa"/>
            <w:vAlign w:val="bottom"/>
          </w:tcPr>
          <w:p>
            <w:pPr>
              <w:spacing w:after="0"/>
              <w:rPr>
                <w:sz w:val="22"/>
                <w:szCs w:val="22"/>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311.2</w:t>
            </w:r>
          </w:p>
        </w:tc>
      </w:tr>
      <w:tr>
        <w:trPr>
          <w:trHeight w:val="276"/>
        </w:trPr>
        <w:tc>
          <w:tcPr>
            <w:tcW w:w="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Goodwill</w:t>
            </w:r>
          </w:p>
        </w:tc>
        <w:tc>
          <w:tcPr>
            <w:tcW w:w="300" w:type="dxa"/>
            <w:vAlign w:val="bottom"/>
            <w:shd w:val="clear" w:color="auto" w:fill="CCEEFF"/>
          </w:tcPr>
          <w:p>
            <w:pPr>
              <w:spacing w:after="0"/>
              <w:rPr>
                <w:sz w:val="24"/>
                <w:szCs w:val="24"/>
                <w:color w:val="auto"/>
              </w:rPr>
            </w:pPr>
          </w:p>
        </w:tc>
        <w:tc>
          <w:tcPr>
            <w:tcW w:w="668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883.4</w:t>
            </w:r>
          </w:p>
        </w:tc>
        <w:tc>
          <w:tcPr>
            <w:tcW w:w="4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835.8</w:t>
            </w:r>
          </w:p>
        </w:tc>
      </w:tr>
      <w:tr>
        <w:trPr>
          <w:trHeight w:val="264"/>
        </w:trPr>
        <w:tc>
          <w:tcPr>
            <w:tcW w:w="796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color w:val="auto"/>
              </w:rPr>
              <w:t>Identifiable intangible and other non-current assets</w:t>
            </w:r>
          </w:p>
        </w:tc>
        <w:tc>
          <w:tcPr>
            <w:tcW w:w="4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473.6</w:t>
            </w:r>
          </w:p>
        </w:tc>
        <w:tc>
          <w:tcPr>
            <w:tcW w:w="4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429.1</w:t>
            </w:r>
          </w:p>
        </w:tc>
      </w:tr>
      <w:tr>
        <w:trPr>
          <w:trHeight w:val="264"/>
        </w:trPr>
        <w:tc>
          <w:tcPr>
            <w:tcW w:w="98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4"/>
                <w:szCs w:val="14"/>
                <w:color w:val="auto"/>
                <w:w w:val="90"/>
              </w:rPr>
              <w:t>Total assets</w:t>
            </w:r>
          </w:p>
        </w:tc>
        <w:tc>
          <w:tcPr>
            <w:tcW w:w="300" w:type="dxa"/>
            <w:vAlign w:val="bottom"/>
            <w:tcBorders>
              <w:bottom w:val="single" w:sz="8" w:color="auto"/>
            </w:tcBorders>
            <w:shd w:val="clear" w:color="auto" w:fill="CCEEFF"/>
          </w:tcPr>
          <w:p>
            <w:pPr>
              <w:spacing w:after="0"/>
              <w:rPr>
                <w:sz w:val="22"/>
                <w:szCs w:val="22"/>
                <w:color w:val="auto"/>
              </w:rPr>
            </w:pPr>
          </w:p>
        </w:tc>
        <w:tc>
          <w:tcPr>
            <w:tcW w:w="6680" w:type="dxa"/>
            <w:vAlign w:val="bottom"/>
            <w:tcBorders>
              <w:bottom w:val="single" w:sz="8" w:color="auto"/>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5,263.6</w:t>
            </w:r>
          </w:p>
        </w:tc>
        <w:tc>
          <w:tcPr>
            <w:tcW w:w="48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5,412.6</w:t>
            </w:r>
          </w:p>
        </w:tc>
      </w:tr>
      <w:tr>
        <w:trPr>
          <w:trHeight w:val="20"/>
        </w:trPr>
        <w:tc>
          <w:tcPr>
            <w:tcW w:w="9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51"/>
        </w:trPr>
        <w:tc>
          <w:tcPr>
            <w:tcW w:w="980" w:type="dxa"/>
            <w:vAlign w:val="bottom"/>
          </w:tcPr>
          <w:p>
            <w:pPr>
              <w:ind w:left="40"/>
              <w:spacing w:after="0"/>
              <w:rPr>
                <w:sz w:val="20"/>
                <w:szCs w:val="20"/>
                <w:color w:val="auto"/>
              </w:rPr>
            </w:pPr>
            <w:r>
              <w:rPr>
                <w:rFonts w:ascii="Arial" w:cs="Arial" w:eastAsia="Arial" w:hAnsi="Arial"/>
                <w:sz w:val="14"/>
                <w:szCs w:val="14"/>
                <w:color w:val="auto"/>
              </w:rPr>
              <w:t>Liabilities:</w:t>
            </w:r>
          </w:p>
        </w:tc>
        <w:tc>
          <w:tcPr>
            <w:tcW w:w="300" w:type="dxa"/>
            <w:vAlign w:val="bottom"/>
          </w:tcPr>
          <w:p>
            <w:pPr>
              <w:spacing w:after="0"/>
              <w:rPr>
                <w:sz w:val="21"/>
                <w:szCs w:val="21"/>
                <w:color w:val="auto"/>
              </w:rPr>
            </w:pPr>
          </w:p>
        </w:tc>
        <w:tc>
          <w:tcPr>
            <w:tcW w:w="66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6"/>
        </w:trPr>
        <w:tc>
          <w:tcPr>
            <w:tcW w:w="796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Current liabilities:</w:t>
            </w:r>
          </w:p>
        </w:tc>
        <w:tc>
          <w:tcPr>
            <w:tcW w:w="4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r>
      <w:tr>
        <w:trPr>
          <w:trHeight w:val="264"/>
        </w:trPr>
        <w:tc>
          <w:tcPr>
            <w:tcW w:w="7960" w:type="dxa"/>
            <w:vAlign w:val="bottom"/>
            <w:gridSpan w:val="3"/>
          </w:tcPr>
          <w:p>
            <w:pPr>
              <w:ind w:left="180"/>
              <w:spacing w:after="0"/>
              <w:rPr>
                <w:sz w:val="20"/>
                <w:szCs w:val="20"/>
                <w:color w:val="auto"/>
              </w:rPr>
            </w:pPr>
            <w:r>
              <w:rPr>
                <w:rFonts w:ascii="Arial" w:cs="Arial" w:eastAsia="Arial" w:hAnsi="Arial"/>
                <w:sz w:val="14"/>
                <w:szCs w:val="14"/>
                <w:color w:val="auto"/>
              </w:rPr>
              <w:t>Short-term debt</w:t>
            </w: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88"/>
              <w:spacing w:after="0"/>
              <w:rPr>
                <w:sz w:val="20"/>
                <w:szCs w:val="20"/>
                <w:color w:val="auto"/>
              </w:rPr>
            </w:pPr>
            <w:r>
              <w:rPr>
                <w:rFonts w:ascii="Arial" w:cs="Arial" w:eastAsia="Arial" w:hAnsi="Arial"/>
                <w:sz w:val="14"/>
                <w:szCs w:val="14"/>
                <w:color w:val="auto"/>
              </w:rPr>
              <w:t>17.1</w:t>
            </w:r>
          </w:p>
        </w:tc>
        <w:tc>
          <w:tcPr>
            <w:tcW w:w="48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15.4</w:t>
            </w:r>
          </w:p>
        </w:tc>
      </w:tr>
      <w:tr>
        <w:trPr>
          <w:trHeight w:val="276"/>
        </w:trPr>
        <w:tc>
          <w:tcPr>
            <w:tcW w:w="796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Accounts payable</w:t>
            </w:r>
          </w:p>
        </w:tc>
        <w:tc>
          <w:tcPr>
            <w:tcW w:w="48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1,729.5</w:t>
            </w:r>
          </w:p>
        </w:tc>
        <w:tc>
          <w:tcPr>
            <w:tcW w:w="4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1,770.4</w:t>
            </w:r>
          </w:p>
        </w:tc>
      </w:tr>
      <w:tr>
        <w:trPr>
          <w:trHeight w:val="264"/>
        </w:trPr>
        <w:tc>
          <w:tcPr>
            <w:tcW w:w="7960" w:type="dxa"/>
            <w:vAlign w:val="bottom"/>
            <w:gridSpan w:val="3"/>
          </w:tcPr>
          <w:p>
            <w:pPr>
              <w:ind w:left="180"/>
              <w:spacing w:after="0"/>
              <w:rPr>
                <w:sz w:val="20"/>
                <w:szCs w:val="20"/>
                <w:color w:val="auto"/>
              </w:rPr>
            </w:pPr>
            <w:r>
              <w:rPr>
                <w:rFonts w:ascii="Arial" w:cs="Arial" w:eastAsia="Arial" w:hAnsi="Arial"/>
                <w:sz w:val="14"/>
                <w:szCs w:val="14"/>
                <w:color w:val="auto"/>
              </w:rPr>
              <w:t>Customer deposits</w:t>
            </w:r>
          </w:p>
        </w:tc>
        <w:tc>
          <w:tcPr>
            <w:tcW w:w="480" w:type="dxa"/>
            <w:vAlign w:val="bottom"/>
          </w:tcPr>
          <w:p>
            <w:pPr>
              <w:spacing w:after="0"/>
              <w:rPr>
                <w:sz w:val="22"/>
                <w:szCs w:val="22"/>
                <w:color w:val="auto"/>
              </w:rPr>
            </w:pPr>
          </w:p>
        </w:tc>
        <w:tc>
          <w:tcPr>
            <w:tcW w:w="1160" w:type="dxa"/>
            <w:vAlign w:val="bottom"/>
          </w:tcPr>
          <w:p>
            <w:pPr>
              <w:jc w:val="right"/>
              <w:ind w:right="88"/>
              <w:spacing w:after="0"/>
              <w:rPr>
                <w:sz w:val="20"/>
                <w:szCs w:val="20"/>
                <w:color w:val="auto"/>
              </w:rPr>
            </w:pPr>
            <w:r>
              <w:rPr>
                <w:rFonts w:ascii="Arial" w:cs="Arial" w:eastAsia="Arial" w:hAnsi="Arial"/>
                <w:sz w:val="14"/>
                <w:szCs w:val="14"/>
                <w:color w:val="auto"/>
              </w:rPr>
              <w:t>98.5</w:t>
            </w:r>
          </w:p>
        </w:tc>
        <w:tc>
          <w:tcPr>
            <w:tcW w:w="480" w:type="dxa"/>
            <w:vAlign w:val="bottom"/>
          </w:tcPr>
          <w:p>
            <w:pPr>
              <w:spacing w:after="0"/>
              <w:rPr>
                <w:sz w:val="22"/>
                <w:szCs w:val="22"/>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90.8</w:t>
            </w:r>
          </w:p>
        </w:tc>
      </w:tr>
      <w:tr>
        <w:trPr>
          <w:trHeight w:val="270"/>
        </w:trPr>
        <w:tc>
          <w:tcPr>
            <w:tcW w:w="7960" w:type="dxa"/>
            <w:vAlign w:val="bottom"/>
            <w:tcBorders>
              <w:bottom w:val="single" w:sz="8" w:color="auto"/>
            </w:tcBorders>
            <w:gridSpan w:val="3"/>
            <w:shd w:val="clear" w:color="auto" w:fill="CCEEFF"/>
          </w:tcPr>
          <w:p>
            <w:pPr>
              <w:ind w:left="180"/>
              <w:spacing w:after="0"/>
              <w:rPr>
                <w:sz w:val="20"/>
                <w:szCs w:val="20"/>
                <w:color w:val="auto"/>
              </w:rPr>
            </w:pPr>
            <w:r>
              <w:rPr>
                <w:rFonts w:ascii="Arial" w:cs="Arial" w:eastAsia="Arial" w:hAnsi="Arial"/>
                <w:sz w:val="14"/>
                <w:szCs w:val="14"/>
                <w:color w:val="auto"/>
              </w:rPr>
              <w:t>Accrued expenses and other current liabilities</w:t>
            </w:r>
          </w:p>
        </w:tc>
        <w:tc>
          <w:tcPr>
            <w:tcW w:w="48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249.6</w:t>
            </w:r>
          </w:p>
        </w:tc>
        <w:tc>
          <w:tcPr>
            <w:tcW w:w="48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306.0</w:t>
            </w:r>
          </w:p>
        </w:tc>
      </w:tr>
      <w:tr>
        <w:trPr>
          <w:trHeight w:val="264"/>
        </w:trPr>
        <w:tc>
          <w:tcPr>
            <w:tcW w:w="7960" w:type="dxa"/>
            <w:vAlign w:val="bottom"/>
            <w:gridSpan w:val="3"/>
          </w:tcPr>
          <w:p>
            <w:pPr>
              <w:ind w:left="280"/>
              <w:spacing w:after="0"/>
              <w:rPr>
                <w:sz w:val="20"/>
                <w:szCs w:val="20"/>
                <w:color w:val="auto"/>
              </w:rPr>
            </w:pPr>
            <w:r>
              <w:rPr>
                <w:rFonts w:ascii="Arial" w:cs="Arial" w:eastAsia="Arial" w:hAnsi="Arial"/>
                <w:sz w:val="14"/>
                <w:szCs w:val="14"/>
                <w:color w:val="auto"/>
              </w:rPr>
              <w:t>Total current liabilities</w:t>
            </w:r>
          </w:p>
        </w:tc>
        <w:tc>
          <w:tcPr>
            <w:tcW w:w="480" w:type="dxa"/>
            <w:vAlign w:val="bottom"/>
          </w:tcPr>
          <w:p>
            <w:pPr>
              <w:spacing w:after="0"/>
              <w:rPr>
                <w:sz w:val="22"/>
                <w:szCs w:val="22"/>
                <w:color w:val="auto"/>
              </w:rPr>
            </w:pPr>
          </w:p>
        </w:tc>
        <w:tc>
          <w:tcPr>
            <w:tcW w:w="1160" w:type="dxa"/>
            <w:vAlign w:val="bottom"/>
          </w:tcPr>
          <w:p>
            <w:pPr>
              <w:jc w:val="right"/>
              <w:ind w:right="88"/>
              <w:spacing w:after="0"/>
              <w:rPr>
                <w:sz w:val="20"/>
                <w:szCs w:val="20"/>
                <w:color w:val="auto"/>
              </w:rPr>
            </w:pPr>
            <w:r>
              <w:rPr>
                <w:rFonts w:ascii="Arial" w:cs="Arial" w:eastAsia="Arial" w:hAnsi="Arial"/>
                <w:sz w:val="14"/>
                <w:szCs w:val="14"/>
                <w:color w:val="auto"/>
              </w:rPr>
              <w:t>2,094.7</w:t>
            </w:r>
          </w:p>
        </w:tc>
        <w:tc>
          <w:tcPr>
            <w:tcW w:w="480" w:type="dxa"/>
            <w:vAlign w:val="bottom"/>
          </w:tcPr>
          <w:p>
            <w:pPr>
              <w:spacing w:after="0"/>
              <w:rPr>
                <w:sz w:val="22"/>
                <w:szCs w:val="22"/>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2,182.7</w:t>
            </w:r>
          </w:p>
        </w:tc>
      </w:tr>
      <w:tr>
        <w:trPr>
          <w:trHeight w:val="276"/>
        </w:trPr>
        <w:tc>
          <w:tcPr>
            <w:tcW w:w="9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668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r>
      <w:tr>
        <w:trPr>
          <w:trHeight w:val="264"/>
        </w:trPr>
        <w:tc>
          <w:tcPr>
            <w:tcW w:w="980" w:type="dxa"/>
            <w:vAlign w:val="bottom"/>
          </w:tcPr>
          <w:p>
            <w:pPr>
              <w:ind w:left="40"/>
              <w:spacing w:after="0"/>
              <w:rPr>
                <w:sz w:val="20"/>
                <w:szCs w:val="20"/>
                <w:color w:val="auto"/>
              </w:rPr>
            </w:pPr>
            <w:r>
              <w:rPr>
                <w:rFonts w:ascii="Arial" w:cs="Arial" w:eastAsia="Arial" w:hAnsi="Arial"/>
                <w:sz w:val="14"/>
                <w:szCs w:val="14"/>
                <w:color w:val="auto"/>
                <w:w w:val="96"/>
              </w:rPr>
              <w:t>Long-term debt</w:t>
            </w:r>
          </w:p>
        </w:tc>
        <w:tc>
          <w:tcPr>
            <w:tcW w:w="300" w:type="dxa"/>
            <w:vAlign w:val="bottom"/>
          </w:tcPr>
          <w:p>
            <w:pPr>
              <w:spacing w:after="0"/>
              <w:rPr>
                <w:sz w:val="22"/>
                <w:szCs w:val="22"/>
                <w:color w:val="auto"/>
              </w:rPr>
            </w:pPr>
          </w:p>
        </w:tc>
        <w:tc>
          <w:tcPr>
            <w:tcW w:w="66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60" w:type="dxa"/>
            <w:vAlign w:val="bottom"/>
          </w:tcPr>
          <w:p>
            <w:pPr>
              <w:jc w:val="right"/>
              <w:ind w:right="88"/>
              <w:spacing w:after="0"/>
              <w:rPr>
                <w:sz w:val="20"/>
                <w:szCs w:val="20"/>
                <w:color w:val="auto"/>
              </w:rPr>
            </w:pPr>
            <w:r>
              <w:rPr>
                <w:rFonts w:ascii="Arial" w:cs="Arial" w:eastAsia="Arial" w:hAnsi="Arial"/>
                <w:sz w:val="14"/>
                <w:szCs w:val="14"/>
                <w:color w:val="auto"/>
              </w:rPr>
              <w:t>1,065.8</w:t>
            </w:r>
          </w:p>
        </w:tc>
        <w:tc>
          <w:tcPr>
            <w:tcW w:w="480" w:type="dxa"/>
            <w:vAlign w:val="bottom"/>
          </w:tcPr>
          <w:p>
            <w:pPr>
              <w:spacing w:after="0"/>
              <w:rPr>
                <w:sz w:val="22"/>
                <w:szCs w:val="22"/>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1,170.8</w:t>
            </w:r>
          </w:p>
        </w:tc>
      </w:tr>
      <w:tr>
        <w:trPr>
          <w:trHeight w:val="276"/>
        </w:trPr>
        <w:tc>
          <w:tcPr>
            <w:tcW w:w="796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Non-current income tax liabilities, net</w:t>
            </w:r>
          </w:p>
        </w:tc>
        <w:tc>
          <w:tcPr>
            <w:tcW w:w="48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88.5</w:t>
            </w:r>
          </w:p>
        </w:tc>
        <w:tc>
          <w:tcPr>
            <w:tcW w:w="4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84.6</w:t>
            </w:r>
          </w:p>
        </w:tc>
      </w:tr>
      <w:tr>
        <w:trPr>
          <w:trHeight w:val="264"/>
        </w:trPr>
        <w:tc>
          <w:tcPr>
            <w:tcW w:w="796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color w:val="auto"/>
              </w:rPr>
              <w:t>Other long-term liabilities</w:t>
            </w:r>
          </w:p>
        </w:tc>
        <w:tc>
          <w:tcPr>
            <w:tcW w:w="4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39.0</w:t>
            </w:r>
          </w:p>
        </w:tc>
        <w:tc>
          <w:tcPr>
            <w:tcW w:w="4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34.5</w:t>
            </w:r>
          </w:p>
        </w:tc>
      </w:tr>
      <w:tr>
        <w:trPr>
          <w:trHeight w:val="264"/>
        </w:trPr>
        <w:tc>
          <w:tcPr>
            <w:tcW w:w="7960" w:type="dxa"/>
            <w:vAlign w:val="bottom"/>
            <w:tcBorders>
              <w:bottom w:val="single" w:sz="8" w:color="auto"/>
            </w:tcBorders>
            <w:gridSpan w:val="3"/>
            <w:shd w:val="clear" w:color="auto" w:fill="CCEEFF"/>
          </w:tcPr>
          <w:p>
            <w:pPr>
              <w:ind w:left="280"/>
              <w:spacing w:after="0"/>
              <w:rPr>
                <w:sz w:val="20"/>
                <w:szCs w:val="20"/>
                <w:color w:val="auto"/>
              </w:rPr>
            </w:pPr>
            <w:r>
              <w:rPr>
                <w:rFonts w:ascii="Arial" w:cs="Arial" w:eastAsia="Arial" w:hAnsi="Arial"/>
                <w:sz w:val="14"/>
                <w:szCs w:val="14"/>
                <w:color w:val="auto"/>
              </w:rPr>
              <w:t>Total liabilities</w:t>
            </w:r>
          </w:p>
        </w:tc>
        <w:tc>
          <w:tcPr>
            <w:tcW w:w="48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3,288.0</w:t>
            </w:r>
          </w:p>
        </w:tc>
        <w:tc>
          <w:tcPr>
            <w:tcW w:w="48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3,472.6</w:t>
            </w:r>
          </w:p>
        </w:tc>
      </w:tr>
      <w:tr>
        <w:trPr>
          <w:trHeight w:val="20"/>
        </w:trPr>
        <w:tc>
          <w:tcPr>
            <w:tcW w:w="1280" w:type="dxa"/>
            <w:vAlign w:val="bottom"/>
            <w:tcBorders>
              <w:bottom w:val="single" w:sz="8" w:color="auto"/>
            </w:tcBorders>
            <w:gridSpan w:val="2"/>
          </w:tcPr>
          <w:p>
            <w:pPr>
              <w:spacing w:after="0" w:line="20" w:lineRule="exact"/>
              <w:rPr>
                <w:sz w:val="1"/>
                <w:szCs w:val="1"/>
                <w:color w:val="auto"/>
              </w:rPr>
            </w:pPr>
          </w:p>
        </w:tc>
        <w:tc>
          <w:tcPr>
            <w:tcW w:w="66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51"/>
        </w:trPr>
        <w:tc>
          <w:tcPr>
            <w:tcW w:w="7960" w:type="dxa"/>
            <w:vAlign w:val="bottom"/>
            <w:gridSpan w:val="3"/>
          </w:tcPr>
          <w:p>
            <w:pPr>
              <w:ind w:left="40"/>
              <w:spacing w:after="0"/>
              <w:rPr>
                <w:sz w:val="20"/>
                <w:szCs w:val="20"/>
                <w:color w:val="auto"/>
              </w:rPr>
            </w:pPr>
            <w:r>
              <w:rPr>
                <w:rFonts w:ascii="Arial" w:cs="Arial" w:eastAsia="Arial" w:hAnsi="Arial"/>
                <w:sz w:val="14"/>
                <w:szCs w:val="14"/>
                <w:color w:val="auto"/>
              </w:rPr>
              <w:t>Commitments and contingencies</w:t>
            </w:r>
          </w:p>
        </w:tc>
        <w:tc>
          <w:tcPr>
            <w:tcW w:w="4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6"/>
        </w:trPr>
        <w:tc>
          <w:tcPr>
            <w:tcW w:w="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Equity:</w:t>
            </w:r>
          </w:p>
        </w:tc>
        <w:tc>
          <w:tcPr>
            <w:tcW w:w="300" w:type="dxa"/>
            <w:vAlign w:val="bottom"/>
            <w:shd w:val="clear" w:color="auto" w:fill="CCEEFF"/>
          </w:tcPr>
          <w:p>
            <w:pPr>
              <w:spacing w:after="0"/>
              <w:rPr>
                <w:sz w:val="24"/>
                <w:szCs w:val="24"/>
                <w:color w:val="auto"/>
              </w:rPr>
            </w:pPr>
          </w:p>
        </w:tc>
        <w:tc>
          <w:tcPr>
            <w:tcW w:w="668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r>
      <w:tr>
        <w:trPr>
          <w:trHeight w:val="264"/>
        </w:trPr>
        <w:tc>
          <w:tcPr>
            <w:tcW w:w="7960" w:type="dxa"/>
            <w:vAlign w:val="bottom"/>
            <w:gridSpan w:val="3"/>
          </w:tcPr>
          <w:p>
            <w:pPr>
              <w:ind w:left="40"/>
              <w:spacing w:after="0"/>
              <w:rPr>
                <w:sz w:val="20"/>
                <w:szCs w:val="20"/>
                <w:color w:val="auto"/>
              </w:rPr>
            </w:pPr>
            <w:r>
              <w:rPr>
                <w:rFonts w:ascii="Arial" w:cs="Arial" w:eastAsia="Arial" w:hAnsi="Arial"/>
                <w:sz w:val="14"/>
                <w:szCs w:val="14"/>
                <w:color w:val="auto"/>
              </w:rPr>
              <w:t>World Fuel shareholders' equity:</w:t>
            </w:r>
          </w:p>
        </w:tc>
        <w:tc>
          <w:tcPr>
            <w:tcW w:w="4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76"/>
        </w:trPr>
        <w:tc>
          <w:tcPr>
            <w:tcW w:w="796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Preferred stock, $1.00 par value; 0.1 shares authorized, none issued</w:t>
            </w:r>
          </w:p>
        </w:tc>
        <w:tc>
          <w:tcPr>
            <w:tcW w:w="48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r>
      <w:tr>
        <w:trPr>
          <w:trHeight w:val="157"/>
        </w:trPr>
        <w:tc>
          <w:tcPr>
            <w:tcW w:w="7960" w:type="dxa"/>
            <w:vAlign w:val="bottom"/>
            <w:gridSpan w:val="3"/>
          </w:tcPr>
          <w:p>
            <w:pPr>
              <w:ind w:left="180"/>
              <w:spacing w:after="0" w:line="157" w:lineRule="exact"/>
              <w:rPr>
                <w:sz w:val="20"/>
                <w:szCs w:val="20"/>
                <w:color w:val="auto"/>
              </w:rPr>
            </w:pPr>
            <w:r>
              <w:rPr>
                <w:rFonts w:ascii="Arial" w:cs="Arial" w:eastAsia="Arial" w:hAnsi="Arial"/>
                <w:sz w:val="14"/>
                <w:szCs w:val="14"/>
                <w:color w:val="auto"/>
                <w:w w:val="93"/>
              </w:rPr>
              <w:t>Common stock, $0.01 par value; 100.0 shares authorized, 69.6 and 69.9 issued and outstanding as of March 31, 2017 and December</w:t>
            </w:r>
          </w:p>
        </w:tc>
        <w:tc>
          <w:tcPr>
            <w:tcW w:w="4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80" w:type="dxa"/>
            <w:vAlign w:val="bottom"/>
          </w:tcPr>
          <w:p>
            <w:pPr>
              <w:spacing w:after="0"/>
              <w:rPr>
                <w:sz w:val="13"/>
                <w:szCs w:val="13"/>
                <w:color w:val="auto"/>
              </w:rPr>
            </w:pPr>
          </w:p>
        </w:tc>
      </w:tr>
      <w:tr>
        <w:trPr>
          <w:trHeight w:val="188"/>
        </w:trPr>
        <w:tc>
          <w:tcPr>
            <w:tcW w:w="7960" w:type="dxa"/>
            <w:vAlign w:val="bottom"/>
            <w:gridSpan w:val="3"/>
          </w:tcPr>
          <w:p>
            <w:pPr>
              <w:ind w:left="180"/>
              <w:spacing w:after="0"/>
              <w:rPr>
                <w:sz w:val="20"/>
                <w:szCs w:val="20"/>
                <w:color w:val="auto"/>
              </w:rPr>
            </w:pPr>
            <w:r>
              <w:rPr>
                <w:rFonts w:ascii="Arial" w:cs="Arial" w:eastAsia="Arial" w:hAnsi="Arial"/>
                <w:sz w:val="14"/>
                <w:szCs w:val="14"/>
                <w:color w:val="auto"/>
              </w:rPr>
              <w:t>31, 2016, respectively</w:t>
            </w:r>
          </w:p>
        </w:tc>
        <w:tc>
          <w:tcPr>
            <w:tcW w:w="480" w:type="dxa"/>
            <w:vAlign w:val="bottom"/>
          </w:tcPr>
          <w:p>
            <w:pPr>
              <w:spacing w:after="0"/>
              <w:rPr>
                <w:sz w:val="16"/>
                <w:szCs w:val="16"/>
                <w:color w:val="auto"/>
              </w:rPr>
            </w:pPr>
          </w:p>
        </w:tc>
        <w:tc>
          <w:tcPr>
            <w:tcW w:w="1160" w:type="dxa"/>
            <w:vAlign w:val="bottom"/>
          </w:tcPr>
          <w:p>
            <w:pPr>
              <w:jc w:val="right"/>
              <w:ind w:right="88"/>
              <w:spacing w:after="0"/>
              <w:rPr>
                <w:sz w:val="20"/>
                <w:szCs w:val="20"/>
                <w:color w:val="auto"/>
              </w:rPr>
            </w:pPr>
            <w:r>
              <w:rPr>
                <w:rFonts w:ascii="Arial" w:cs="Arial" w:eastAsia="Arial" w:hAnsi="Arial"/>
                <w:sz w:val="14"/>
                <w:szCs w:val="14"/>
                <w:color w:val="auto"/>
              </w:rPr>
              <w:t>0.7</w:t>
            </w:r>
          </w:p>
        </w:tc>
        <w:tc>
          <w:tcPr>
            <w:tcW w:w="480" w:type="dxa"/>
            <w:vAlign w:val="bottom"/>
          </w:tcPr>
          <w:p>
            <w:pPr>
              <w:spacing w:after="0"/>
              <w:rPr>
                <w:sz w:val="16"/>
                <w:szCs w:val="16"/>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0.7</w:t>
            </w:r>
          </w:p>
        </w:tc>
      </w:tr>
      <w:tr>
        <w:trPr>
          <w:trHeight w:val="276"/>
        </w:trPr>
        <w:tc>
          <w:tcPr>
            <w:tcW w:w="796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Capital in excess of par value</w:t>
            </w:r>
          </w:p>
        </w:tc>
        <w:tc>
          <w:tcPr>
            <w:tcW w:w="48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391.8</w:t>
            </w:r>
          </w:p>
        </w:tc>
        <w:tc>
          <w:tcPr>
            <w:tcW w:w="4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399.9</w:t>
            </w:r>
          </w:p>
        </w:tc>
      </w:tr>
      <w:tr>
        <w:trPr>
          <w:trHeight w:val="264"/>
        </w:trPr>
        <w:tc>
          <w:tcPr>
            <w:tcW w:w="7960" w:type="dxa"/>
            <w:vAlign w:val="bottom"/>
            <w:gridSpan w:val="3"/>
          </w:tcPr>
          <w:p>
            <w:pPr>
              <w:ind w:left="180"/>
              <w:spacing w:after="0"/>
              <w:rPr>
                <w:sz w:val="20"/>
                <w:szCs w:val="20"/>
                <w:color w:val="auto"/>
              </w:rPr>
            </w:pPr>
            <w:r>
              <w:rPr>
                <w:rFonts w:ascii="Arial" w:cs="Arial" w:eastAsia="Arial" w:hAnsi="Arial"/>
                <w:sz w:val="14"/>
                <w:szCs w:val="14"/>
                <w:color w:val="auto"/>
              </w:rPr>
              <w:t>Retained earnings</w:t>
            </w:r>
          </w:p>
        </w:tc>
        <w:tc>
          <w:tcPr>
            <w:tcW w:w="480" w:type="dxa"/>
            <w:vAlign w:val="bottom"/>
          </w:tcPr>
          <w:p>
            <w:pPr>
              <w:spacing w:after="0"/>
              <w:rPr>
                <w:sz w:val="22"/>
                <w:szCs w:val="22"/>
                <w:color w:val="auto"/>
              </w:rPr>
            </w:pPr>
          </w:p>
        </w:tc>
        <w:tc>
          <w:tcPr>
            <w:tcW w:w="1160" w:type="dxa"/>
            <w:vAlign w:val="bottom"/>
          </w:tcPr>
          <w:p>
            <w:pPr>
              <w:jc w:val="right"/>
              <w:ind w:right="88"/>
              <w:spacing w:after="0"/>
              <w:rPr>
                <w:sz w:val="20"/>
                <w:szCs w:val="20"/>
                <w:color w:val="auto"/>
              </w:rPr>
            </w:pPr>
            <w:r>
              <w:rPr>
                <w:rFonts w:ascii="Arial" w:cs="Arial" w:eastAsia="Arial" w:hAnsi="Arial"/>
                <w:sz w:val="14"/>
                <w:szCs w:val="14"/>
                <w:color w:val="auto"/>
              </w:rPr>
              <w:t>1,706.5</w:t>
            </w:r>
          </w:p>
        </w:tc>
        <w:tc>
          <w:tcPr>
            <w:tcW w:w="480" w:type="dxa"/>
            <w:vAlign w:val="bottom"/>
          </w:tcPr>
          <w:p>
            <w:pPr>
              <w:spacing w:after="0"/>
              <w:rPr>
                <w:sz w:val="22"/>
                <w:szCs w:val="22"/>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1,679.3</w:t>
            </w:r>
          </w:p>
        </w:tc>
      </w:tr>
      <w:tr>
        <w:trPr>
          <w:trHeight w:val="270"/>
        </w:trPr>
        <w:tc>
          <w:tcPr>
            <w:tcW w:w="7960" w:type="dxa"/>
            <w:vAlign w:val="bottom"/>
            <w:tcBorders>
              <w:bottom w:val="single" w:sz="8" w:color="auto"/>
            </w:tcBorders>
            <w:gridSpan w:val="3"/>
            <w:shd w:val="clear" w:color="auto" w:fill="CCEEFF"/>
          </w:tcPr>
          <w:p>
            <w:pPr>
              <w:ind w:left="180"/>
              <w:spacing w:after="0"/>
              <w:rPr>
                <w:sz w:val="20"/>
                <w:szCs w:val="20"/>
                <w:color w:val="auto"/>
              </w:rPr>
            </w:pPr>
            <w:r>
              <w:rPr>
                <w:rFonts w:ascii="Arial" w:cs="Arial" w:eastAsia="Arial" w:hAnsi="Arial"/>
                <w:sz w:val="14"/>
                <w:szCs w:val="14"/>
                <w:color w:val="auto"/>
              </w:rPr>
              <w:t>Accumulated other comprehensive loss</w:t>
            </w:r>
          </w:p>
        </w:tc>
        <w:tc>
          <w:tcPr>
            <w:tcW w:w="48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(138.1)</w:t>
            </w:r>
          </w:p>
        </w:tc>
        <w:tc>
          <w:tcPr>
            <w:tcW w:w="48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(154.8)</w:t>
            </w:r>
          </w:p>
        </w:tc>
      </w:tr>
      <w:tr>
        <w:trPr>
          <w:trHeight w:val="264"/>
        </w:trPr>
        <w:tc>
          <w:tcPr>
            <w:tcW w:w="7960" w:type="dxa"/>
            <w:vAlign w:val="bottom"/>
            <w:gridSpan w:val="3"/>
          </w:tcPr>
          <w:p>
            <w:pPr>
              <w:ind w:left="280"/>
              <w:spacing w:after="0"/>
              <w:rPr>
                <w:sz w:val="20"/>
                <w:szCs w:val="20"/>
                <w:color w:val="auto"/>
              </w:rPr>
            </w:pPr>
            <w:r>
              <w:rPr>
                <w:rFonts w:ascii="Arial" w:cs="Arial" w:eastAsia="Arial" w:hAnsi="Arial"/>
                <w:sz w:val="14"/>
                <w:szCs w:val="14"/>
                <w:color w:val="auto"/>
              </w:rPr>
              <w:t>Total World Fuel shareholders' equity</w:t>
            </w:r>
          </w:p>
        </w:tc>
        <w:tc>
          <w:tcPr>
            <w:tcW w:w="480" w:type="dxa"/>
            <w:vAlign w:val="bottom"/>
          </w:tcPr>
          <w:p>
            <w:pPr>
              <w:spacing w:after="0"/>
              <w:rPr>
                <w:sz w:val="22"/>
                <w:szCs w:val="22"/>
                <w:color w:val="auto"/>
              </w:rPr>
            </w:pPr>
          </w:p>
        </w:tc>
        <w:tc>
          <w:tcPr>
            <w:tcW w:w="1160" w:type="dxa"/>
            <w:vAlign w:val="bottom"/>
          </w:tcPr>
          <w:p>
            <w:pPr>
              <w:jc w:val="right"/>
              <w:ind w:right="88"/>
              <w:spacing w:after="0"/>
              <w:rPr>
                <w:sz w:val="20"/>
                <w:szCs w:val="20"/>
                <w:color w:val="auto"/>
              </w:rPr>
            </w:pPr>
            <w:r>
              <w:rPr>
                <w:rFonts w:ascii="Arial" w:cs="Arial" w:eastAsia="Arial" w:hAnsi="Arial"/>
                <w:sz w:val="14"/>
                <w:szCs w:val="14"/>
                <w:color w:val="auto"/>
              </w:rPr>
              <w:t>1,960.8</w:t>
            </w:r>
          </w:p>
        </w:tc>
        <w:tc>
          <w:tcPr>
            <w:tcW w:w="480" w:type="dxa"/>
            <w:vAlign w:val="bottom"/>
          </w:tcPr>
          <w:p>
            <w:pPr>
              <w:spacing w:after="0"/>
              <w:rPr>
                <w:sz w:val="22"/>
                <w:szCs w:val="22"/>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1,925.0</w:t>
            </w:r>
          </w:p>
        </w:tc>
      </w:tr>
      <w:tr>
        <w:trPr>
          <w:trHeight w:val="270"/>
        </w:trPr>
        <w:tc>
          <w:tcPr>
            <w:tcW w:w="7960" w:type="dxa"/>
            <w:vAlign w:val="bottom"/>
            <w:tcBorders>
              <w:bottom w:val="single" w:sz="8" w:color="auto"/>
            </w:tcBorders>
            <w:gridSpan w:val="3"/>
            <w:shd w:val="clear" w:color="auto" w:fill="CCEEFF"/>
          </w:tcPr>
          <w:p>
            <w:pPr>
              <w:ind w:left="40"/>
              <w:spacing w:after="0"/>
              <w:rPr>
                <w:sz w:val="20"/>
                <w:szCs w:val="20"/>
                <w:color w:val="auto"/>
              </w:rPr>
            </w:pPr>
            <w:r>
              <w:rPr>
                <w:rFonts w:ascii="Arial" w:cs="Arial" w:eastAsia="Arial" w:hAnsi="Arial"/>
                <w:sz w:val="14"/>
                <w:szCs w:val="14"/>
                <w:color w:val="auto"/>
              </w:rPr>
              <w:t>Noncontrolling interest equity</w:t>
            </w:r>
          </w:p>
        </w:tc>
        <w:tc>
          <w:tcPr>
            <w:tcW w:w="48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14.8</w:t>
            </w:r>
          </w:p>
        </w:tc>
        <w:tc>
          <w:tcPr>
            <w:tcW w:w="48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15.0</w:t>
            </w:r>
          </w:p>
        </w:tc>
      </w:tr>
      <w:tr>
        <w:trPr>
          <w:trHeight w:val="264"/>
        </w:trPr>
        <w:tc>
          <w:tcPr>
            <w:tcW w:w="98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w w:val="93"/>
              </w:rPr>
              <w:t>Total equity</w:t>
            </w:r>
          </w:p>
        </w:tc>
        <w:tc>
          <w:tcPr>
            <w:tcW w:w="300" w:type="dxa"/>
            <w:vAlign w:val="bottom"/>
            <w:tcBorders>
              <w:bottom w:val="single" w:sz="8" w:color="auto"/>
            </w:tcBorders>
          </w:tcPr>
          <w:p>
            <w:pPr>
              <w:spacing w:after="0"/>
              <w:rPr>
                <w:sz w:val="22"/>
                <w:szCs w:val="22"/>
                <w:color w:val="auto"/>
              </w:rPr>
            </w:pPr>
          </w:p>
        </w:tc>
        <w:tc>
          <w:tcPr>
            <w:tcW w:w="668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1,975.6</w:t>
            </w:r>
          </w:p>
        </w:tc>
        <w:tc>
          <w:tcPr>
            <w:tcW w:w="4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1,940.0</w:t>
            </w:r>
          </w:p>
        </w:tc>
      </w:tr>
      <w:tr>
        <w:trPr>
          <w:trHeight w:val="264"/>
        </w:trPr>
        <w:tc>
          <w:tcPr>
            <w:tcW w:w="7960" w:type="dxa"/>
            <w:vAlign w:val="bottom"/>
            <w:tcBorders>
              <w:bottom w:val="single" w:sz="8" w:color="auto"/>
            </w:tcBorders>
            <w:gridSpan w:val="3"/>
            <w:shd w:val="clear" w:color="auto" w:fill="CCEEFF"/>
          </w:tcPr>
          <w:p>
            <w:pPr>
              <w:ind w:left="280"/>
              <w:spacing w:after="0"/>
              <w:rPr>
                <w:sz w:val="20"/>
                <w:szCs w:val="20"/>
                <w:color w:val="auto"/>
              </w:rPr>
            </w:pPr>
            <w:r>
              <w:rPr>
                <w:rFonts w:ascii="Arial" w:cs="Arial" w:eastAsia="Arial" w:hAnsi="Arial"/>
                <w:sz w:val="14"/>
                <w:szCs w:val="14"/>
                <w:color w:val="auto"/>
              </w:rPr>
              <w:t>Total liabilities and equity</w:t>
            </w:r>
          </w:p>
        </w:tc>
        <w:tc>
          <w:tcPr>
            <w:tcW w:w="48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5,263.6</w:t>
            </w:r>
          </w:p>
        </w:tc>
        <w:tc>
          <w:tcPr>
            <w:tcW w:w="48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5,412.6</w:t>
            </w:r>
          </w:p>
        </w:tc>
      </w:tr>
      <w:tr>
        <w:trPr>
          <w:trHeight w:val="20"/>
        </w:trPr>
        <w:tc>
          <w:tcPr>
            <w:tcW w:w="9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The accompanying notes are an integral part of these unaudited consolidated financial statements.</w:t>
      </w:r>
    </w:p>
    <w:p>
      <w:pPr>
        <w:sectPr>
          <w:pgSz w:w="11900" w:h="16838" w:orient="portrait"/>
          <w:cols w:equalWidth="0" w:num="1">
            <w:col w:w="11360"/>
          </w:cols>
          <w:pgMar w:left="240" w:top="108"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360"/>
          </w:cols>
          <w:pgMar w:left="240" w:top="108" w:right="299" w:bottom="1440"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World Fuel Services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 and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 In millions, except per share data)</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4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00" w:type="dxa"/>
            <w:vAlign w:val="bottom"/>
            <w:gridSpan w:val="2"/>
          </w:tcPr>
          <w:p>
            <w:pPr>
              <w:ind w:left="100"/>
              <w:spacing w:after="0"/>
              <w:rPr>
                <w:sz w:val="20"/>
                <w:szCs w:val="20"/>
                <w:color w:val="auto"/>
              </w:rPr>
            </w:pPr>
            <w:r>
              <w:rPr>
                <w:rFonts w:ascii="Arial" w:cs="Arial" w:eastAsia="Arial" w:hAnsi="Arial"/>
                <w:sz w:val="14"/>
                <w:szCs w:val="14"/>
                <w:b w:val="1"/>
                <w:bCs w:val="1"/>
                <w:color w:val="auto"/>
                <w:w w:val="99"/>
              </w:rPr>
              <w:t>For the Three Months Ended</w:t>
            </w:r>
          </w:p>
        </w:tc>
        <w:tc>
          <w:tcPr>
            <w:tcW w:w="0" w:type="dxa"/>
            <w:vAlign w:val="bottom"/>
          </w:tcPr>
          <w:p>
            <w:pPr>
              <w:spacing w:after="0"/>
              <w:rPr>
                <w:sz w:val="1"/>
                <w:szCs w:val="1"/>
                <w:color w:val="auto"/>
              </w:rPr>
            </w:pPr>
          </w:p>
        </w:tc>
      </w:tr>
      <w:tr>
        <w:trPr>
          <w:trHeight w:val="276"/>
        </w:trPr>
        <w:tc>
          <w:tcPr>
            <w:tcW w:w="744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264"/>
        </w:trPr>
        <w:tc>
          <w:tcPr>
            <w:tcW w:w="74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2017</w:t>
            </w:r>
          </w:p>
        </w:tc>
        <w:tc>
          <w:tcPr>
            <w:tcW w:w="7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w:t>
            </w:r>
          </w:p>
        </w:tc>
        <w:tc>
          <w:tcPr>
            <w:tcW w:w="740" w:type="dxa"/>
            <w:vAlign w:val="bottom"/>
            <w:shd w:val="clear" w:color="auto" w:fill="CCEEFF"/>
          </w:tcPr>
          <w:p>
            <w:pPr>
              <w:jc w:val="right"/>
              <w:ind w:right="56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8,194.3</w:t>
            </w:r>
          </w:p>
        </w:tc>
        <w:tc>
          <w:tcPr>
            <w:tcW w:w="7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5,190.8</w:t>
            </w:r>
          </w:p>
        </w:tc>
        <w:tc>
          <w:tcPr>
            <w:tcW w:w="0" w:type="dxa"/>
            <w:vAlign w:val="bottom"/>
          </w:tcPr>
          <w:p>
            <w:pPr>
              <w:spacing w:after="0"/>
              <w:rPr>
                <w:sz w:val="1"/>
                <w:szCs w:val="1"/>
                <w:color w:val="auto"/>
              </w:rPr>
            </w:pPr>
          </w:p>
        </w:tc>
      </w:tr>
      <w:tr>
        <w:trPr>
          <w:trHeight w:val="264"/>
        </w:trPr>
        <w:tc>
          <w:tcPr>
            <w:tcW w:w="74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Cost of revenue</w:t>
            </w:r>
          </w:p>
        </w:tc>
        <w:tc>
          <w:tcPr>
            <w:tcW w:w="7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7,962.9</w:t>
            </w:r>
          </w:p>
        </w:tc>
        <w:tc>
          <w:tcPr>
            <w:tcW w:w="7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4,969.3</w:t>
            </w:r>
          </w:p>
        </w:tc>
        <w:tc>
          <w:tcPr>
            <w:tcW w:w="0" w:type="dxa"/>
            <w:vAlign w:val="bottom"/>
          </w:tcPr>
          <w:p>
            <w:pPr>
              <w:spacing w:after="0"/>
              <w:rPr>
                <w:sz w:val="1"/>
                <w:szCs w:val="1"/>
                <w:color w:val="auto"/>
              </w:rPr>
            </w:pPr>
          </w:p>
        </w:tc>
      </w:tr>
      <w:tr>
        <w:trPr>
          <w:trHeight w:val="264"/>
        </w:trPr>
        <w:tc>
          <w:tcPr>
            <w:tcW w:w="744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4"/>
                <w:szCs w:val="14"/>
                <w:color w:val="auto"/>
              </w:rPr>
              <w:t>Gross profit</w:t>
            </w:r>
          </w:p>
        </w:tc>
        <w:tc>
          <w:tcPr>
            <w:tcW w:w="74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231.4</w:t>
            </w:r>
          </w:p>
        </w:tc>
        <w:tc>
          <w:tcPr>
            <w:tcW w:w="72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221.5</w:t>
            </w:r>
          </w:p>
        </w:tc>
        <w:tc>
          <w:tcPr>
            <w:tcW w:w="0" w:type="dxa"/>
            <w:vAlign w:val="bottom"/>
          </w:tcPr>
          <w:p>
            <w:pPr>
              <w:spacing w:after="0"/>
              <w:rPr>
                <w:sz w:val="1"/>
                <w:szCs w:val="1"/>
                <w:color w:val="auto"/>
              </w:rPr>
            </w:pP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Operating expenses:</w:t>
            </w:r>
          </w:p>
        </w:tc>
        <w:tc>
          <w:tcPr>
            <w:tcW w:w="7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Compensation and employee benefits</w:t>
            </w:r>
          </w:p>
        </w:tc>
        <w:tc>
          <w:tcPr>
            <w:tcW w:w="7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104.5</w:t>
            </w:r>
          </w:p>
        </w:tc>
        <w:tc>
          <w:tcPr>
            <w:tcW w:w="7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95.9</w:t>
            </w:r>
          </w:p>
        </w:tc>
        <w:tc>
          <w:tcPr>
            <w:tcW w:w="0" w:type="dxa"/>
            <w:vAlign w:val="bottom"/>
          </w:tcPr>
          <w:p>
            <w:pPr>
              <w:spacing w:after="0"/>
              <w:rPr>
                <w:sz w:val="1"/>
                <w:szCs w:val="1"/>
                <w:color w:val="auto"/>
              </w:rPr>
            </w:pP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Provision for bad debt</w:t>
            </w:r>
          </w:p>
        </w:tc>
        <w:tc>
          <w:tcPr>
            <w:tcW w:w="740" w:type="dxa"/>
            <w:vAlign w:val="bottom"/>
          </w:tcPr>
          <w:p>
            <w:pPr>
              <w:spacing w:after="0"/>
              <w:rPr>
                <w:sz w:val="22"/>
                <w:szCs w:val="22"/>
                <w:color w:val="auto"/>
              </w:rPr>
            </w:pP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2.5</w:t>
            </w:r>
          </w:p>
        </w:tc>
        <w:tc>
          <w:tcPr>
            <w:tcW w:w="720" w:type="dxa"/>
            <w:vAlign w:val="bottom"/>
          </w:tcPr>
          <w:p>
            <w:pPr>
              <w:spacing w:after="0"/>
              <w:rPr>
                <w:sz w:val="22"/>
                <w:szCs w:val="22"/>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270"/>
        </w:trPr>
        <w:tc>
          <w:tcPr>
            <w:tcW w:w="744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General and administrative</w:t>
            </w:r>
          </w:p>
        </w:tc>
        <w:tc>
          <w:tcPr>
            <w:tcW w:w="7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74.1</w:t>
            </w:r>
          </w:p>
        </w:tc>
        <w:tc>
          <w:tcPr>
            <w:tcW w:w="72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63.1</w:t>
            </w:r>
          </w:p>
        </w:tc>
        <w:tc>
          <w:tcPr>
            <w:tcW w:w="0" w:type="dxa"/>
            <w:vAlign w:val="bottom"/>
          </w:tcPr>
          <w:p>
            <w:pPr>
              <w:spacing w:after="0"/>
              <w:rPr>
                <w:sz w:val="1"/>
                <w:szCs w:val="1"/>
                <w:color w:val="auto"/>
              </w:rPr>
            </w:pPr>
          </w:p>
        </w:tc>
      </w:tr>
      <w:tr>
        <w:trPr>
          <w:trHeight w:val="264"/>
        </w:trPr>
        <w:tc>
          <w:tcPr>
            <w:tcW w:w="74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181.1</w:t>
            </w:r>
          </w:p>
        </w:tc>
        <w:tc>
          <w:tcPr>
            <w:tcW w:w="7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160.5</w:t>
            </w:r>
          </w:p>
        </w:tc>
        <w:tc>
          <w:tcPr>
            <w:tcW w:w="0" w:type="dxa"/>
            <w:vAlign w:val="bottom"/>
          </w:tcPr>
          <w:p>
            <w:pPr>
              <w:spacing w:after="0"/>
              <w:rPr>
                <w:sz w:val="1"/>
                <w:szCs w:val="1"/>
                <w:color w:val="auto"/>
              </w:rPr>
            </w:pPr>
          </w:p>
        </w:tc>
      </w:tr>
      <w:tr>
        <w:trPr>
          <w:trHeight w:val="264"/>
        </w:trPr>
        <w:tc>
          <w:tcPr>
            <w:tcW w:w="744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4"/>
                <w:szCs w:val="14"/>
                <w:color w:val="auto"/>
              </w:rPr>
              <w:t>Income from operations</w:t>
            </w:r>
          </w:p>
        </w:tc>
        <w:tc>
          <w:tcPr>
            <w:tcW w:w="74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50.3</w:t>
            </w:r>
          </w:p>
        </w:tc>
        <w:tc>
          <w:tcPr>
            <w:tcW w:w="72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61.0</w:t>
            </w:r>
          </w:p>
        </w:tc>
        <w:tc>
          <w:tcPr>
            <w:tcW w:w="0" w:type="dxa"/>
            <w:vAlign w:val="bottom"/>
          </w:tcPr>
          <w:p>
            <w:pPr>
              <w:spacing w:after="0"/>
              <w:rPr>
                <w:sz w:val="1"/>
                <w:szCs w:val="1"/>
                <w:color w:val="auto"/>
              </w:rPr>
            </w:pP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Non-operating expenses, net:</w:t>
            </w:r>
          </w:p>
        </w:tc>
        <w:tc>
          <w:tcPr>
            <w:tcW w:w="7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Interest expense and other financing costs, net</w:t>
            </w:r>
          </w:p>
        </w:tc>
        <w:tc>
          <w:tcPr>
            <w:tcW w:w="7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(12.7)</w:t>
            </w:r>
          </w:p>
        </w:tc>
        <w:tc>
          <w:tcPr>
            <w:tcW w:w="72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264"/>
        </w:trPr>
        <w:tc>
          <w:tcPr>
            <w:tcW w:w="744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Other (expense) income, net</w:t>
            </w:r>
          </w:p>
        </w:tc>
        <w:tc>
          <w:tcPr>
            <w:tcW w:w="7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w:t>
            </w:r>
          </w:p>
        </w:tc>
        <w:tc>
          <w:tcPr>
            <w:tcW w:w="7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264"/>
        </w:trPr>
        <w:tc>
          <w:tcPr>
            <w:tcW w:w="744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(14.3)</w:t>
            </w:r>
          </w:p>
        </w:tc>
        <w:tc>
          <w:tcPr>
            <w:tcW w:w="72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Income before income taxes</w:t>
            </w:r>
          </w:p>
        </w:tc>
        <w:tc>
          <w:tcPr>
            <w:tcW w:w="740" w:type="dxa"/>
            <w:vAlign w:val="bottom"/>
          </w:tcPr>
          <w:p>
            <w:pPr>
              <w:spacing w:after="0"/>
              <w:rPr>
                <w:sz w:val="22"/>
                <w:szCs w:val="22"/>
                <w:color w:val="auto"/>
              </w:rPr>
            </w:pP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36.1</w:t>
            </w:r>
          </w:p>
        </w:tc>
        <w:tc>
          <w:tcPr>
            <w:tcW w:w="720" w:type="dxa"/>
            <w:vAlign w:val="bottom"/>
          </w:tcPr>
          <w:p>
            <w:pPr>
              <w:spacing w:after="0"/>
              <w:rPr>
                <w:sz w:val="22"/>
                <w:szCs w:val="22"/>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54.8</w:t>
            </w:r>
          </w:p>
        </w:tc>
        <w:tc>
          <w:tcPr>
            <w:tcW w:w="0" w:type="dxa"/>
            <w:vAlign w:val="bottom"/>
          </w:tcPr>
          <w:p>
            <w:pPr>
              <w:spacing w:after="0"/>
              <w:rPr>
                <w:sz w:val="1"/>
                <w:szCs w:val="1"/>
                <w:color w:val="auto"/>
              </w:rPr>
            </w:pPr>
          </w:p>
        </w:tc>
      </w:tr>
      <w:tr>
        <w:trPr>
          <w:trHeight w:val="270"/>
        </w:trPr>
        <w:tc>
          <w:tcPr>
            <w:tcW w:w="74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Provision for income taxes</w:t>
            </w:r>
          </w:p>
        </w:tc>
        <w:tc>
          <w:tcPr>
            <w:tcW w:w="7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5.0</w:t>
            </w:r>
          </w:p>
        </w:tc>
        <w:tc>
          <w:tcPr>
            <w:tcW w:w="72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Net income including noncontrolling interest</w:t>
            </w:r>
          </w:p>
        </w:tc>
        <w:tc>
          <w:tcPr>
            <w:tcW w:w="740" w:type="dxa"/>
            <w:vAlign w:val="bottom"/>
          </w:tcPr>
          <w:p>
            <w:pPr>
              <w:spacing w:after="0"/>
              <w:rPr>
                <w:sz w:val="22"/>
                <w:szCs w:val="22"/>
                <w:color w:val="auto"/>
              </w:rPr>
            </w:pP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31.1</w:t>
            </w:r>
          </w:p>
        </w:tc>
        <w:tc>
          <w:tcPr>
            <w:tcW w:w="720" w:type="dxa"/>
            <w:vAlign w:val="bottom"/>
          </w:tcPr>
          <w:p>
            <w:pPr>
              <w:spacing w:after="0"/>
              <w:rPr>
                <w:sz w:val="22"/>
                <w:szCs w:val="22"/>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51.6</w:t>
            </w:r>
          </w:p>
        </w:tc>
        <w:tc>
          <w:tcPr>
            <w:tcW w:w="0" w:type="dxa"/>
            <w:vAlign w:val="bottom"/>
          </w:tcPr>
          <w:p>
            <w:pPr>
              <w:spacing w:after="0"/>
              <w:rPr>
                <w:sz w:val="1"/>
                <w:szCs w:val="1"/>
                <w:color w:val="auto"/>
              </w:rPr>
            </w:pPr>
          </w:p>
        </w:tc>
      </w:tr>
      <w:tr>
        <w:trPr>
          <w:trHeight w:val="270"/>
        </w:trPr>
        <w:tc>
          <w:tcPr>
            <w:tcW w:w="74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Net loss attributable to noncontrolling interest</w:t>
            </w:r>
          </w:p>
        </w:tc>
        <w:tc>
          <w:tcPr>
            <w:tcW w:w="7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(0.3)</w:t>
            </w:r>
          </w:p>
        </w:tc>
        <w:tc>
          <w:tcPr>
            <w:tcW w:w="72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304"/>
        </w:trPr>
        <w:tc>
          <w:tcPr>
            <w:tcW w:w="74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Net income attributable to World Fuel</w:t>
            </w:r>
          </w:p>
        </w:tc>
        <w:tc>
          <w:tcPr>
            <w:tcW w:w="74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31.3</w:t>
            </w:r>
          </w:p>
        </w:tc>
        <w:tc>
          <w:tcPr>
            <w:tcW w:w="72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51.8</w:t>
            </w:r>
          </w:p>
        </w:tc>
        <w:tc>
          <w:tcPr>
            <w:tcW w:w="0" w:type="dxa"/>
            <w:vAlign w:val="bottom"/>
          </w:tcPr>
          <w:p>
            <w:pPr>
              <w:spacing w:after="0"/>
              <w:rPr>
                <w:sz w:val="1"/>
                <w:szCs w:val="1"/>
                <w:color w:val="auto"/>
              </w:rPr>
            </w:pPr>
          </w:p>
        </w:tc>
      </w:tr>
      <w:tr>
        <w:trPr>
          <w:trHeight w:val="257"/>
        </w:trPr>
        <w:tc>
          <w:tcPr>
            <w:tcW w:w="744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04"/>
        </w:trPr>
        <w:tc>
          <w:tcPr>
            <w:tcW w:w="74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Basic earnings per common share</w:t>
            </w:r>
          </w:p>
        </w:tc>
        <w:tc>
          <w:tcPr>
            <w:tcW w:w="74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0.46</w:t>
            </w:r>
          </w:p>
        </w:tc>
        <w:tc>
          <w:tcPr>
            <w:tcW w:w="72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0.74</w:t>
            </w:r>
          </w:p>
        </w:tc>
        <w:tc>
          <w:tcPr>
            <w:tcW w:w="0" w:type="dxa"/>
            <w:vAlign w:val="bottom"/>
          </w:tcPr>
          <w:p>
            <w:pPr>
              <w:spacing w:after="0"/>
              <w:rPr>
                <w:sz w:val="1"/>
                <w:szCs w:val="1"/>
                <w:color w:val="auto"/>
              </w:rPr>
            </w:pPr>
          </w:p>
        </w:tc>
      </w:tr>
      <w:tr>
        <w:trPr>
          <w:trHeight w:val="257"/>
        </w:trPr>
        <w:tc>
          <w:tcPr>
            <w:tcW w:w="744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04"/>
        </w:trPr>
        <w:tc>
          <w:tcPr>
            <w:tcW w:w="74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Basic weighted average common shares</w:t>
            </w:r>
          </w:p>
        </w:tc>
        <w:tc>
          <w:tcPr>
            <w:tcW w:w="7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68.7</w:t>
            </w:r>
          </w:p>
        </w:tc>
        <w:tc>
          <w:tcPr>
            <w:tcW w:w="7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69.5</w:t>
            </w:r>
          </w:p>
        </w:tc>
        <w:tc>
          <w:tcPr>
            <w:tcW w:w="0" w:type="dxa"/>
            <w:vAlign w:val="bottom"/>
          </w:tcPr>
          <w:p>
            <w:pPr>
              <w:spacing w:after="0"/>
              <w:rPr>
                <w:sz w:val="1"/>
                <w:szCs w:val="1"/>
                <w:color w:val="auto"/>
              </w:rPr>
            </w:pPr>
          </w:p>
        </w:tc>
      </w:tr>
      <w:tr>
        <w:trPr>
          <w:trHeight w:val="257"/>
        </w:trPr>
        <w:tc>
          <w:tcPr>
            <w:tcW w:w="744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04"/>
        </w:trPr>
        <w:tc>
          <w:tcPr>
            <w:tcW w:w="74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Diluted earnings per common share</w:t>
            </w:r>
          </w:p>
        </w:tc>
        <w:tc>
          <w:tcPr>
            <w:tcW w:w="74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0.45</w:t>
            </w:r>
          </w:p>
        </w:tc>
        <w:tc>
          <w:tcPr>
            <w:tcW w:w="72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0.74</w:t>
            </w:r>
          </w:p>
        </w:tc>
        <w:tc>
          <w:tcPr>
            <w:tcW w:w="0" w:type="dxa"/>
            <w:vAlign w:val="bottom"/>
          </w:tcPr>
          <w:p>
            <w:pPr>
              <w:spacing w:after="0"/>
              <w:rPr>
                <w:sz w:val="1"/>
                <w:szCs w:val="1"/>
                <w:color w:val="auto"/>
              </w:rPr>
            </w:pPr>
          </w:p>
        </w:tc>
      </w:tr>
      <w:tr>
        <w:trPr>
          <w:trHeight w:val="257"/>
        </w:trPr>
        <w:tc>
          <w:tcPr>
            <w:tcW w:w="744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04"/>
        </w:trPr>
        <w:tc>
          <w:tcPr>
            <w:tcW w:w="74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Diluted weighted average common shares</w:t>
            </w:r>
          </w:p>
        </w:tc>
        <w:tc>
          <w:tcPr>
            <w:tcW w:w="7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69.2</w:t>
            </w:r>
          </w:p>
        </w:tc>
        <w:tc>
          <w:tcPr>
            <w:tcW w:w="7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70.0</w:t>
            </w:r>
          </w:p>
        </w:tc>
        <w:tc>
          <w:tcPr>
            <w:tcW w:w="0" w:type="dxa"/>
            <w:vAlign w:val="bottom"/>
          </w:tcPr>
          <w:p>
            <w:pPr>
              <w:spacing w:after="0"/>
              <w:rPr>
                <w:sz w:val="1"/>
                <w:szCs w:val="1"/>
                <w:color w:val="auto"/>
              </w:rPr>
            </w:pPr>
          </w:p>
        </w:tc>
      </w:tr>
      <w:tr>
        <w:trPr>
          <w:trHeight w:val="257"/>
        </w:trPr>
        <w:tc>
          <w:tcPr>
            <w:tcW w:w="744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Comprehensive income:</w:t>
            </w:r>
          </w:p>
        </w:tc>
        <w:tc>
          <w:tcPr>
            <w:tcW w:w="7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 including noncontrolling interest</w:t>
            </w:r>
          </w:p>
        </w:tc>
        <w:tc>
          <w:tcPr>
            <w:tcW w:w="740" w:type="dxa"/>
            <w:vAlign w:val="bottom"/>
            <w:shd w:val="clear" w:color="auto" w:fill="CCEEFF"/>
          </w:tcPr>
          <w:p>
            <w:pPr>
              <w:jc w:val="right"/>
              <w:ind w:right="56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31.1</w:t>
            </w:r>
          </w:p>
        </w:tc>
        <w:tc>
          <w:tcPr>
            <w:tcW w:w="7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51.6</w:t>
            </w:r>
          </w:p>
        </w:tc>
        <w:tc>
          <w:tcPr>
            <w:tcW w:w="0" w:type="dxa"/>
            <w:vAlign w:val="bottom"/>
          </w:tcPr>
          <w:p>
            <w:pPr>
              <w:spacing w:after="0"/>
              <w:rPr>
                <w:sz w:val="1"/>
                <w:szCs w:val="1"/>
                <w:color w:val="auto"/>
              </w:rPr>
            </w:pP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Other comprehensive income (loss):</w:t>
            </w:r>
          </w:p>
        </w:tc>
        <w:tc>
          <w:tcPr>
            <w:tcW w:w="7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Foreign currency translation adjustments</w:t>
            </w:r>
          </w:p>
        </w:tc>
        <w:tc>
          <w:tcPr>
            <w:tcW w:w="7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6.4</w:t>
            </w:r>
          </w:p>
        </w:tc>
        <w:tc>
          <w:tcPr>
            <w:tcW w:w="7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91"/>
        </w:trPr>
        <w:tc>
          <w:tcPr>
            <w:tcW w:w="7440" w:type="dxa"/>
            <w:vAlign w:val="bottom"/>
            <w:vMerge w:val="restart"/>
          </w:tcPr>
          <w:p>
            <w:pPr>
              <w:ind w:left="180"/>
              <w:spacing w:after="0"/>
              <w:rPr>
                <w:sz w:val="20"/>
                <w:szCs w:val="20"/>
                <w:color w:val="auto"/>
              </w:rPr>
            </w:pPr>
            <w:r>
              <w:rPr>
                <w:rFonts w:ascii="Arial" w:cs="Arial" w:eastAsia="Arial" w:hAnsi="Arial"/>
                <w:sz w:val="14"/>
                <w:szCs w:val="14"/>
                <w:color w:val="auto"/>
              </w:rPr>
              <w:t>Cash Flow hedges, net of income tax benefit of $6.5 for the three months ended March 31, 2017</w:t>
            </w:r>
          </w:p>
        </w:tc>
        <w:tc>
          <w:tcPr>
            <w:tcW w:w="740" w:type="dxa"/>
            <w:vAlign w:val="bottom"/>
          </w:tcPr>
          <w:p>
            <w:pPr>
              <w:spacing w:after="0"/>
              <w:rPr>
                <w:sz w:val="16"/>
                <w:szCs w:val="16"/>
                <w:color w:val="auto"/>
              </w:rPr>
            </w:pP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10.5</w:t>
            </w:r>
          </w:p>
        </w:tc>
        <w:tc>
          <w:tcPr>
            <w:tcW w:w="7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74"/>
        </w:trPr>
        <w:tc>
          <w:tcPr>
            <w:tcW w:w="7440" w:type="dxa"/>
            <w:vAlign w:val="bottom"/>
            <w:tcBorders>
              <w:bottom w:val="single" w:sz="8" w:color="auto"/>
            </w:tcBorders>
            <w:vMerge w:val="continue"/>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64"/>
        </w:trPr>
        <w:tc>
          <w:tcPr>
            <w:tcW w:w="744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Other comprehensive income</w:t>
            </w:r>
          </w:p>
        </w:tc>
        <w:tc>
          <w:tcPr>
            <w:tcW w:w="74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16.9</w:t>
            </w:r>
          </w:p>
        </w:tc>
        <w:tc>
          <w:tcPr>
            <w:tcW w:w="72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Comprehensive income including noncontrolling interest</w:t>
            </w:r>
          </w:p>
        </w:tc>
        <w:tc>
          <w:tcPr>
            <w:tcW w:w="740" w:type="dxa"/>
            <w:vAlign w:val="bottom"/>
          </w:tcPr>
          <w:p>
            <w:pPr>
              <w:spacing w:after="0"/>
              <w:rPr>
                <w:sz w:val="22"/>
                <w:szCs w:val="22"/>
                <w:color w:val="auto"/>
              </w:rPr>
            </w:pP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48.0</w:t>
            </w:r>
          </w:p>
        </w:tc>
        <w:tc>
          <w:tcPr>
            <w:tcW w:w="720" w:type="dxa"/>
            <w:vAlign w:val="bottom"/>
          </w:tcPr>
          <w:p>
            <w:pPr>
              <w:spacing w:after="0"/>
              <w:rPr>
                <w:sz w:val="22"/>
                <w:szCs w:val="22"/>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52.7</w:t>
            </w:r>
          </w:p>
        </w:tc>
        <w:tc>
          <w:tcPr>
            <w:tcW w:w="0" w:type="dxa"/>
            <w:vAlign w:val="bottom"/>
          </w:tcPr>
          <w:p>
            <w:pPr>
              <w:spacing w:after="0"/>
              <w:rPr>
                <w:sz w:val="1"/>
                <w:szCs w:val="1"/>
                <w:color w:val="auto"/>
              </w:rPr>
            </w:pPr>
          </w:p>
        </w:tc>
      </w:tr>
      <w:tr>
        <w:trPr>
          <w:trHeight w:val="270"/>
        </w:trPr>
        <w:tc>
          <w:tcPr>
            <w:tcW w:w="74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Comprehensive (loss) income attributable to noncontrolling interest</w:t>
            </w:r>
          </w:p>
        </w:tc>
        <w:tc>
          <w:tcPr>
            <w:tcW w:w="7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(0.1)</w:t>
            </w:r>
          </w:p>
        </w:tc>
        <w:tc>
          <w:tcPr>
            <w:tcW w:w="72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264"/>
        </w:trPr>
        <w:tc>
          <w:tcPr>
            <w:tcW w:w="74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Comprehensive income attributable to World Fuel</w:t>
            </w:r>
          </w:p>
        </w:tc>
        <w:tc>
          <w:tcPr>
            <w:tcW w:w="74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48.0</w:t>
            </w:r>
          </w:p>
        </w:tc>
        <w:tc>
          <w:tcPr>
            <w:tcW w:w="72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51.2</w:t>
            </w:r>
          </w:p>
        </w:tc>
        <w:tc>
          <w:tcPr>
            <w:tcW w:w="0" w:type="dxa"/>
            <w:vAlign w:val="bottom"/>
          </w:tcPr>
          <w:p>
            <w:pPr>
              <w:spacing w:after="0"/>
              <w:rPr>
                <w:sz w:val="1"/>
                <w:szCs w:val="1"/>
                <w:color w:val="auto"/>
              </w:rPr>
            </w:pPr>
          </w:p>
        </w:tc>
      </w:tr>
      <w:tr>
        <w:trPr>
          <w:trHeight w:val="20"/>
        </w:trPr>
        <w:tc>
          <w:tcPr>
            <w:tcW w:w="74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 w:lineRule="exact"/>
        <w:rPr>
          <w:sz w:val="20"/>
          <w:szCs w:val="20"/>
          <w:color w:val="auto"/>
        </w:rPr>
      </w:pPr>
    </w:p>
    <w:p>
      <w:pPr>
        <w:ind w:left="2520"/>
        <w:spacing w:after="0"/>
        <w:rPr>
          <w:sz w:val="20"/>
          <w:szCs w:val="20"/>
          <w:color w:val="auto"/>
        </w:rPr>
      </w:pPr>
      <w:r>
        <w:rPr>
          <w:rFonts w:ascii="Arial" w:cs="Arial" w:eastAsia="Arial" w:hAnsi="Arial"/>
          <w:sz w:val="16"/>
          <w:szCs w:val="16"/>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5" w:right="239" w:bottom="1440" w:gutter="0" w:footer="0" w:header="0"/>
          <w:type w:val="continuous"/>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World Fuel Services Corporation and Subsidiaries</w:t>
      </w:r>
    </w:p>
    <w:p>
      <w:pPr>
        <w:spacing w:after="0" w:line="27"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9"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(Unaudited - In millions)</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100" w:type="dxa"/>
            <w:vAlign w:val="bottom"/>
          </w:tcPr>
          <w:p>
            <w:pPr>
              <w:spacing w:after="0"/>
              <w:rPr>
                <w:sz w:val="13"/>
                <w:szCs w:val="13"/>
                <w:color w:val="auto"/>
              </w:rPr>
            </w:pPr>
          </w:p>
        </w:tc>
        <w:tc>
          <w:tcPr>
            <w:tcW w:w="1520" w:type="dxa"/>
            <w:vAlign w:val="bottom"/>
            <w:gridSpan w:val="3"/>
            <w:vMerge w:val="restart"/>
          </w:tcPr>
          <w:p>
            <w:pPr>
              <w:jc w:val="right"/>
              <w:ind w:right="49"/>
              <w:spacing w:after="0"/>
              <w:rPr>
                <w:sz w:val="20"/>
                <w:szCs w:val="20"/>
                <w:color w:val="auto"/>
              </w:rPr>
            </w:pPr>
            <w:r>
              <w:rPr>
                <w:rFonts w:ascii="Arial" w:cs="Arial" w:eastAsia="Arial" w:hAnsi="Arial"/>
                <w:sz w:val="13"/>
                <w:szCs w:val="13"/>
                <w:b w:val="1"/>
                <w:bCs w:val="1"/>
                <w:color w:val="auto"/>
              </w:rPr>
              <w:t>Common Stock</w:t>
            </w:r>
          </w:p>
        </w:tc>
        <w:tc>
          <w:tcPr>
            <w:tcW w:w="3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jc w:val="right"/>
              <w:ind w:right="71"/>
              <w:spacing w:after="0"/>
              <w:rPr>
                <w:sz w:val="20"/>
                <w:szCs w:val="20"/>
                <w:color w:val="auto"/>
              </w:rPr>
            </w:pPr>
            <w:r>
              <w:rPr>
                <w:rFonts w:ascii="Arial" w:cs="Arial" w:eastAsia="Arial" w:hAnsi="Arial"/>
                <w:sz w:val="13"/>
                <w:szCs w:val="13"/>
                <w:b w:val="1"/>
                <w:bCs w:val="1"/>
                <w:color w:val="auto"/>
              </w:rPr>
              <w:t>Accumulated</w:t>
            </w:r>
          </w:p>
        </w:tc>
        <w:tc>
          <w:tcPr>
            <w:tcW w:w="200" w:type="dxa"/>
            <w:vAlign w:val="bottom"/>
          </w:tcPr>
          <w:p>
            <w:pPr>
              <w:spacing w:after="0"/>
              <w:rPr>
                <w:sz w:val="13"/>
                <w:szCs w:val="13"/>
                <w:color w:val="auto"/>
              </w:rPr>
            </w:pPr>
          </w:p>
        </w:tc>
        <w:tc>
          <w:tcPr>
            <w:tcW w:w="920" w:type="dxa"/>
            <w:vAlign w:val="bottom"/>
          </w:tcPr>
          <w:p>
            <w:pPr>
              <w:jc w:val="right"/>
              <w:ind w:right="71"/>
              <w:spacing w:after="0"/>
              <w:rPr>
                <w:sz w:val="20"/>
                <w:szCs w:val="20"/>
                <w:color w:val="auto"/>
              </w:rPr>
            </w:pPr>
            <w:r>
              <w:rPr>
                <w:rFonts w:ascii="Arial" w:cs="Arial" w:eastAsia="Arial" w:hAnsi="Arial"/>
                <w:sz w:val="13"/>
                <w:szCs w:val="13"/>
                <w:b w:val="1"/>
                <w:bCs w:val="1"/>
                <w:color w:val="auto"/>
              </w:rPr>
              <w:t>Total</w:t>
            </w: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3100" w:type="dxa"/>
            <w:vAlign w:val="bottom"/>
          </w:tcPr>
          <w:p>
            <w:pPr>
              <w:spacing w:after="0"/>
              <w:rPr>
                <w:sz w:val="12"/>
                <w:szCs w:val="12"/>
                <w:color w:val="auto"/>
              </w:rPr>
            </w:pPr>
          </w:p>
        </w:tc>
        <w:tc>
          <w:tcPr>
            <w:tcW w:w="1520" w:type="dxa"/>
            <w:vAlign w:val="bottom"/>
            <w:tcBorders>
              <w:bottom w:val="single" w:sz="8" w:color="auto"/>
            </w:tcBorders>
            <w:gridSpan w:val="3"/>
            <w:vMerge w:val="continue"/>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jc w:val="right"/>
              <w:ind w:right="91"/>
              <w:spacing w:after="0" w:line="140" w:lineRule="exact"/>
              <w:rPr>
                <w:sz w:val="20"/>
                <w:szCs w:val="20"/>
                <w:color w:val="auto"/>
              </w:rPr>
            </w:pPr>
            <w:r>
              <w:rPr>
                <w:rFonts w:ascii="Arial" w:cs="Arial" w:eastAsia="Arial" w:hAnsi="Arial"/>
                <w:sz w:val="13"/>
                <w:szCs w:val="13"/>
                <w:b w:val="1"/>
                <w:bCs w:val="1"/>
                <w:color w:val="auto"/>
              </w:rPr>
              <w:t>Capital in</w:t>
            </w: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jc w:val="right"/>
              <w:ind w:right="71"/>
              <w:spacing w:after="0" w:line="140" w:lineRule="exact"/>
              <w:rPr>
                <w:sz w:val="20"/>
                <w:szCs w:val="20"/>
                <w:color w:val="auto"/>
              </w:rPr>
            </w:pPr>
            <w:r>
              <w:rPr>
                <w:rFonts w:ascii="Arial" w:cs="Arial" w:eastAsia="Arial" w:hAnsi="Arial"/>
                <w:sz w:val="13"/>
                <w:szCs w:val="13"/>
                <w:b w:val="1"/>
                <w:bCs w:val="1"/>
                <w:color w:val="auto"/>
              </w:rPr>
              <w:t>Other</w:t>
            </w:r>
          </w:p>
        </w:tc>
        <w:tc>
          <w:tcPr>
            <w:tcW w:w="200" w:type="dxa"/>
            <w:vAlign w:val="bottom"/>
          </w:tcPr>
          <w:p>
            <w:pPr>
              <w:spacing w:after="0"/>
              <w:rPr>
                <w:sz w:val="12"/>
                <w:szCs w:val="12"/>
                <w:color w:val="auto"/>
              </w:rPr>
            </w:pPr>
          </w:p>
        </w:tc>
        <w:tc>
          <w:tcPr>
            <w:tcW w:w="920" w:type="dxa"/>
            <w:vAlign w:val="bottom"/>
          </w:tcPr>
          <w:p>
            <w:pPr>
              <w:jc w:val="right"/>
              <w:ind w:right="71"/>
              <w:spacing w:after="0" w:line="140" w:lineRule="exact"/>
              <w:rPr>
                <w:sz w:val="20"/>
                <w:szCs w:val="20"/>
                <w:color w:val="auto"/>
              </w:rPr>
            </w:pPr>
            <w:r>
              <w:rPr>
                <w:rFonts w:ascii="Arial" w:cs="Arial" w:eastAsia="Arial" w:hAnsi="Arial"/>
                <w:sz w:val="13"/>
                <w:szCs w:val="13"/>
                <w:b w:val="1"/>
                <w:bCs w:val="1"/>
                <w:color w:val="auto"/>
              </w:rPr>
              <w:t>World Fuel</w:t>
            </w:r>
          </w:p>
        </w:tc>
        <w:tc>
          <w:tcPr>
            <w:tcW w:w="220" w:type="dxa"/>
            <w:vAlign w:val="bottom"/>
          </w:tcPr>
          <w:p>
            <w:pPr>
              <w:spacing w:after="0"/>
              <w:rPr>
                <w:sz w:val="12"/>
                <w:szCs w:val="12"/>
                <w:color w:val="auto"/>
              </w:rPr>
            </w:pPr>
          </w:p>
        </w:tc>
        <w:tc>
          <w:tcPr>
            <w:tcW w:w="1020" w:type="dxa"/>
            <w:vAlign w:val="bottom"/>
          </w:tcPr>
          <w:p>
            <w:pPr>
              <w:jc w:val="right"/>
              <w:ind w:right="71"/>
              <w:spacing w:after="0" w:line="140" w:lineRule="exact"/>
              <w:rPr>
                <w:sz w:val="20"/>
                <w:szCs w:val="20"/>
                <w:color w:val="auto"/>
              </w:rPr>
            </w:pPr>
            <w:r>
              <w:rPr>
                <w:rFonts w:ascii="Arial" w:cs="Arial" w:eastAsia="Arial" w:hAnsi="Arial"/>
                <w:sz w:val="13"/>
                <w:szCs w:val="13"/>
                <w:b w:val="1"/>
                <w:bCs w:val="1"/>
                <w:color w:val="auto"/>
                <w:w w:val="92"/>
              </w:rPr>
              <w:t>Noncontrolling</w:t>
            </w: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3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780" w:type="dxa"/>
            <w:vAlign w:val="bottom"/>
          </w:tcPr>
          <w:p>
            <w:pPr>
              <w:jc w:val="right"/>
              <w:ind w:right="91"/>
              <w:spacing w:after="0" w:line="110" w:lineRule="exact"/>
              <w:rPr>
                <w:sz w:val="20"/>
                <w:szCs w:val="20"/>
                <w:color w:val="auto"/>
              </w:rPr>
            </w:pPr>
            <w:r>
              <w:rPr>
                <w:rFonts w:ascii="Arial" w:cs="Arial" w:eastAsia="Arial" w:hAnsi="Arial"/>
                <w:sz w:val="12"/>
                <w:szCs w:val="12"/>
                <w:b w:val="1"/>
                <w:bCs w:val="1"/>
                <w:color w:val="auto"/>
              </w:rPr>
              <w:t>Excess of</w:t>
            </w:r>
          </w:p>
        </w:tc>
        <w:tc>
          <w:tcPr>
            <w:tcW w:w="240" w:type="dxa"/>
            <w:vAlign w:val="bottom"/>
          </w:tcPr>
          <w:p>
            <w:pPr>
              <w:spacing w:after="0"/>
              <w:rPr>
                <w:sz w:val="9"/>
                <w:szCs w:val="9"/>
                <w:color w:val="auto"/>
              </w:rPr>
            </w:pPr>
          </w:p>
        </w:tc>
        <w:tc>
          <w:tcPr>
            <w:tcW w:w="680" w:type="dxa"/>
            <w:vAlign w:val="bottom"/>
          </w:tcPr>
          <w:p>
            <w:pPr>
              <w:jc w:val="right"/>
              <w:ind w:right="70"/>
              <w:spacing w:after="0" w:line="110" w:lineRule="exact"/>
              <w:rPr>
                <w:sz w:val="20"/>
                <w:szCs w:val="20"/>
                <w:color w:val="auto"/>
              </w:rPr>
            </w:pPr>
            <w:r>
              <w:rPr>
                <w:rFonts w:ascii="Arial" w:cs="Arial" w:eastAsia="Arial" w:hAnsi="Arial"/>
                <w:sz w:val="12"/>
                <w:szCs w:val="12"/>
                <w:b w:val="1"/>
                <w:bCs w:val="1"/>
                <w:color w:val="auto"/>
              </w:rPr>
              <w:t>Retained</w:t>
            </w:r>
          </w:p>
        </w:tc>
        <w:tc>
          <w:tcPr>
            <w:tcW w:w="260" w:type="dxa"/>
            <w:vAlign w:val="bottom"/>
          </w:tcPr>
          <w:p>
            <w:pPr>
              <w:spacing w:after="0"/>
              <w:rPr>
                <w:sz w:val="9"/>
                <w:szCs w:val="9"/>
                <w:color w:val="auto"/>
              </w:rPr>
            </w:pPr>
          </w:p>
        </w:tc>
        <w:tc>
          <w:tcPr>
            <w:tcW w:w="1080" w:type="dxa"/>
            <w:vAlign w:val="bottom"/>
          </w:tcPr>
          <w:p>
            <w:pPr>
              <w:jc w:val="right"/>
              <w:ind w:right="71"/>
              <w:spacing w:after="0" w:line="110" w:lineRule="exact"/>
              <w:rPr>
                <w:sz w:val="20"/>
                <w:szCs w:val="20"/>
                <w:color w:val="auto"/>
              </w:rPr>
            </w:pPr>
            <w:r>
              <w:rPr>
                <w:rFonts w:ascii="Arial" w:cs="Arial" w:eastAsia="Arial" w:hAnsi="Arial"/>
                <w:sz w:val="12"/>
                <w:szCs w:val="12"/>
                <w:b w:val="1"/>
                <w:bCs w:val="1"/>
                <w:color w:val="auto"/>
              </w:rPr>
              <w:t>Comprehensive</w:t>
            </w:r>
          </w:p>
        </w:tc>
        <w:tc>
          <w:tcPr>
            <w:tcW w:w="200" w:type="dxa"/>
            <w:vAlign w:val="bottom"/>
          </w:tcPr>
          <w:p>
            <w:pPr>
              <w:spacing w:after="0"/>
              <w:rPr>
                <w:sz w:val="9"/>
                <w:szCs w:val="9"/>
                <w:color w:val="auto"/>
              </w:rPr>
            </w:pPr>
          </w:p>
        </w:tc>
        <w:tc>
          <w:tcPr>
            <w:tcW w:w="920" w:type="dxa"/>
            <w:vAlign w:val="bottom"/>
          </w:tcPr>
          <w:p>
            <w:pPr>
              <w:jc w:val="right"/>
              <w:ind w:right="71"/>
              <w:spacing w:after="0" w:line="110" w:lineRule="exact"/>
              <w:rPr>
                <w:sz w:val="20"/>
                <w:szCs w:val="20"/>
                <w:color w:val="auto"/>
              </w:rPr>
            </w:pPr>
            <w:r>
              <w:rPr>
                <w:rFonts w:ascii="Arial" w:cs="Arial" w:eastAsia="Arial" w:hAnsi="Arial"/>
                <w:sz w:val="12"/>
                <w:szCs w:val="12"/>
                <w:b w:val="1"/>
                <w:bCs w:val="1"/>
                <w:color w:val="auto"/>
                <w:w w:val="95"/>
              </w:rPr>
              <w:t>Shareholders'</w:t>
            </w:r>
          </w:p>
        </w:tc>
        <w:tc>
          <w:tcPr>
            <w:tcW w:w="220" w:type="dxa"/>
            <w:vAlign w:val="bottom"/>
          </w:tcPr>
          <w:p>
            <w:pPr>
              <w:spacing w:after="0"/>
              <w:rPr>
                <w:sz w:val="9"/>
                <w:szCs w:val="9"/>
                <w:color w:val="auto"/>
              </w:rPr>
            </w:pPr>
          </w:p>
        </w:tc>
        <w:tc>
          <w:tcPr>
            <w:tcW w:w="1020" w:type="dxa"/>
            <w:vAlign w:val="bottom"/>
          </w:tcPr>
          <w:p>
            <w:pPr>
              <w:jc w:val="right"/>
              <w:ind w:right="71"/>
              <w:spacing w:after="0" w:line="110" w:lineRule="exact"/>
              <w:rPr>
                <w:sz w:val="20"/>
                <w:szCs w:val="20"/>
                <w:color w:val="auto"/>
              </w:rPr>
            </w:pPr>
            <w:r>
              <w:rPr>
                <w:rFonts w:ascii="Arial" w:cs="Arial" w:eastAsia="Arial" w:hAnsi="Arial"/>
                <w:sz w:val="12"/>
                <w:szCs w:val="12"/>
                <w:b w:val="1"/>
                <w:bCs w:val="1"/>
                <w:color w:val="auto"/>
              </w:rPr>
              <w:t>Interest</w:t>
            </w: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4"/>
        </w:trPr>
        <w:tc>
          <w:tcPr>
            <w:tcW w:w="3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90"/>
              <w:spacing w:after="0"/>
              <w:rPr>
                <w:sz w:val="20"/>
                <w:szCs w:val="20"/>
                <w:color w:val="auto"/>
              </w:rPr>
            </w:pPr>
            <w:r>
              <w:rPr>
                <w:rFonts w:ascii="Arial" w:cs="Arial" w:eastAsia="Arial" w:hAnsi="Arial"/>
                <w:sz w:val="13"/>
                <w:szCs w:val="13"/>
                <w:b w:val="1"/>
                <w:bCs w:val="1"/>
                <w:color w:val="auto"/>
              </w:rPr>
              <w:t>Shares</w:t>
            </w:r>
          </w:p>
        </w:tc>
        <w:tc>
          <w:tcPr>
            <w:tcW w:w="2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49"/>
              <w:spacing w:after="0"/>
              <w:rPr>
                <w:sz w:val="20"/>
                <w:szCs w:val="20"/>
                <w:color w:val="auto"/>
              </w:rPr>
            </w:pPr>
            <w:r>
              <w:rPr>
                <w:rFonts w:ascii="Arial" w:cs="Arial" w:eastAsia="Arial" w:hAnsi="Arial"/>
                <w:sz w:val="13"/>
                <w:szCs w:val="13"/>
                <w:b w:val="1"/>
                <w:bCs w:val="1"/>
                <w:color w:val="auto"/>
                <w:w w:val="89"/>
              </w:rPr>
              <w:t>Amount</w:t>
            </w:r>
          </w:p>
        </w:tc>
        <w:tc>
          <w:tcPr>
            <w:tcW w:w="3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91"/>
              <w:spacing w:after="0"/>
              <w:rPr>
                <w:sz w:val="20"/>
                <w:szCs w:val="20"/>
                <w:color w:val="auto"/>
              </w:rPr>
            </w:pPr>
            <w:r>
              <w:rPr>
                <w:rFonts w:ascii="Arial" w:cs="Arial" w:eastAsia="Arial" w:hAnsi="Arial"/>
                <w:sz w:val="13"/>
                <w:szCs w:val="13"/>
                <w:b w:val="1"/>
                <w:bCs w:val="1"/>
                <w:color w:val="auto"/>
              </w:rPr>
              <w:t>Par Value</w:t>
            </w:r>
          </w:p>
        </w:tc>
        <w:tc>
          <w:tcPr>
            <w:tcW w:w="2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70"/>
              <w:spacing w:after="0"/>
              <w:rPr>
                <w:sz w:val="20"/>
                <w:szCs w:val="20"/>
                <w:color w:val="auto"/>
              </w:rPr>
            </w:pPr>
            <w:r>
              <w:rPr>
                <w:rFonts w:ascii="Arial" w:cs="Arial" w:eastAsia="Arial" w:hAnsi="Arial"/>
                <w:sz w:val="13"/>
                <w:szCs w:val="13"/>
                <w:b w:val="1"/>
                <w:bCs w:val="1"/>
                <w:color w:val="auto"/>
                <w:w w:val="93"/>
              </w:rPr>
              <w:t>Earnings</w:t>
            </w:r>
          </w:p>
        </w:tc>
        <w:tc>
          <w:tcPr>
            <w:tcW w:w="2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71"/>
              <w:spacing w:after="0"/>
              <w:rPr>
                <w:sz w:val="20"/>
                <w:szCs w:val="20"/>
                <w:color w:val="auto"/>
              </w:rPr>
            </w:pPr>
            <w:r>
              <w:rPr>
                <w:rFonts w:ascii="Arial" w:cs="Arial" w:eastAsia="Arial" w:hAnsi="Arial"/>
                <w:sz w:val="13"/>
                <w:szCs w:val="13"/>
                <w:b w:val="1"/>
                <w:bCs w:val="1"/>
                <w:color w:val="auto"/>
              </w:rPr>
              <w:t>Loss</w:t>
            </w: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71"/>
              <w:spacing w:after="0"/>
              <w:rPr>
                <w:sz w:val="20"/>
                <w:szCs w:val="20"/>
                <w:color w:val="auto"/>
              </w:rPr>
            </w:pPr>
            <w:r>
              <w:rPr>
                <w:rFonts w:ascii="Arial" w:cs="Arial" w:eastAsia="Arial" w:hAnsi="Arial"/>
                <w:sz w:val="13"/>
                <w:szCs w:val="13"/>
                <w:b w:val="1"/>
                <w:bCs w:val="1"/>
                <w:color w:val="auto"/>
              </w:rPr>
              <w:t>Equity</w:t>
            </w:r>
          </w:p>
        </w:tc>
        <w:tc>
          <w:tcPr>
            <w:tcW w:w="2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71"/>
              <w:spacing w:after="0"/>
              <w:rPr>
                <w:sz w:val="20"/>
                <w:szCs w:val="20"/>
                <w:color w:val="auto"/>
              </w:rPr>
            </w:pPr>
            <w:r>
              <w:rPr>
                <w:rFonts w:ascii="Arial" w:cs="Arial" w:eastAsia="Arial" w:hAnsi="Arial"/>
                <w:sz w:val="13"/>
                <w:szCs w:val="13"/>
                <w:b w:val="1"/>
                <w:bCs w:val="1"/>
                <w:color w:val="auto"/>
              </w:rPr>
              <w:t>Equity</w:t>
            </w: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9"/>
              <w:spacing w:after="0"/>
              <w:rPr>
                <w:sz w:val="20"/>
                <w:szCs w:val="20"/>
                <w:color w:val="auto"/>
              </w:rPr>
            </w:pPr>
            <w:r>
              <w:rPr>
                <w:rFonts w:ascii="Arial" w:cs="Arial" w:eastAsia="Arial" w:hAnsi="Arial"/>
                <w:sz w:val="13"/>
                <w:szCs w:val="13"/>
                <w:b w:val="1"/>
                <w:bCs w:val="1"/>
                <w:color w:val="auto"/>
                <w:w w:val="96"/>
              </w:rPr>
              <w:t>Total Equity</w:t>
            </w:r>
          </w:p>
        </w:tc>
        <w:tc>
          <w:tcPr>
            <w:tcW w:w="0" w:type="dxa"/>
            <w:vAlign w:val="bottom"/>
          </w:tcPr>
          <w:p>
            <w:pPr>
              <w:spacing w:after="0"/>
              <w:rPr>
                <w:sz w:val="1"/>
                <w:szCs w:val="1"/>
                <w:color w:val="auto"/>
              </w:rPr>
            </w:pPr>
          </w:p>
        </w:tc>
      </w:tr>
      <w:tr>
        <w:trPr>
          <w:trHeight w:val="270"/>
        </w:trPr>
        <w:tc>
          <w:tcPr>
            <w:tcW w:w="3100" w:type="dxa"/>
            <w:vAlign w:val="bottom"/>
            <w:shd w:val="clear" w:color="auto" w:fill="CCEEFF"/>
          </w:tcPr>
          <w:p>
            <w:pPr>
              <w:ind w:left="500"/>
              <w:spacing w:after="0"/>
              <w:rPr>
                <w:sz w:val="20"/>
                <w:szCs w:val="20"/>
                <w:color w:val="auto"/>
              </w:rPr>
            </w:pPr>
            <w:r>
              <w:rPr>
                <w:rFonts w:ascii="Arial" w:cs="Arial" w:eastAsia="Arial" w:hAnsi="Arial"/>
                <w:sz w:val="14"/>
                <w:szCs w:val="14"/>
                <w:color w:val="auto"/>
              </w:rPr>
              <w:t>Balance as of December 31, 2016</w:t>
            </w:r>
          </w:p>
        </w:tc>
        <w:tc>
          <w:tcPr>
            <w:tcW w:w="74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69.9</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0.7</w:t>
            </w:r>
          </w:p>
        </w:tc>
        <w:tc>
          <w:tcPr>
            <w:tcW w:w="3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399.9</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1,679.3</w:t>
            </w:r>
          </w:p>
        </w:tc>
        <w:tc>
          <w:tcPr>
            <w:tcW w:w="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(154.8)</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1,925.0</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15.0</w:t>
            </w:r>
          </w:p>
        </w:tc>
        <w:tc>
          <w:tcPr>
            <w:tcW w:w="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1,940.0</w:t>
            </w:r>
          </w:p>
        </w:tc>
        <w:tc>
          <w:tcPr>
            <w:tcW w:w="0" w:type="dxa"/>
            <w:vAlign w:val="bottom"/>
          </w:tcPr>
          <w:p>
            <w:pPr>
              <w:spacing w:after="0"/>
              <w:rPr>
                <w:sz w:val="1"/>
                <w:szCs w:val="1"/>
                <w:color w:val="auto"/>
              </w:rPr>
            </w:pPr>
          </w:p>
        </w:tc>
      </w:tr>
      <w:tr>
        <w:trPr>
          <w:trHeight w:val="264"/>
        </w:trPr>
        <w:tc>
          <w:tcPr>
            <w:tcW w:w="3100" w:type="dxa"/>
            <w:vAlign w:val="bottom"/>
          </w:tcPr>
          <w:p>
            <w:pPr>
              <w:ind w:left="620"/>
              <w:spacing w:after="0"/>
              <w:rPr>
                <w:sz w:val="20"/>
                <w:szCs w:val="20"/>
                <w:color w:val="auto"/>
              </w:rPr>
            </w:pPr>
            <w:r>
              <w:rPr>
                <w:rFonts w:ascii="Arial" w:cs="Arial" w:eastAsia="Arial" w:hAnsi="Arial"/>
                <w:sz w:val="14"/>
                <w:szCs w:val="14"/>
                <w:color w:val="auto"/>
              </w:rPr>
              <w:t>Net income</w:t>
            </w:r>
          </w:p>
        </w:tc>
        <w:tc>
          <w:tcPr>
            <w:tcW w:w="74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5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780" w:type="dxa"/>
            <w:vAlign w:val="bottom"/>
          </w:tcPr>
          <w:p>
            <w:pPr>
              <w:jc w:val="right"/>
              <w:ind w:right="91"/>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680" w:type="dxa"/>
            <w:vAlign w:val="bottom"/>
          </w:tcPr>
          <w:p>
            <w:pPr>
              <w:jc w:val="right"/>
              <w:ind w:right="70"/>
              <w:spacing w:after="0"/>
              <w:rPr>
                <w:sz w:val="20"/>
                <w:szCs w:val="20"/>
                <w:color w:val="auto"/>
              </w:rPr>
            </w:pPr>
            <w:r>
              <w:rPr>
                <w:rFonts w:ascii="Arial" w:cs="Arial" w:eastAsia="Arial" w:hAnsi="Arial"/>
                <w:sz w:val="14"/>
                <w:szCs w:val="14"/>
                <w:color w:val="auto"/>
              </w:rPr>
              <w:t>31.3</w:t>
            </w:r>
          </w:p>
        </w:tc>
        <w:tc>
          <w:tcPr>
            <w:tcW w:w="260" w:type="dxa"/>
            <w:vAlign w:val="bottom"/>
          </w:tcPr>
          <w:p>
            <w:pPr>
              <w:spacing w:after="0"/>
              <w:rPr>
                <w:sz w:val="22"/>
                <w:szCs w:val="22"/>
                <w:color w:val="auto"/>
              </w:rPr>
            </w:pPr>
          </w:p>
        </w:tc>
        <w:tc>
          <w:tcPr>
            <w:tcW w:w="108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920" w:type="dxa"/>
            <w:vAlign w:val="bottom"/>
          </w:tcPr>
          <w:p>
            <w:pPr>
              <w:jc w:val="right"/>
              <w:ind w:right="71"/>
              <w:spacing w:after="0"/>
              <w:rPr>
                <w:sz w:val="20"/>
                <w:szCs w:val="20"/>
                <w:color w:val="auto"/>
              </w:rPr>
            </w:pPr>
            <w:r>
              <w:rPr>
                <w:rFonts w:ascii="Arial" w:cs="Arial" w:eastAsia="Arial" w:hAnsi="Arial"/>
                <w:sz w:val="14"/>
                <w:szCs w:val="14"/>
                <w:color w:val="auto"/>
              </w:rPr>
              <w:t>31.3</w:t>
            </w:r>
          </w:p>
        </w:tc>
        <w:tc>
          <w:tcPr>
            <w:tcW w:w="220" w:type="dxa"/>
            <w:vAlign w:val="bottom"/>
          </w:tcPr>
          <w:p>
            <w:pPr>
              <w:spacing w:after="0"/>
              <w:rPr>
                <w:sz w:val="22"/>
                <w:szCs w:val="22"/>
                <w:color w:val="auto"/>
              </w:rPr>
            </w:pPr>
          </w:p>
        </w:tc>
        <w:tc>
          <w:tcPr>
            <w:tcW w:w="1020" w:type="dxa"/>
            <w:vAlign w:val="bottom"/>
          </w:tcPr>
          <w:p>
            <w:pPr>
              <w:jc w:val="right"/>
              <w:ind w:right="31"/>
              <w:spacing w:after="0"/>
              <w:rPr>
                <w:sz w:val="20"/>
                <w:szCs w:val="20"/>
                <w:color w:val="auto"/>
              </w:rPr>
            </w:pPr>
            <w:r>
              <w:rPr>
                <w:rFonts w:ascii="Arial" w:cs="Arial" w:eastAsia="Arial" w:hAnsi="Arial"/>
                <w:sz w:val="14"/>
                <w:szCs w:val="14"/>
                <w:color w:val="auto"/>
              </w:rPr>
              <w:t>(0.3)</w:t>
            </w:r>
          </w:p>
        </w:tc>
        <w:tc>
          <w:tcPr>
            <w:tcW w:w="240" w:type="dxa"/>
            <w:vAlign w:val="bottom"/>
          </w:tcPr>
          <w:p>
            <w:pPr>
              <w:spacing w:after="0"/>
              <w:rPr>
                <w:sz w:val="22"/>
                <w:szCs w:val="22"/>
                <w:color w:val="auto"/>
              </w:rPr>
            </w:pP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31.1</w:t>
            </w:r>
          </w:p>
        </w:tc>
        <w:tc>
          <w:tcPr>
            <w:tcW w:w="0" w:type="dxa"/>
            <w:vAlign w:val="bottom"/>
          </w:tcPr>
          <w:p>
            <w:pPr>
              <w:spacing w:after="0"/>
              <w:rPr>
                <w:sz w:val="1"/>
                <w:szCs w:val="1"/>
                <w:color w:val="auto"/>
              </w:rPr>
            </w:pPr>
          </w:p>
        </w:tc>
      </w:tr>
      <w:tr>
        <w:trPr>
          <w:trHeight w:val="276"/>
        </w:trPr>
        <w:tc>
          <w:tcPr>
            <w:tcW w:w="3100" w:type="dxa"/>
            <w:vAlign w:val="bottom"/>
            <w:shd w:val="clear" w:color="auto" w:fill="CCEEFF"/>
          </w:tcPr>
          <w:p>
            <w:pPr>
              <w:ind w:left="620"/>
              <w:spacing w:after="0"/>
              <w:rPr>
                <w:sz w:val="20"/>
                <w:szCs w:val="20"/>
                <w:color w:val="auto"/>
              </w:rPr>
            </w:pPr>
            <w:r>
              <w:rPr>
                <w:rFonts w:ascii="Arial" w:cs="Arial" w:eastAsia="Arial" w:hAnsi="Arial"/>
                <w:sz w:val="14"/>
                <w:szCs w:val="14"/>
                <w:color w:val="auto"/>
              </w:rPr>
              <w:t>Cash dividends declared</w:t>
            </w:r>
          </w:p>
        </w:tc>
        <w:tc>
          <w:tcPr>
            <w:tcW w:w="74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(4.1)</w:t>
            </w:r>
          </w:p>
        </w:tc>
        <w:tc>
          <w:tcPr>
            <w:tcW w:w="2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(4.1)</w:t>
            </w: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264"/>
        </w:trPr>
        <w:tc>
          <w:tcPr>
            <w:tcW w:w="3100" w:type="dxa"/>
            <w:vAlign w:val="bottom"/>
          </w:tcPr>
          <w:p>
            <w:pPr>
              <w:ind w:left="620"/>
              <w:spacing w:after="0"/>
              <w:rPr>
                <w:sz w:val="20"/>
                <w:szCs w:val="20"/>
                <w:color w:val="auto"/>
              </w:rPr>
            </w:pPr>
            <w:r>
              <w:rPr>
                <w:rFonts w:ascii="Arial" w:cs="Arial" w:eastAsia="Arial" w:hAnsi="Arial"/>
                <w:sz w:val="14"/>
                <w:szCs w:val="14"/>
                <w:color w:val="auto"/>
              </w:rPr>
              <w:t>Distribution of noncontrolling interest</w:t>
            </w:r>
          </w:p>
        </w:tc>
        <w:tc>
          <w:tcPr>
            <w:tcW w:w="74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5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780" w:type="dxa"/>
            <w:vAlign w:val="bottom"/>
          </w:tcPr>
          <w:p>
            <w:pPr>
              <w:jc w:val="right"/>
              <w:ind w:right="91"/>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68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108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92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020" w:type="dxa"/>
            <w:vAlign w:val="bottom"/>
          </w:tcPr>
          <w:p>
            <w:pPr>
              <w:jc w:val="right"/>
              <w:ind w:right="31"/>
              <w:spacing w:after="0"/>
              <w:rPr>
                <w:sz w:val="20"/>
                <w:szCs w:val="20"/>
                <w:color w:val="auto"/>
              </w:rPr>
            </w:pPr>
            <w:r>
              <w:rPr>
                <w:rFonts w:ascii="Arial" w:cs="Arial" w:eastAsia="Arial" w:hAnsi="Arial"/>
                <w:sz w:val="14"/>
                <w:szCs w:val="14"/>
                <w:color w:val="auto"/>
              </w:rPr>
              <w:t>(0.1)</w:t>
            </w: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63"/>
        </w:trPr>
        <w:tc>
          <w:tcPr>
            <w:tcW w:w="3100" w:type="dxa"/>
            <w:vAlign w:val="bottom"/>
            <w:shd w:val="clear" w:color="auto" w:fill="CCEEFF"/>
          </w:tcPr>
          <w:p>
            <w:pPr>
              <w:ind w:left="620"/>
              <w:spacing w:after="0"/>
              <w:rPr>
                <w:sz w:val="20"/>
                <w:szCs w:val="20"/>
                <w:color w:val="auto"/>
              </w:rPr>
            </w:pPr>
            <w:r>
              <w:rPr>
                <w:rFonts w:ascii="Arial" w:cs="Arial" w:eastAsia="Arial" w:hAnsi="Arial"/>
                <w:sz w:val="14"/>
                <w:szCs w:val="14"/>
                <w:color w:val="auto"/>
              </w:rPr>
              <w:t>Amortization of share-based payment</w:t>
            </w:r>
          </w:p>
        </w:tc>
        <w:tc>
          <w:tcPr>
            <w:tcW w:w="7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100" w:type="dxa"/>
            <w:vAlign w:val="bottom"/>
            <w:shd w:val="clear" w:color="auto" w:fill="CCEEFF"/>
          </w:tcPr>
          <w:p>
            <w:pPr>
              <w:ind w:left="620"/>
              <w:spacing w:after="0"/>
              <w:rPr>
                <w:sz w:val="20"/>
                <w:szCs w:val="20"/>
                <w:color w:val="auto"/>
              </w:rPr>
            </w:pPr>
            <w:r>
              <w:rPr>
                <w:rFonts w:ascii="Arial" w:cs="Arial" w:eastAsia="Arial" w:hAnsi="Arial"/>
                <w:sz w:val="14"/>
                <w:szCs w:val="14"/>
                <w:color w:val="auto"/>
              </w:rPr>
              <w:t>awards</w:t>
            </w:r>
          </w:p>
        </w:tc>
        <w:tc>
          <w:tcPr>
            <w:tcW w:w="74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4.2</w:t>
            </w:r>
          </w:p>
        </w:tc>
        <w:tc>
          <w:tcPr>
            <w:tcW w:w="24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4.2</w:t>
            </w: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57"/>
        </w:trPr>
        <w:tc>
          <w:tcPr>
            <w:tcW w:w="3100" w:type="dxa"/>
            <w:vAlign w:val="bottom"/>
          </w:tcPr>
          <w:p>
            <w:pPr>
              <w:ind w:left="620"/>
              <w:spacing w:after="0" w:line="157" w:lineRule="exact"/>
              <w:rPr>
                <w:sz w:val="20"/>
                <w:szCs w:val="20"/>
                <w:color w:val="auto"/>
              </w:rPr>
            </w:pPr>
            <w:r>
              <w:rPr>
                <w:rFonts w:ascii="Arial" w:cs="Arial" w:eastAsia="Arial" w:hAnsi="Arial"/>
                <w:sz w:val="14"/>
                <w:szCs w:val="14"/>
                <w:color w:val="auto"/>
                <w:w w:val="96"/>
              </w:rPr>
              <w:t>Purchases of common stock tendered by</w:t>
            </w: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100" w:type="dxa"/>
            <w:vAlign w:val="bottom"/>
          </w:tcPr>
          <w:p>
            <w:pPr>
              <w:ind w:left="620"/>
              <w:spacing w:after="0" w:line="149" w:lineRule="exact"/>
              <w:rPr>
                <w:sz w:val="20"/>
                <w:szCs w:val="20"/>
                <w:color w:val="auto"/>
              </w:rPr>
            </w:pPr>
            <w:r>
              <w:rPr>
                <w:rFonts w:ascii="Arial" w:cs="Arial" w:eastAsia="Arial" w:hAnsi="Arial"/>
                <w:sz w:val="14"/>
                <w:szCs w:val="14"/>
                <w:color w:val="auto"/>
              </w:rPr>
              <w:t>employees to satisfy the required</w:t>
            </w: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tcPr>
          <w:p>
            <w:pPr>
              <w:ind w:left="620"/>
              <w:spacing w:after="0" w:line="149" w:lineRule="exact"/>
              <w:rPr>
                <w:sz w:val="20"/>
                <w:szCs w:val="20"/>
                <w:color w:val="auto"/>
              </w:rPr>
            </w:pPr>
            <w:r>
              <w:rPr>
                <w:rFonts w:ascii="Arial" w:cs="Arial" w:eastAsia="Arial" w:hAnsi="Arial"/>
                <w:sz w:val="14"/>
                <w:szCs w:val="14"/>
                <w:color w:val="auto"/>
                <w:w w:val="97"/>
              </w:rPr>
              <w:t>withholding taxes related to share-based</w:t>
            </w: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100" w:type="dxa"/>
            <w:vAlign w:val="bottom"/>
          </w:tcPr>
          <w:p>
            <w:pPr>
              <w:ind w:left="620"/>
              <w:spacing w:after="0"/>
              <w:rPr>
                <w:sz w:val="20"/>
                <w:szCs w:val="20"/>
                <w:color w:val="auto"/>
              </w:rPr>
            </w:pPr>
            <w:r>
              <w:rPr>
                <w:rFonts w:ascii="Arial" w:cs="Arial" w:eastAsia="Arial" w:hAnsi="Arial"/>
                <w:sz w:val="14"/>
                <w:szCs w:val="14"/>
                <w:color w:val="auto"/>
              </w:rPr>
              <w:t>payment awards</w:t>
            </w:r>
          </w:p>
        </w:tc>
        <w:tc>
          <w:tcPr>
            <w:tcW w:w="74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5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780" w:type="dxa"/>
            <w:vAlign w:val="bottom"/>
          </w:tcPr>
          <w:p>
            <w:pPr>
              <w:jc w:val="right"/>
              <w:ind w:right="51"/>
              <w:spacing w:after="0"/>
              <w:rPr>
                <w:sz w:val="20"/>
                <w:szCs w:val="20"/>
                <w:color w:val="auto"/>
              </w:rPr>
            </w:pPr>
            <w:r>
              <w:rPr>
                <w:rFonts w:ascii="Arial" w:cs="Arial" w:eastAsia="Arial" w:hAnsi="Arial"/>
                <w:sz w:val="14"/>
                <w:szCs w:val="14"/>
                <w:color w:val="auto"/>
              </w:rPr>
              <w:t>(1.2)</w:t>
            </w:r>
          </w:p>
        </w:tc>
        <w:tc>
          <w:tcPr>
            <w:tcW w:w="240" w:type="dxa"/>
            <w:vAlign w:val="bottom"/>
          </w:tcPr>
          <w:p>
            <w:pPr>
              <w:spacing w:after="0"/>
              <w:rPr>
                <w:sz w:val="16"/>
                <w:szCs w:val="16"/>
                <w:color w:val="auto"/>
              </w:rPr>
            </w:pPr>
          </w:p>
        </w:tc>
        <w:tc>
          <w:tcPr>
            <w:tcW w:w="68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08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920" w:type="dxa"/>
            <w:vAlign w:val="bottom"/>
          </w:tcPr>
          <w:p>
            <w:pPr>
              <w:jc w:val="right"/>
              <w:ind w:right="11"/>
              <w:spacing w:after="0"/>
              <w:rPr>
                <w:sz w:val="20"/>
                <w:szCs w:val="20"/>
                <w:color w:val="auto"/>
              </w:rPr>
            </w:pPr>
            <w:r>
              <w:rPr>
                <w:rFonts w:ascii="Arial" w:cs="Arial" w:eastAsia="Arial" w:hAnsi="Arial"/>
                <w:sz w:val="14"/>
                <w:szCs w:val="14"/>
                <w:color w:val="auto"/>
              </w:rPr>
              <w:t>(1.2)</w:t>
            </w:r>
          </w:p>
        </w:tc>
        <w:tc>
          <w:tcPr>
            <w:tcW w:w="220" w:type="dxa"/>
            <w:vAlign w:val="bottom"/>
          </w:tcPr>
          <w:p>
            <w:pPr>
              <w:spacing w:after="0"/>
              <w:rPr>
                <w:sz w:val="16"/>
                <w:szCs w:val="16"/>
                <w:color w:val="auto"/>
              </w:rPr>
            </w:pPr>
          </w:p>
        </w:tc>
        <w:tc>
          <w:tcPr>
            <w:tcW w:w="102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76"/>
        </w:trPr>
        <w:tc>
          <w:tcPr>
            <w:tcW w:w="3100" w:type="dxa"/>
            <w:vAlign w:val="bottom"/>
            <w:shd w:val="clear" w:color="auto" w:fill="CCEEFF"/>
          </w:tcPr>
          <w:p>
            <w:pPr>
              <w:ind w:left="620"/>
              <w:spacing w:after="0"/>
              <w:rPr>
                <w:sz w:val="20"/>
                <w:szCs w:val="20"/>
                <w:color w:val="auto"/>
              </w:rPr>
            </w:pPr>
            <w:r>
              <w:rPr>
                <w:rFonts w:ascii="Arial" w:cs="Arial" w:eastAsia="Arial" w:hAnsi="Arial"/>
                <w:sz w:val="14"/>
                <w:szCs w:val="14"/>
                <w:color w:val="auto"/>
              </w:rPr>
              <w:t>Purchases of common stock</w:t>
            </w:r>
          </w:p>
        </w:tc>
        <w:tc>
          <w:tcPr>
            <w:tcW w:w="7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(0.3)</w:t>
            </w:r>
          </w:p>
        </w:tc>
        <w:tc>
          <w:tcPr>
            <w:tcW w:w="20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(11.1)</w:t>
            </w:r>
          </w:p>
        </w:tc>
        <w:tc>
          <w:tcPr>
            <w:tcW w:w="24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(11.1)</w:t>
            </w: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w:t>
            </w:r>
          </w:p>
        </w:tc>
        <w:tc>
          <w:tcPr>
            <w:tcW w:w="0" w:type="dxa"/>
            <w:vAlign w:val="bottom"/>
          </w:tcPr>
          <w:p>
            <w:pPr>
              <w:spacing w:after="0"/>
              <w:rPr>
                <w:sz w:val="1"/>
                <w:szCs w:val="1"/>
                <w:color w:val="auto"/>
              </w:rPr>
            </w:pPr>
          </w:p>
        </w:tc>
      </w:tr>
      <w:tr>
        <w:trPr>
          <w:trHeight w:val="264"/>
        </w:trPr>
        <w:tc>
          <w:tcPr>
            <w:tcW w:w="3100" w:type="dxa"/>
            <w:vAlign w:val="bottom"/>
            <w:tcBorders>
              <w:bottom w:val="single" w:sz="8" w:color="auto"/>
            </w:tcBorders>
          </w:tcPr>
          <w:p>
            <w:pPr>
              <w:ind w:left="620"/>
              <w:spacing w:after="0"/>
              <w:rPr>
                <w:sz w:val="20"/>
                <w:szCs w:val="20"/>
                <w:color w:val="auto"/>
              </w:rPr>
            </w:pPr>
            <w:r>
              <w:rPr>
                <w:rFonts w:ascii="Arial" w:cs="Arial" w:eastAsia="Arial" w:hAnsi="Arial"/>
                <w:sz w:val="14"/>
                <w:szCs w:val="14"/>
                <w:color w:val="auto"/>
              </w:rPr>
              <w:t>Other comprehensive income</w:t>
            </w:r>
          </w:p>
        </w:tc>
        <w:tc>
          <w:tcPr>
            <w:tcW w:w="74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rPr>
              <w:t>16.7</w:t>
            </w: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rPr>
              <w:t>16.7</w:t>
            </w: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rPr>
              <w:t>0.2</w:t>
            </w: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16.9</w:t>
            </w:r>
          </w:p>
        </w:tc>
        <w:tc>
          <w:tcPr>
            <w:tcW w:w="0" w:type="dxa"/>
            <w:vAlign w:val="bottom"/>
          </w:tcPr>
          <w:p>
            <w:pPr>
              <w:spacing w:after="0"/>
              <w:rPr>
                <w:sz w:val="1"/>
                <w:szCs w:val="1"/>
                <w:color w:val="auto"/>
              </w:rPr>
            </w:pPr>
          </w:p>
        </w:tc>
      </w:tr>
      <w:tr>
        <w:trPr>
          <w:trHeight w:val="264"/>
        </w:trPr>
        <w:tc>
          <w:tcPr>
            <w:tcW w:w="310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4"/>
                <w:szCs w:val="14"/>
                <w:color w:val="auto"/>
              </w:rPr>
              <w:t>Balance as of March 31, 2017</w:t>
            </w:r>
          </w:p>
        </w:tc>
        <w:tc>
          <w:tcPr>
            <w:tcW w:w="7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4"/>
                <w:szCs w:val="14"/>
                <w:color w:val="auto"/>
              </w:rPr>
              <w:t>69.6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0.7</w:t>
            </w:r>
          </w:p>
        </w:tc>
        <w:tc>
          <w:tcPr>
            <w:tcW w:w="3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4"/>
                <w:szCs w:val="14"/>
                <w:color w:val="auto"/>
              </w:rPr>
              <w:t>391.8</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1,706.5</w:t>
            </w:r>
          </w:p>
        </w:tc>
        <w:tc>
          <w:tcPr>
            <w:tcW w:w="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(138.1)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color w:val="auto"/>
              </w:rPr>
              <w:t>1,960.8</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color w:val="auto"/>
              </w:rPr>
              <w:t>14.8</w:t>
            </w:r>
          </w:p>
        </w:tc>
        <w:tc>
          <w:tcPr>
            <w:tcW w:w="2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1,975.6</w:t>
            </w:r>
          </w:p>
        </w:tc>
        <w:tc>
          <w:tcPr>
            <w:tcW w:w="0" w:type="dxa"/>
            <w:vAlign w:val="bottom"/>
          </w:tcPr>
          <w:p>
            <w:pPr>
              <w:spacing w:after="0"/>
              <w:rPr>
                <w:sz w:val="1"/>
                <w:szCs w:val="1"/>
                <w:color w:val="auto"/>
              </w:rPr>
            </w:pPr>
          </w:p>
        </w:tc>
      </w:tr>
      <w:tr>
        <w:trPr>
          <w:trHeight w:val="20"/>
        </w:trPr>
        <w:tc>
          <w:tcPr>
            <w:tcW w:w="3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100" w:type="dxa"/>
            <w:vAlign w:val="bottom"/>
          </w:tcPr>
          <w:p>
            <w:pPr>
              <w:spacing w:after="0"/>
              <w:rPr>
                <w:sz w:val="13"/>
                <w:szCs w:val="13"/>
                <w:color w:val="auto"/>
              </w:rPr>
            </w:pPr>
          </w:p>
        </w:tc>
        <w:tc>
          <w:tcPr>
            <w:tcW w:w="1520" w:type="dxa"/>
            <w:vAlign w:val="bottom"/>
            <w:gridSpan w:val="3"/>
            <w:vMerge w:val="restart"/>
          </w:tcPr>
          <w:p>
            <w:pPr>
              <w:jc w:val="right"/>
              <w:ind w:right="49"/>
              <w:spacing w:after="0"/>
              <w:rPr>
                <w:sz w:val="20"/>
                <w:szCs w:val="20"/>
                <w:color w:val="auto"/>
              </w:rPr>
            </w:pPr>
            <w:r>
              <w:rPr>
                <w:rFonts w:ascii="Arial" w:cs="Arial" w:eastAsia="Arial" w:hAnsi="Arial"/>
                <w:sz w:val="13"/>
                <w:szCs w:val="13"/>
                <w:b w:val="1"/>
                <w:bCs w:val="1"/>
                <w:color w:val="auto"/>
              </w:rPr>
              <w:t>Common Stock</w:t>
            </w:r>
          </w:p>
        </w:tc>
        <w:tc>
          <w:tcPr>
            <w:tcW w:w="3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jc w:val="right"/>
              <w:ind w:right="71"/>
              <w:spacing w:after="0"/>
              <w:rPr>
                <w:sz w:val="20"/>
                <w:szCs w:val="20"/>
                <w:color w:val="auto"/>
              </w:rPr>
            </w:pPr>
            <w:r>
              <w:rPr>
                <w:rFonts w:ascii="Arial" w:cs="Arial" w:eastAsia="Arial" w:hAnsi="Arial"/>
                <w:sz w:val="13"/>
                <w:szCs w:val="13"/>
                <w:b w:val="1"/>
                <w:bCs w:val="1"/>
                <w:color w:val="auto"/>
              </w:rPr>
              <w:t>Accumulated</w:t>
            </w:r>
          </w:p>
        </w:tc>
        <w:tc>
          <w:tcPr>
            <w:tcW w:w="200" w:type="dxa"/>
            <w:vAlign w:val="bottom"/>
          </w:tcPr>
          <w:p>
            <w:pPr>
              <w:spacing w:after="0"/>
              <w:rPr>
                <w:sz w:val="13"/>
                <w:szCs w:val="13"/>
                <w:color w:val="auto"/>
              </w:rPr>
            </w:pPr>
          </w:p>
        </w:tc>
        <w:tc>
          <w:tcPr>
            <w:tcW w:w="920" w:type="dxa"/>
            <w:vAlign w:val="bottom"/>
          </w:tcPr>
          <w:p>
            <w:pPr>
              <w:jc w:val="right"/>
              <w:ind w:right="71"/>
              <w:spacing w:after="0"/>
              <w:rPr>
                <w:sz w:val="20"/>
                <w:szCs w:val="20"/>
                <w:color w:val="auto"/>
              </w:rPr>
            </w:pPr>
            <w:r>
              <w:rPr>
                <w:rFonts w:ascii="Arial" w:cs="Arial" w:eastAsia="Arial" w:hAnsi="Arial"/>
                <w:sz w:val="13"/>
                <w:szCs w:val="13"/>
                <w:b w:val="1"/>
                <w:bCs w:val="1"/>
                <w:color w:val="auto"/>
              </w:rPr>
              <w:t>Total</w:t>
            </w: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3100" w:type="dxa"/>
            <w:vAlign w:val="bottom"/>
          </w:tcPr>
          <w:p>
            <w:pPr>
              <w:spacing w:after="0"/>
              <w:rPr>
                <w:sz w:val="12"/>
                <w:szCs w:val="12"/>
                <w:color w:val="auto"/>
              </w:rPr>
            </w:pPr>
          </w:p>
        </w:tc>
        <w:tc>
          <w:tcPr>
            <w:tcW w:w="1520" w:type="dxa"/>
            <w:vAlign w:val="bottom"/>
            <w:tcBorders>
              <w:bottom w:val="single" w:sz="8" w:color="auto"/>
            </w:tcBorders>
            <w:gridSpan w:val="3"/>
            <w:vMerge w:val="continue"/>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jc w:val="right"/>
              <w:ind w:right="91"/>
              <w:spacing w:after="0" w:line="140" w:lineRule="exact"/>
              <w:rPr>
                <w:sz w:val="20"/>
                <w:szCs w:val="20"/>
                <w:color w:val="auto"/>
              </w:rPr>
            </w:pPr>
            <w:r>
              <w:rPr>
                <w:rFonts w:ascii="Arial" w:cs="Arial" w:eastAsia="Arial" w:hAnsi="Arial"/>
                <w:sz w:val="13"/>
                <w:szCs w:val="13"/>
                <w:b w:val="1"/>
                <w:bCs w:val="1"/>
                <w:color w:val="auto"/>
              </w:rPr>
              <w:t>Capital in</w:t>
            </w: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jc w:val="right"/>
              <w:ind w:right="71"/>
              <w:spacing w:after="0" w:line="140" w:lineRule="exact"/>
              <w:rPr>
                <w:sz w:val="20"/>
                <w:szCs w:val="20"/>
                <w:color w:val="auto"/>
              </w:rPr>
            </w:pPr>
            <w:r>
              <w:rPr>
                <w:rFonts w:ascii="Arial" w:cs="Arial" w:eastAsia="Arial" w:hAnsi="Arial"/>
                <w:sz w:val="13"/>
                <w:szCs w:val="13"/>
                <w:b w:val="1"/>
                <w:bCs w:val="1"/>
                <w:color w:val="auto"/>
              </w:rPr>
              <w:t>Other</w:t>
            </w:r>
          </w:p>
        </w:tc>
        <w:tc>
          <w:tcPr>
            <w:tcW w:w="200" w:type="dxa"/>
            <w:vAlign w:val="bottom"/>
          </w:tcPr>
          <w:p>
            <w:pPr>
              <w:spacing w:after="0"/>
              <w:rPr>
                <w:sz w:val="12"/>
                <w:szCs w:val="12"/>
                <w:color w:val="auto"/>
              </w:rPr>
            </w:pPr>
          </w:p>
        </w:tc>
        <w:tc>
          <w:tcPr>
            <w:tcW w:w="920" w:type="dxa"/>
            <w:vAlign w:val="bottom"/>
          </w:tcPr>
          <w:p>
            <w:pPr>
              <w:jc w:val="right"/>
              <w:ind w:right="71"/>
              <w:spacing w:after="0" w:line="140" w:lineRule="exact"/>
              <w:rPr>
                <w:sz w:val="20"/>
                <w:szCs w:val="20"/>
                <w:color w:val="auto"/>
              </w:rPr>
            </w:pPr>
            <w:r>
              <w:rPr>
                <w:rFonts w:ascii="Arial" w:cs="Arial" w:eastAsia="Arial" w:hAnsi="Arial"/>
                <w:sz w:val="13"/>
                <w:szCs w:val="13"/>
                <w:b w:val="1"/>
                <w:bCs w:val="1"/>
                <w:color w:val="auto"/>
              </w:rPr>
              <w:t>World Fuel</w:t>
            </w:r>
          </w:p>
        </w:tc>
        <w:tc>
          <w:tcPr>
            <w:tcW w:w="220" w:type="dxa"/>
            <w:vAlign w:val="bottom"/>
          </w:tcPr>
          <w:p>
            <w:pPr>
              <w:spacing w:after="0"/>
              <w:rPr>
                <w:sz w:val="12"/>
                <w:szCs w:val="12"/>
                <w:color w:val="auto"/>
              </w:rPr>
            </w:pPr>
          </w:p>
        </w:tc>
        <w:tc>
          <w:tcPr>
            <w:tcW w:w="1020" w:type="dxa"/>
            <w:vAlign w:val="bottom"/>
          </w:tcPr>
          <w:p>
            <w:pPr>
              <w:jc w:val="right"/>
              <w:ind w:right="71"/>
              <w:spacing w:after="0" w:line="140" w:lineRule="exact"/>
              <w:rPr>
                <w:sz w:val="20"/>
                <w:szCs w:val="20"/>
                <w:color w:val="auto"/>
              </w:rPr>
            </w:pPr>
            <w:r>
              <w:rPr>
                <w:rFonts w:ascii="Arial" w:cs="Arial" w:eastAsia="Arial" w:hAnsi="Arial"/>
                <w:sz w:val="13"/>
                <w:szCs w:val="13"/>
                <w:b w:val="1"/>
                <w:bCs w:val="1"/>
                <w:color w:val="auto"/>
                <w:w w:val="92"/>
              </w:rPr>
              <w:t>Noncontrolling</w:t>
            </w: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3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780" w:type="dxa"/>
            <w:vAlign w:val="bottom"/>
          </w:tcPr>
          <w:p>
            <w:pPr>
              <w:jc w:val="right"/>
              <w:ind w:right="91"/>
              <w:spacing w:after="0" w:line="110" w:lineRule="exact"/>
              <w:rPr>
                <w:sz w:val="20"/>
                <w:szCs w:val="20"/>
                <w:color w:val="auto"/>
              </w:rPr>
            </w:pPr>
            <w:r>
              <w:rPr>
                <w:rFonts w:ascii="Arial" w:cs="Arial" w:eastAsia="Arial" w:hAnsi="Arial"/>
                <w:sz w:val="12"/>
                <w:szCs w:val="12"/>
                <w:b w:val="1"/>
                <w:bCs w:val="1"/>
                <w:color w:val="auto"/>
              </w:rPr>
              <w:t>Excess of</w:t>
            </w:r>
          </w:p>
        </w:tc>
        <w:tc>
          <w:tcPr>
            <w:tcW w:w="240" w:type="dxa"/>
            <w:vAlign w:val="bottom"/>
          </w:tcPr>
          <w:p>
            <w:pPr>
              <w:spacing w:after="0"/>
              <w:rPr>
                <w:sz w:val="9"/>
                <w:szCs w:val="9"/>
                <w:color w:val="auto"/>
              </w:rPr>
            </w:pPr>
          </w:p>
        </w:tc>
        <w:tc>
          <w:tcPr>
            <w:tcW w:w="680" w:type="dxa"/>
            <w:vAlign w:val="bottom"/>
          </w:tcPr>
          <w:p>
            <w:pPr>
              <w:jc w:val="right"/>
              <w:ind w:right="70"/>
              <w:spacing w:after="0" w:line="110" w:lineRule="exact"/>
              <w:rPr>
                <w:sz w:val="20"/>
                <w:szCs w:val="20"/>
                <w:color w:val="auto"/>
              </w:rPr>
            </w:pPr>
            <w:r>
              <w:rPr>
                <w:rFonts w:ascii="Arial" w:cs="Arial" w:eastAsia="Arial" w:hAnsi="Arial"/>
                <w:sz w:val="12"/>
                <w:szCs w:val="12"/>
                <w:b w:val="1"/>
                <w:bCs w:val="1"/>
                <w:color w:val="auto"/>
              </w:rPr>
              <w:t>Retained</w:t>
            </w:r>
          </w:p>
        </w:tc>
        <w:tc>
          <w:tcPr>
            <w:tcW w:w="260" w:type="dxa"/>
            <w:vAlign w:val="bottom"/>
          </w:tcPr>
          <w:p>
            <w:pPr>
              <w:spacing w:after="0"/>
              <w:rPr>
                <w:sz w:val="9"/>
                <w:szCs w:val="9"/>
                <w:color w:val="auto"/>
              </w:rPr>
            </w:pPr>
          </w:p>
        </w:tc>
        <w:tc>
          <w:tcPr>
            <w:tcW w:w="1080" w:type="dxa"/>
            <w:vAlign w:val="bottom"/>
          </w:tcPr>
          <w:p>
            <w:pPr>
              <w:jc w:val="right"/>
              <w:ind w:right="71"/>
              <w:spacing w:after="0" w:line="110" w:lineRule="exact"/>
              <w:rPr>
                <w:sz w:val="20"/>
                <w:szCs w:val="20"/>
                <w:color w:val="auto"/>
              </w:rPr>
            </w:pPr>
            <w:r>
              <w:rPr>
                <w:rFonts w:ascii="Arial" w:cs="Arial" w:eastAsia="Arial" w:hAnsi="Arial"/>
                <w:sz w:val="12"/>
                <w:szCs w:val="12"/>
                <w:b w:val="1"/>
                <w:bCs w:val="1"/>
                <w:color w:val="auto"/>
              </w:rPr>
              <w:t>Comprehensive</w:t>
            </w:r>
          </w:p>
        </w:tc>
        <w:tc>
          <w:tcPr>
            <w:tcW w:w="200" w:type="dxa"/>
            <w:vAlign w:val="bottom"/>
          </w:tcPr>
          <w:p>
            <w:pPr>
              <w:spacing w:after="0"/>
              <w:rPr>
                <w:sz w:val="9"/>
                <w:szCs w:val="9"/>
                <w:color w:val="auto"/>
              </w:rPr>
            </w:pPr>
          </w:p>
        </w:tc>
        <w:tc>
          <w:tcPr>
            <w:tcW w:w="920" w:type="dxa"/>
            <w:vAlign w:val="bottom"/>
          </w:tcPr>
          <w:p>
            <w:pPr>
              <w:jc w:val="right"/>
              <w:ind w:right="71"/>
              <w:spacing w:after="0" w:line="110" w:lineRule="exact"/>
              <w:rPr>
                <w:sz w:val="20"/>
                <w:szCs w:val="20"/>
                <w:color w:val="auto"/>
              </w:rPr>
            </w:pPr>
            <w:r>
              <w:rPr>
                <w:rFonts w:ascii="Arial" w:cs="Arial" w:eastAsia="Arial" w:hAnsi="Arial"/>
                <w:sz w:val="12"/>
                <w:szCs w:val="12"/>
                <w:b w:val="1"/>
                <w:bCs w:val="1"/>
                <w:color w:val="auto"/>
                <w:w w:val="95"/>
              </w:rPr>
              <w:t>Shareholders'</w:t>
            </w:r>
          </w:p>
        </w:tc>
        <w:tc>
          <w:tcPr>
            <w:tcW w:w="220" w:type="dxa"/>
            <w:vAlign w:val="bottom"/>
          </w:tcPr>
          <w:p>
            <w:pPr>
              <w:spacing w:after="0"/>
              <w:rPr>
                <w:sz w:val="9"/>
                <w:szCs w:val="9"/>
                <w:color w:val="auto"/>
              </w:rPr>
            </w:pPr>
          </w:p>
        </w:tc>
        <w:tc>
          <w:tcPr>
            <w:tcW w:w="1020" w:type="dxa"/>
            <w:vAlign w:val="bottom"/>
          </w:tcPr>
          <w:p>
            <w:pPr>
              <w:jc w:val="right"/>
              <w:ind w:right="71"/>
              <w:spacing w:after="0" w:line="110" w:lineRule="exact"/>
              <w:rPr>
                <w:sz w:val="20"/>
                <w:szCs w:val="20"/>
                <w:color w:val="auto"/>
              </w:rPr>
            </w:pPr>
            <w:r>
              <w:rPr>
                <w:rFonts w:ascii="Arial" w:cs="Arial" w:eastAsia="Arial" w:hAnsi="Arial"/>
                <w:sz w:val="12"/>
                <w:szCs w:val="12"/>
                <w:b w:val="1"/>
                <w:bCs w:val="1"/>
                <w:color w:val="auto"/>
              </w:rPr>
              <w:t>Interest</w:t>
            </w: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4"/>
        </w:trPr>
        <w:tc>
          <w:tcPr>
            <w:tcW w:w="3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70"/>
              <w:spacing w:after="0"/>
              <w:rPr>
                <w:sz w:val="20"/>
                <w:szCs w:val="20"/>
                <w:color w:val="auto"/>
              </w:rPr>
            </w:pPr>
            <w:r>
              <w:rPr>
                <w:rFonts w:ascii="Arial" w:cs="Arial" w:eastAsia="Arial" w:hAnsi="Arial"/>
                <w:sz w:val="13"/>
                <w:szCs w:val="13"/>
                <w:b w:val="1"/>
                <w:bCs w:val="1"/>
                <w:color w:val="auto"/>
              </w:rPr>
              <w:t>Shares</w:t>
            </w:r>
          </w:p>
        </w:tc>
        <w:tc>
          <w:tcPr>
            <w:tcW w:w="2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49"/>
              <w:spacing w:after="0"/>
              <w:rPr>
                <w:sz w:val="20"/>
                <w:szCs w:val="20"/>
                <w:color w:val="auto"/>
              </w:rPr>
            </w:pPr>
            <w:r>
              <w:rPr>
                <w:rFonts w:ascii="Arial" w:cs="Arial" w:eastAsia="Arial" w:hAnsi="Arial"/>
                <w:sz w:val="13"/>
                <w:szCs w:val="13"/>
                <w:b w:val="1"/>
                <w:bCs w:val="1"/>
                <w:color w:val="auto"/>
                <w:w w:val="89"/>
              </w:rPr>
              <w:t>Amount</w:t>
            </w:r>
          </w:p>
        </w:tc>
        <w:tc>
          <w:tcPr>
            <w:tcW w:w="3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91"/>
              <w:spacing w:after="0"/>
              <w:rPr>
                <w:sz w:val="20"/>
                <w:szCs w:val="20"/>
                <w:color w:val="auto"/>
              </w:rPr>
            </w:pPr>
            <w:r>
              <w:rPr>
                <w:rFonts w:ascii="Arial" w:cs="Arial" w:eastAsia="Arial" w:hAnsi="Arial"/>
                <w:sz w:val="13"/>
                <w:szCs w:val="13"/>
                <w:b w:val="1"/>
                <w:bCs w:val="1"/>
                <w:color w:val="auto"/>
              </w:rPr>
              <w:t>Par Value</w:t>
            </w:r>
          </w:p>
        </w:tc>
        <w:tc>
          <w:tcPr>
            <w:tcW w:w="2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70"/>
              <w:spacing w:after="0"/>
              <w:rPr>
                <w:sz w:val="20"/>
                <w:szCs w:val="20"/>
                <w:color w:val="auto"/>
              </w:rPr>
            </w:pPr>
            <w:r>
              <w:rPr>
                <w:rFonts w:ascii="Arial" w:cs="Arial" w:eastAsia="Arial" w:hAnsi="Arial"/>
                <w:sz w:val="13"/>
                <w:szCs w:val="13"/>
                <w:b w:val="1"/>
                <w:bCs w:val="1"/>
                <w:color w:val="auto"/>
                <w:w w:val="93"/>
              </w:rPr>
              <w:t>Earnings</w:t>
            </w:r>
          </w:p>
        </w:tc>
        <w:tc>
          <w:tcPr>
            <w:tcW w:w="2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71"/>
              <w:spacing w:after="0"/>
              <w:rPr>
                <w:sz w:val="20"/>
                <w:szCs w:val="20"/>
                <w:color w:val="auto"/>
              </w:rPr>
            </w:pPr>
            <w:r>
              <w:rPr>
                <w:rFonts w:ascii="Arial" w:cs="Arial" w:eastAsia="Arial" w:hAnsi="Arial"/>
                <w:sz w:val="13"/>
                <w:szCs w:val="13"/>
                <w:b w:val="1"/>
                <w:bCs w:val="1"/>
                <w:color w:val="auto"/>
              </w:rPr>
              <w:t>Loss</w:t>
            </w: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71"/>
              <w:spacing w:after="0"/>
              <w:rPr>
                <w:sz w:val="20"/>
                <w:szCs w:val="20"/>
                <w:color w:val="auto"/>
              </w:rPr>
            </w:pPr>
            <w:r>
              <w:rPr>
                <w:rFonts w:ascii="Arial" w:cs="Arial" w:eastAsia="Arial" w:hAnsi="Arial"/>
                <w:sz w:val="13"/>
                <w:szCs w:val="13"/>
                <w:b w:val="1"/>
                <w:bCs w:val="1"/>
                <w:color w:val="auto"/>
              </w:rPr>
              <w:t>Equity</w:t>
            </w:r>
          </w:p>
        </w:tc>
        <w:tc>
          <w:tcPr>
            <w:tcW w:w="2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71"/>
              <w:spacing w:after="0"/>
              <w:rPr>
                <w:sz w:val="20"/>
                <w:szCs w:val="20"/>
                <w:color w:val="auto"/>
              </w:rPr>
            </w:pPr>
            <w:r>
              <w:rPr>
                <w:rFonts w:ascii="Arial" w:cs="Arial" w:eastAsia="Arial" w:hAnsi="Arial"/>
                <w:sz w:val="13"/>
                <w:szCs w:val="13"/>
                <w:b w:val="1"/>
                <w:bCs w:val="1"/>
                <w:color w:val="auto"/>
              </w:rPr>
              <w:t>Equity</w:t>
            </w: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9"/>
              <w:spacing w:after="0"/>
              <w:rPr>
                <w:sz w:val="20"/>
                <w:szCs w:val="20"/>
                <w:color w:val="auto"/>
              </w:rPr>
            </w:pPr>
            <w:r>
              <w:rPr>
                <w:rFonts w:ascii="Arial" w:cs="Arial" w:eastAsia="Arial" w:hAnsi="Arial"/>
                <w:sz w:val="13"/>
                <w:szCs w:val="13"/>
                <w:b w:val="1"/>
                <w:bCs w:val="1"/>
                <w:color w:val="auto"/>
                <w:w w:val="96"/>
              </w:rPr>
              <w:t>Total Equity</w:t>
            </w:r>
          </w:p>
        </w:tc>
        <w:tc>
          <w:tcPr>
            <w:tcW w:w="0" w:type="dxa"/>
            <w:vAlign w:val="bottom"/>
          </w:tcPr>
          <w:p>
            <w:pPr>
              <w:spacing w:after="0"/>
              <w:rPr>
                <w:sz w:val="1"/>
                <w:szCs w:val="1"/>
                <w:color w:val="auto"/>
              </w:rPr>
            </w:pPr>
          </w:p>
        </w:tc>
      </w:tr>
      <w:tr>
        <w:trPr>
          <w:trHeight w:val="270"/>
        </w:trPr>
        <w:tc>
          <w:tcPr>
            <w:tcW w:w="3100" w:type="dxa"/>
            <w:vAlign w:val="bottom"/>
            <w:shd w:val="clear" w:color="auto" w:fill="CCEEFF"/>
          </w:tcPr>
          <w:p>
            <w:pPr>
              <w:ind w:left="500"/>
              <w:spacing w:after="0"/>
              <w:rPr>
                <w:sz w:val="20"/>
                <w:szCs w:val="20"/>
                <w:color w:val="auto"/>
              </w:rPr>
            </w:pPr>
            <w:r>
              <w:rPr>
                <w:rFonts w:ascii="Arial" w:cs="Arial" w:eastAsia="Arial" w:hAnsi="Arial"/>
                <w:sz w:val="14"/>
                <w:szCs w:val="14"/>
                <w:color w:val="auto"/>
              </w:rPr>
              <w:t>Balance as of December 31, 2015</w:t>
            </w:r>
          </w:p>
        </w:tc>
        <w:tc>
          <w:tcPr>
            <w:tcW w:w="72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70.8</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0.7</w:t>
            </w:r>
          </w:p>
        </w:tc>
        <w:tc>
          <w:tcPr>
            <w:tcW w:w="3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435.3</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1,569.4</w:t>
            </w:r>
          </w:p>
        </w:tc>
        <w:tc>
          <w:tcPr>
            <w:tcW w:w="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(109.5)</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1,895.9</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10.0</w:t>
            </w:r>
          </w:p>
        </w:tc>
        <w:tc>
          <w:tcPr>
            <w:tcW w:w="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1,905.9</w:t>
            </w:r>
          </w:p>
        </w:tc>
        <w:tc>
          <w:tcPr>
            <w:tcW w:w="0" w:type="dxa"/>
            <w:vAlign w:val="bottom"/>
          </w:tcPr>
          <w:p>
            <w:pPr>
              <w:spacing w:after="0"/>
              <w:rPr>
                <w:sz w:val="1"/>
                <w:szCs w:val="1"/>
                <w:color w:val="auto"/>
              </w:rPr>
            </w:pPr>
          </w:p>
        </w:tc>
      </w:tr>
      <w:tr>
        <w:trPr>
          <w:trHeight w:val="264"/>
        </w:trPr>
        <w:tc>
          <w:tcPr>
            <w:tcW w:w="3100" w:type="dxa"/>
            <w:vAlign w:val="bottom"/>
          </w:tcPr>
          <w:p>
            <w:pPr>
              <w:ind w:left="620"/>
              <w:spacing w:after="0"/>
              <w:rPr>
                <w:sz w:val="20"/>
                <w:szCs w:val="20"/>
                <w:color w:val="auto"/>
              </w:rPr>
            </w:pPr>
            <w:r>
              <w:rPr>
                <w:rFonts w:ascii="Arial" w:cs="Arial" w:eastAsia="Arial" w:hAnsi="Arial"/>
                <w:sz w:val="14"/>
                <w:szCs w:val="14"/>
                <w:color w:val="auto"/>
              </w:rPr>
              <w:t>Net income</w:t>
            </w:r>
          </w:p>
        </w:tc>
        <w:tc>
          <w:tcPr>
            <w:tcW w:w="72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5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780" w:type="dxa"/>
            <w:vAlign w:val="bottom"/>
          </w:tcPr>
          <w:p>
            <w:pPr>
              <w:jc w:val="right"/>
              <w:ind w:right="91"/>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680" w:type="dxa"/>
            <w:vAlign w:val="bottom"/>
          </w:tcPr>
          <w:p>
            <w:pPr>
              <w:jc w:val="right"/>
              <w:ind w:right="70"/>
              <w:spacing w:after="0"/>
              <w:rPr>
                <w:sz w:val="20"/>
                <w:szCs w:val="20"/>
                <w:color w:val="auto"/>
              </w:rPr>
            </w:pPr>
            <w:r>
              <w:rPr>
                <w:rFonts w:ascii="Arial" w:cs="Arial" w:eastAsia="Arial" w:hAnsi="Arial"/>
                <w:sz w:val="14"/>
                <w:szCs w:val="14"/>
                <w:color w:val="auto"/>
              </w:rPr>
              <w:t>51.8</w:t>
            </w:r>
          </w:p>
        </w:tc>
        <w:tc>
          <w:tcPr>
            <w:tcW w:w="260" w:type="dxa"/>
            <w:vAlign w:val="bottom"/>
          </w:tcPr>
          <w:p>
            <w:pPr>
              <w:spacing w:after="0"/>
              <w:rPr>
                <w:sz w:val="22"/>
                <w:szCs w:val="22"/>
                <w:color w:val="auto"/>
              </w:rPr>
            </w:pPr>
          </w:p>
        </w:tc>
        <w:tc>
          <w:tcPr>
            <w:tcW w:w="108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920" w:type="dxa"/>
            <w:vAlign w:val="bottom"/>
          </w:tcPr>
          <w:p>
            <w:pPr>
              <w:jc w:val="right"/>
              <w:ind w:right="71"/>
              <w:spacing w:after="0"/>
              <w:rPr>
                <w:sz w:val="20"/>
                <w:szCs w:val="20"/>
                <w:color w:val="auto"/>
              </w:rPr>
            </w:pPr>
            <w:r>
              <w:rPr>
                <w:rFonts w:ascii="Arial" w:cs="Arial" w:eastAsia="Arial" w:hAnsi="Arial"/>
                <w:sz w:val="14"/>
                <w:szCs w:val="14"/>
                <w:color w:val="auto"/>
              </w:rPr>
              <w:t>51.8</w:t>
            </w:r>
          </w:p>
        </w:tc>
        <w:tc>
          <w:tcPr>
            <w:tcW w:w="220" w:type="dxa"/>
            <w:vAlign w:val="bottom"/>
          </w:tcPr>
          <w:p>
            <w:pPr>
              <w:spacing w:after="0"/>
              <w:rPr>
                <w:sz w:val="22"/>
                <w:szCs w:val="22"/>
                <w:color w:val="auto"/>
              </w:rPr>
            </w:pPr>
          </w:p>
        </w:tc>
        <w:tc>
          <w:tcPr>
            <w:tcW w:w="1020" w:type="dxa"/>
            <w:vAlign w:val="bottom"/>
          </w:tcPr>
          <w:p>
            <w:pPr>
              <w:jc w:val="right"/>
              <w:ind w:right="31"/>
              <w:spacing w:after="0"/>
              <w:rPr>
                <w:sz w:val="20"/>
                <w:szCs w:val="20"/>
                <w:color w:val="auto"/>
              </w:rPr>
            </w:pPr>
            <w:r>
              <w:rPr>
                <w:rFonts w:ascii="Arial" w:cs="Arial" w:eastAsia="Arial" w:hAnsi="Arial"/>
                <w:sz w:val="14"/>
                <w:szCs w:val="14"/>
                <w:color w:val="auto"/>
              </w:rPr>
              <w:t>(0.1)</w:t>
            </w:r>
          </w:p>
        </w:tc>
        <w:tc>
          <w:tcPr>
            <w:tcW w:w="240" w:type="dxa"/>
            <w:vAlign w:val="bottom"/>
          </w:tcPr>
          <w:p>
            <w:pPr>
              <w:spacing w:after="0"/>
              <w:rPr>
                <w:sz w:val="22"/>
                <w:szCs w:val="22"/>
                <w:color w:val="auto"/>
              </w:rPr>
            </w:pP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51.6</w:t>
            </w:r>
          </w:p>
        </w:tc>
        <w:tc>
          <w:tcPr>
            <w:tcW w:w="0" w:type="dxa"/>
            <w:vAlign w:val="bottom"/>
          </w:tcPr>
          <w:p>
            <w:pPr>
              <w:spacing w:after="0"/>
              <w:rPr>
                <w:sz w:val="1"/>
                <w:szCs w:val="1"/>
                <w:color w:val="auto"/>
              </w:rPr>
            </w:pPr>
          </w:p>
        </w:tc>
      </w:tr>
      <w:tr>
        <w:trPr>
          <w:trHeight w:val="276"/>
        </w:trPr>
        <w:tc>
          <w:tcPr>
            <w:tcW w:w="3100" w:type="dxa"/>
            <w:vAlign w:val="bottom"/>
            <w:shd w:val="clear" w:color="auto" w:fill="CCEEFF"/>
          </w:tcPr>
          <w:p>
            <w:pPr>
              <w:ind w:left="620"/>
              <w:spacing w:after="0"/>
              <w:rPr>
                <w:sz w:val="20"/>
                <w:szCs w:val="20"/>
                <w:color w:val="auto"/>
              </w:rPr>
            </w:pPr>
            <w:r>
              <w:rPr>
                <w:rFonts w:ascii="Arial" w:cs="Arial" w:eastAsia="Arial" w:hAnsi="Arial"/>
                <w:sz w:val="14"/>
                <w:szCs w:val="14"/>
                <w:color w:val="auto"/>
              </w:rPr>
              <w:t>Cash dividends declared</w:t>
            </w:r>
          </w:p>
        </w:tc>
        <w:tc>
          <w:tcPr>
            <w:tcW w:w="72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(4.2)</w:t>
            </w:r>
          </w:p>
        </w:tc>
        <w:tc>
          <w:tcPr>
            <w:tcW w:w="2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(4.2)</w:t>
            </w: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264"/>
        </w:trPr>
        <w:tc>
          <w:tcPr>
            <w:tcW w:w="3100" w:type="dxa"/>
            <w:vAlign w:val="bottom"/>
          </w:tcPr>
          <w:p>
            <w:pPr>
              <w:ind w:left="620"/>
              <w:spacing w:after="0"/>
              <w:rPr>
                <w:sz w:val="20"/>
                <w:szCs w:val="20"/>
                <w:color w:val="auto"/>
              </w:rPr>
            </w:pPr>
            <w:r>
              <w:rPr>
                <w:rFonts w:ascii="Arial" w:cs="Arial" w:eastAsia="Arial" w:hAnsi="Arial"/>
                <w:sz w:val="14"/>
                <w:szCs w:val="14"/>
                <w:color w:val="auto"/>
              </w:rPr>
              <w:t>Distribution of noncontrolling interest</w:t>
            </w:r>
          </w:p>
        </w:tc>
        <w:tc>
          <w:tcPr>
            <w:tcW w:w="72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5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780" w:type="dxa"/>
            <w:vAlign w:val="bottom"/>
          </w:tcPr>
          <w:p>
            <w:pPr>
              <w:jc w:val="right"/>
              <w:ind w:right="91"/>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68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108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92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020" w:type="dxa"/>
            <w:vAlign w:val="bottom"/>
          </w:tcPr>
          <w:p>
            <w:pPr>
              <w:jc w:val="right"/>
              <w:ind w:right="31"/>
              <w:spacing w:after="0"/>
              <w:rPr>
                <w:sz w:val="20"/>
                <w:szCs w:val="20"/>
                <w:color w:val="auto"/>
              </w:rPr>
            </w:pPr>
            <w:r>
              <w:rPr>
                <w:rFonts w:ascii="Arial" w:cs="Arial" w:eastAsia="Arial" w:hAnsi="Arial"/>
                <w:sz w:val="14"/>
                <w:szCs w:val="14"/>
                <w:color w:val="auto"/>
              </w:rPr>
              <w:t>(0.2)</w:t>
            </w: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63"/>
        </w:trPr>
        <w:tc>
          <w:tcPr>
            <w:tcW w:w="3100" w:type="dxa"/>
            <w:vAlign w:val="bottom"/>
            <w:shd w:val="clear" w:color="auto" w:fill="CCEEFF"/>
          </w:tcPr>
          <w:p>
            <w:pPr>
              <w:ind w:left="620"/>
              <w:spacing w:after="0"/>
              <w:rPr>
                <w:sz w:val="20"/>
                <w:szCs w:val="20"/>
                <w:color w:val="auto"/>
              </w:rPr>
            </w:pPr>
            <w:r>
              <w:rPr>
                <w:rFonts w:ascii="Arial" w:cs="Arial" w:eastAsia="Arial" w:hAnsi="Arial"/>
                <w:sz w:val="14"/>
                <w:szCs w:val="14"/>
                <w:color w:val="auto"/>
              </w:rPr>
              <w:t>Amortization of share-based payment</w:t>
            </w:r>
          </w:p>
        </w:tc>
        <w:tc>
          <w:tcPr>
            <w:tcW w:w="7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100" w:type="dxa"/>
            <w:vAlign w:val="bottom"/>
            <w:shd w:val="clear" w:color="auto" w:fill="CCEEFF"/>
          </w:tcPr>
          <w:p>
            <w:pPr>
              <w:ind w:left="620"/>
              <w:spacing w:after="0"/>
              <w:rPr>
                <w:sz w:val="20"/>
                <w:szCs w:val="20"/>
                <w:color w:val="auto"/>
              </w:rPr>
            </w:pPr>
            <w:r>
              <w:rPr>
                <w:rFonts w:ascii="Arial" w:cs="Arial" w:eastAsia="Arial" w:hAnsi="Arial"/>
                <w:sz w:val="14"/>
                <w:szCs w:val="14"/>
                <w:color w:val="auto"/>
              </w:rPr>
              <w:t>awards</w:t>
            </w:r>
          </w:p>
        </w:tc>
        <w:tc>
          <w:tcPr>
            <w:tcW w:w="72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4.0</w:t>
            </w:r>
          </w:p>
        </w:tc>
        <w:tc>
          <w:tcPr>
            <w:tcW w:w="24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4.0</w:t>
            </w: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57"/>
        </w:trPr>
        <w:tc>
          <w:tcPr>
            <w:tcW w:w="3100" w:type="dxa"/>
            <w:vAlign w:val="bottom"/>
          </w:tcPr>
          <w:p>
            <w:pPr>
              <w:ind w:left="620"/>
              <w:spacing w:after="0" w:line="157" w:lineRule="exact"/>
              <w:rPr>
                <w:sz w:val="20"/>
                <w:szCs w:val="20"/>
                <w:color w:val="auto"/>
              </w:rPr>
            </w:pPr>
            <w:r>
              <w:rPr>
                <w:rFonts w:ascii="Arial" w:cs="Arial" w:eastAsia="Arial" w:hAnsi="Arial"/>
                <w:sz w:val="14"/>
                <w:szCs w:val="14"/>
                <w:color w:val="auto"/>
              </w:rPr>
              <w:t>Issuance of common stock related to</w:t>
            </w: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100" w:type="dxa"/>
            <w:vAlign w:val="bottom"/>
          </w:tcPr>
          <w:p>
            <w:pPr>
              <w:ind w:left="620"/>
              <w:spacing w:after="0"/>
              <w:rPr>
                <w:sz w:val="20"/>
                <w:szCs w:val="20"/>
                <w:color w:val="auto"/>
              </w:rPr>
            </w:pPr>
            <w:r>
              <w:rPr>
                <w:rFonts w:ascii="Arial" w:cs="Arial" w:eastAsia="Arial" w:hAnsi="Arial"/>
                <w:sz w:val="14"/>
                <w:szCs w:val="14"/>
                <w:color w:val="auto"/>
              </w:rPr>
              <w:t>share-based payment awards</w:t>
            </w:r>
          </w:p>
        </w:tc>
        <w:tc>
          <w:tcPr>
            <w:tcW w:w="720" w:type="dxa"/>
            <w:vAlign w:val="bottom"/>
          </w:tcPr>
          <w:p>
            <w:pPr>
              <w:jc w:val="right"/>
              <w:ind w:right="70"/>
              <w:spacing w:after="0"/>
              <w:rPr>
                <w:sz w:val="20"/>
                <w:szCs w:val="20"/>
                <w:color w:val="auto"/>
              </w:rPr>
            </w:pPr>
            <w:r>
              <w:rPr>
                <w:rFonts w:ascii="Arial" w:cs="Arial" w:eastAsia="Arial" w:hAnsi="Arial"/>
                <w:sz w:val="14"/>
                <w:szCs w:val="14"/>
                <w:color w:val="auto"/>
              </w:rPr>
              <w:t>0.1</w:t>
            </w:r>
          </w:p>
        </w:tc>
        <w:tc>
          <w:tcPr>
            <w:tcW w:w="220" w:type="dxa"/>
            <w:vAlign w:val="bottom"/>
          </w:tcPr>
          <w:p>
            <w:pPr>
              <w:spacing w:after="0"/>
              <w:rPr>
                <w:sz w:val="16"/>
                <w:szCs w:val="16"/>
                <w:color w:val="auto"/>
              </w:rPr>
            </w:pPr>
          </w:p>
        </w:tc>
        <w:tc>
          <w:tcPr>
            <w:tcW w:w="5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780" w:type="dxa"/>
            <w:vAlign w:val="bottom"/>
          </w:tcPr>
          <w:p>
            <w:pPr>
              <w:jc w:val="right"/>
              <w:ind w:right="91"/>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68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08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92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02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3100" w:type="dxa"/>
            <w:vAlign w:val="bottom"/>
            <w:shd w:val="clear" w:color="auto" w:fill="CCEEFF"/>
          </w:tcPr>
          <w:p>
            <w:pPr>
              <w:ind w:left="620"/>
              <w:spacing w:after="0"/>
              <w:rPr>
                <w:sz w:val="20"/>
                <w:szCs w:val="20"/>
                <w:color w:val="auto"/>
              </w:rPr>
            </w:pPr>
            <w:r>
              <w:rPr>
                <w:rFonts w:ascii="Arial" w:cs="Arial" w:eastAsia="Arial" w:hAnsi="Arial"/>
                <w:sz w:val="14"/>
                <w:szCs w:val="14"/>
                <w:color w:val="auto"/>
                <w:w w:val="96"/>
              </w:rPr>
              <w:t>Purchases of common stock tendered by</w:t>
            </w:r>
          </w:p>
        </w:tc>
        <w:tc>
          <w:tcPr>
            <w:tcW w:w="7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100" w:type="dxa"/>
            <w:vAlign w:val="bottom"/>
            <w:shd w:val="clear" w:color="auto" w:fill="CCEEFF"/>
          </w:tcPr>
          <w:p>
            <w:pPr>
              <w:ind w:left="620"/>
              <w:spacing w:after="0" w:line="149" w:lineRule="exact"/>
              <w:rPr>
                <w:sz w:val="20"/>
                <w:szCs w:val="20"/>
                <w:color w:val="auto"/>
              </w:rPr>
            </w:pPr>
            <w:r>
              <w:rPr>
                <w:rFonts w:ascii="Arial" w:cs="Arial" w:eastAsia="Arial" w:hAnsi="Arial"/>
                <w:sz w:val="14"/>
                <w:szCs w:val="14"/>
                <w:color w:val="auto"/>
              </w:rPr>
              <w:t>employees to satisfy the required</w:t>
            </w: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shd w:val="clear" w:color="auto" w:fill="CCEEFF"/>
          </w:tcPr>
          <w:p>
            <w:pPr>
              <w:ind w:left="620"/>
              <w:spacing w:after="0" w:line="149" w:lineRule="exact"/>
              <w:rPr>
                <w:sz w:val="20"/>
                <w:szCs w:val="20"/>
                <w:color w:val="auto"/>
              </w:rPr>
            </w:pPr>
            <w:r>
              <w:rPr>
                <w:rFonts w:ascii="Arial" w:cs="Arial" w:eastAsia="Arial" w:hAnsi="Arial"/>
                <w:sz w:val="14"/>
                <w:szCs w:val="14"/>
                <w:color w:val="auto"/>
                <w:w w:val="97"/>
              </w:rPr>
              <w:t>withholding taxes related to share-based</w:t>
            </w: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3100" w:type="dxa"/>
            <w:vAlign w:val="bottom"/>
            <w:shd w:val="clear" w:color="auto" w:fill="CCEEFF"/>
          </w:tcPr>
          <w:p>
            <w:pPr>
              <w:ind w:left="620"/>
              <w:spacing w:after="0"/>
              <w:rPr>
                <w:sz w:val="20"/>
                <w:szCs w:val="20"/>
                <w:color w:val="auto"/>
              </w:rPr>
            </w:pPr>
            <w:r>
              <w:rPr>
                <w:rFonts w:ascii="Arial" w:cs="Arial" w:eastAsia="Arial" w:hAnsi="Arial"/>
                <w:sz w:val="14"/>
                <w:szCs w:val="14"/>
                <w:color w:val="auto"/>
              </w:rPr>
              <w:t>payment awards</w:t>
            </w:r>
          </w:p>
        </w:tc>
        <w:tc>
          <w:tcPr>
            <w:tcW w:w="72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(0.9)</w:t>
            </w:r>
          </w:p>
        </w:tc>
        <w:tc>
          <w:tcPr>
            <w:tcW w:w="24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(0.9)</w:t>
            </w: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264"/>
        </w:trPr>
        <w:tc>
          <w:tcPr>
            <w:tcW w:w="3100" w:type="dxa"/>
            <w:vAlign w:val="bottom"/>
            <w:tcBorders>
              <w:bottom w:val="single" w:sz="8" w:color="auto"/>
            </w:tcBorders>
          </w:tcPr>
          <w:p>
            <w:pPr>
              <w:ind w:left="620"/>
              <w:spacing w:after="0"/>
              <w:rPr>
                <w:sz w:val="20"/>
                <w:szCs w:val="20"/>
                <w:color w:val="auto"/>
              </w:rPr>
            </w:pPr>
            <w:r>
              <w:rPr>
                <w:rFonts w:ascii="Arial" w:cs="Arial" w:eastAsia="Arial" w:hAnsi="Arial"/>
                <w:sz w:val="14"/>
                <w:szCs w:val="14"/>
                <w:color w:val="auto"/>
              </w:rPr>
              <w:t>Other comprehensive (loss) income</w:t>
            </w:r>
          </w:p>
        </w:tc>
        <w:tc>
          <w:tcPr>
            <w:tcW w:w="72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(0.5)</w:t>
            </w: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(0.5)</w:t>
            </w: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rPr>
              <w:t>1.6</w:t>
            </w: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64"/>
        </w:trPr>
        <w:tc>
          <w:tcPr>
            <w:tcW w:w="310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4"/>
                <w:szCs w:val="14"/>
                <w:color w:val="auto"/>
              </w:rPr>
              <w:t>Balance as of March 31, 2016</w:t>
            </w:r>
          </w:p>
        </w:tc>
        <w:tc>
          <w:tcPr>
            <w:tcW w:w="7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70.9</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0.7</w:t>
            </w:r>
          </w:p>
        </w:tc>
        <w:tc>
          <w:tcPr>
            <w:tcW w:w="3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4"/>
                <w:szCs w:val="14"/>
                <w:color w:val="auto"/>
              </w:rPr>
              <w:t>438.4</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1,616.9</w:t>
            </w:r>
          </w:p>
        </w:tc>
        <w:tc>
          <w:tcPr>
            <w:tcW w:w="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(110.0)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color w:val="auto"/>
              </w:rPr>
              <w:t>1,946.1</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color w:val="auto"/>
              </w:rPr>
              <w:t>11.2</w:t>
            </w:r>
          </w:p>
        </w:tc>
        <w:tc>
          <w:tcPr>
            <w:tcW w:w="2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1,957.2</w:t>
            </w:r>
          </w:p>
        </w:tc>
        <w:tc>
          <w:tcPr>
            <w:tcW w:w="0" w:type="dxa"/>
            <w:vAlign w:val="bottom"/>
          </w:tcPr>
          <w:p>
            <w:pPr>
              <w:spacing w:after="0"/>
              <w:rPr>
                <w:sz w:val="1"/>
                <w:szCs w:val="1"/>
                <w:color w:val="auto"/>
              </w:rPr>
            </w:pPr>
          </w:p>
        </w:tc>
      </w:tr>
      <w:tr>
        <w:trPr>
          <w:trHeight w:val="20"/>
        </w:trPr>
        <w:tc>
          <w:tcPr>
            <w:tcW w:w="3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World Fuel Services Corporation and Subsidiaries</w:t>
      </w:r>
    </w:p>
    <w:p>
      <w:pPr>
        <w:spacing w:after="0" w:line="27"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left="660"/>
        <w:spacing w:after="0"/>
        <w:rPr>
          <w:sz w:val="20"/>
          <w:szCs w:val="20"/>
          <w:color w:val="auto"/>
        </w:rPr>
      </w:pPr>
      <w:r>
        <w:rPr>
          <w:rFonts w:ascii="Arial" w:cs="Arial" w:eastAsia="Arial" w:hAnsi="Arial"/>
          <w:sz w:val="18"/>
          <w:szCs w:val="18"/>
          <w:color w:val="auto"/>
        </w:rPr>
        <w:t>(Unaudited - 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4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00" w:type="dxa"/>
            <w:vAlign w:val="bottom"/>
            <w:gridSpan w:val="2"/>
          </w:tcPr>
          <w:p>
            <w:pPr>
              <w:ind w:left="100"/>
              <w:spacing w:after="0"/>
              <w:rPr>
                <w:sz w:val="20"/>
                <w:szCs w:val="20"/>
                <w:color w:val="auto"/>
              </w:rPr>
            </w:pPr>
            <w:r>
              <w:rPr>
                <w:rFonts w:ascii="Arial" w:cs="Arial" w:eastAsia="Arial" w:hAnsi="Arial"/>
                <w:sz w:val="14"/>
                <w:szCs w:val="14"/>
                <w:b w:val="1"/>
                <w:bCs w:val="1"/>
                <w:color w:val="auto"/>
                <w:w w:val="99"/>
              </w:rPr>
              <w:t>For the Three Months Ended</w:t>
            </w:r>
          </w:p>
        </w:tc>
      </w:tr>
      <w:tr>
        <w:trPr>
          <w:trHeight w:val="276"/>
        </w:trPr>
        <w:tc>
          <w:tcPr>
            <w:tcW w:w="744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March 31,</w:t>
            </w:r>
          </w:p>
        </w:tc>
      </w:tr>
      <w:tr>
        <w:trPr>
          <w:trHeight w:val="264"/>
        </w:trPr>
        <w:tc>
          <w:tcPr>
            <w:tcW w:w="744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2017</w:t>
            </w:r>
          </w:p>
        </w:tc>
        <w:tc>
          <w:tcPr>
            <w:tcW w:w="7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2016</w:t>
            </w: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from operating activities:</w:t>
            </w:r>
          </w:p>
        </w:tc>
        <w:tc>
          <w:tcPr>
            <w:tcW w:w="7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r>
      <w:tr>
        <w:trPr>
          <w:trHeight w:val="264"/>
        </w:trPr>
        <w:tc>
          <w:tcPr>
            <w:tcW w:w="744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Net income including noncontrolling interest</w:t>
            </w:r>
          </w:p>
        </w:tc>
        <w:tc>
          <w:tcPr>
            <w:tcW w:w="78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31.1</w:t>
            </w:r>
          </w:p>
        </w:tc>
        <w:tc>
          <w:tcPr>
            <w:tcW w:w="72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51.6</w:t>
            </w:r>
          </w:p>
        </w:tc>
      </w:tr>
      <w:tr>
        <w:trPr>
          <w:trHeight w:val="270"/>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Adjustments to reconcile net income including noncontrolling interest to net cash provided by operating activities:</w:t>
            </w:r>
          </w:p>
        </w:tc>
        <w:tc>
          <w:tcPr>
            <w:tcW w:w="7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r>
      <w:tr>
        <w:trPr>
          <w:trHeight w:val="264"/>
        </w:trPr>
        <w:tc>
          <w:tcPr>
            <w:tcW w:w="7440" w:type="dxa"/>
            <w:vAlign w:val="bottom"/>
          </w:tcPr>
          <w:p>
            <w:pPr>
              <w:ind w:left="280"/>
              <w:spacing w:after="0"/>
              <w:rPr>
                <w:sz w:val="20"/>
                <w:szCs w:val="20"/>
                <w:color w:val="auto"/>
              </w:rPr>
            </w:pPr>
            <w:r>
              <w:rPr>
                <w:rFonts w:ascii="Arial" w:cs="Arial" w:eastAsia="Arial" w:hAnsi="Arial"/>
                <w:sz w:val="14"/>
                <w:szCs w:val="14"/>
                <w:color w:val="auto"/>
              </w:rPr>
              <w:t>Depreciation and amortization</w:t>
            </w:r>
          </w:p>
        </w:tc>
        <w:tc>
          <w:tcPr>
            <w:tcW w:w="780" w:type="dxa"/>
            <w:vAlign w:val="bottom"/>
          </w:tcPr>
          <w:p>
            <w:pPr>
              <w:spacing w:after="0"/>
              <w:rPr>
                <w:sz w:val="22"/>
                <w:szCs w:val="22"/>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22.6</w:t>
            </w:r>
          </w:p>
        </w:tc>
        <w:tc>
          <w:tcPr>
            <w:tcW w:w="720" w:type="dxa"/>
            <w:vAlign w:val="bottom"/>
          </w:tcPr>
          <w:p>
            <w:pPr>
              <w:spacing w:after="0"/>
              <w:rPr>
                <w:sz w:val="22"/>
                <w:szCs w:val="22"/>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18.4</w:t>
            </w:r>
          </w:p>
        </w:tc>
      </w:tr>
      <w:tr>
        <w:trPr>
          <w:trHeight w:val="276"/>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Provision for bad debt</w:t>
            </w:r>
          </w:p>
        </w:tc>
        <w:tc>
          <w:tcPr>
            <w:tcW w:w="7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2.5</w:t>
            </w:r>
          </w:p>
        </w:tc>
        <w:tc>
          <w:tcPr>
            <w:tcW w:w="7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w:t>
            </w:r>
          </w:p>
        </w:tc>
      </w:tr>
      <w:tr>
        <w:trPr>
          <w:trHeight w:val="264"/>
        </w:trPr>
        <w:tc>
          <w:tcPr>
            <w:tcW w:w="7440" w:type="dxa"/>
            <w:vAlign w:val="bottom"/>
          </w:tcPr>
          <w:p>
            <w:pPr>
              <w:ind w:left="280"/>
              <w:spacing w:after="0"/>
              <w:rPr>
                <w:sz w:val="20"/>
                <w:szCs w:val="20"/>
                <w:color w:val="auto"/>
              </w:rPr>
            </w:pPr>
            <w:r>
              <w:rPr>
                <w:rFonts w:ascii="Arial" w:cs="Arial" w:eastAsia="Arial" w:hAnsi="Arial"/>
                <w:sz w:val="14"/>
                <w:szCs w:val="14"/>
                <w:color w:val="auto"/>
              </w:rPr>
              <w:t>Share-based payment award compensation costs</w:t>
            </w:r>
          </w:p>
        </w:tc>
        <w:tc>
          <w:tcPr>
            <w:tcW w:w="780" w:type="dxa"/>
            <w:vAlign w:val="bottom"/>
          </w:tcPr>
          <w:p>
            <w:pPr>
              <w:spacing w:after="0"/>
              <w:rPr>
                <w:sz w:val="22"/>
                <w:szCs w:val="22"/>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4.1</w:t>
            </w:r>
          </w:p>
        </w:tc>
        <w:tc>
          <w:tcPr>
            <w:tcW w:w="720" w:type="dxa"/>
            <w:vAlign w:val="bottom"/>
          </w:tcPr>
          <w:p>
            <w:pPr>
              <w:spacing w:after="0"/>
              <w:rPr>
                <w:sz w:val="22"/>
                <w:szCs w:val="22"/>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4.1</w:t>
            </w:r>
          </w:p>
        </w:tc>
      </w:tr>
      <w:tr>
        <w:trPr>
          <w:trHeight w:val="276"/>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Deferred income tax (benefit) provision</w:t>
            </w:r>
          </w:p>
        </w:tc>
        <w:tc>
          <w:tcPr>
            <w:tcW w:w="7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(6.3)</w:t>
            </w:r>
          </w:p>
        </w:tc>
        <w:tc>
          <w:tcPr>
            <w:tcW w:w="7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w:t>
            </w:r>
          </w:p>
        </w:tc>
      </w:tr>
      <w:tr>
        <w:trPr>
          <w:trHeight w:val="264"/>
        </w:trPr>
        <w:tc>
          <w:tcPr>
            <w:tcW w:w="7440" w:type="dxa"/>
            <w:vAlign w:val="bottom"/>
          </w:tcPr>
          <w:p>
            <w:pPr>
              <w:ind w:left="280"/>
              <w:spacing w:after="0"/>
              <w:rPr>
                <w:sz w:val="20"/>
                <w:szCs w:val="20"/>
                <w:color w:val="auto"/>
              </w:rPr>
            </w:pPr>
            <w:r>
              <w:rPr>
                <w:rFonts w:ascii="Arial" w:cs="Arial" w:eastAsia="Arial" w:hAnsi="Arial"/>
                <w:sz w:val="14"/>
                <w:szCs w:val="14"/>
                <w:color w:val="auto"/>
              </w:rPr>
              <w:t>Extinguishment of liabilities, net</w:t>
            </w:r>
          </w:p>
        </w:tc>
        <w:tc>
          <w:tcPr>
            <w:tcW w:w="78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(1.0)</w:t>
            </w:r>
          </w:p>
        </w:tc>
        <w:tc>
          <w:tcPr>
            <w:tcW w:w="7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(1.8)</w:t>
            </w:r>
          </w:p>
        </w:tc>
      </w:tr>
      <w:tr>
        <w:trPr>
          <w:trHeight w:val="276"/>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Foreign currency (gains) losses, net</w:t>
            </w:r>
          </w:p>
        </w:tc>
        <w:tc>
          <w:tcPr>
            <w:tcW w:w="7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w:t>
            </w:r>
          </w:p>
        </w:tc>
        <w:tc>
          <w:tcPr>
            <w:tcW w:w="7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6.2</w:t>
            </w:r>
          </w:p>
        </w:tc>
      </w:tr>
      <w:tr>
        <w:trPr>
          <w:trHeight w:val="264"/>
        </w:trPr>
        <w:tc>
          <w:tcPr>
            <w:tcW w:w="7440" w:type="dxa"/>
            <w:vAlign w:val="bottom"/>
          </w:tcPr>
          <w:p>
            <w:pPr>
              <w:ind w:left="280"/>
              <w:spacing w:after="0"/>
              <w:rPr>
                <w:sz w:val="20"/>
                <w:szCs w:val="20"/>
                <w:color w:val="auto"/>
              </w:rPr>
            </w:pPr>
            <w:r>
              <w:rPr>
                <w:rFonts w:ascii="Arial" w:cs="Arial" w:eastAsia="Arial" w:hAnsi="Arial"/>
                <w:sz w:val="14"/>
                <w:szCs w:val="14"/>
                <w:color w:val="auto"/>
              </w:rPr>
              <w:t>Other</w:t>
            </w:r>
          </w:p>
        </w:tc>
        <w:tc>
          <w:tcPr>
            <w:tcW w:w="780" w:type="dxa"/>
            <w:vAlign w:val="bottom"/>
          </w:tcPr>
          <w:p>
            <w:pPr>
              <w:spacing w:after="0"/>
              <w:rPr>
                <w:sz w:val="22"/>
                <w:szCs w:val="22"/>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0.1</w:t>
            </w:r>
          </w:p>
        </w:tc>
        <w:tc>
          <w:tcPr>
            <w:tcW w:w="720" w:type="dxa"/>
            <w:vAlign w:val="bottom"/>
          </w:tcPr>
          <w:p>
            <w:pPr>
              <w:spacing w:after="0"/>
              <w:rPr>
                <w:sz w:val="22"/>
                <w:szCs w:val="22"/>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1.4</w:t>
            </w:r>
          </w:p>
        </w:tc>
      </w:tr>
      <w:tr>
        <w:trPr>
          <w:trHeight w:val="276"/>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Changes in assets and liabilities, net of acquisitions:</w:t>
            </w:r>
          </w:p>
        </w:tc>
        <w:tc>
          <w:tcPr>
            <w:tcW w:w="7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r>
      <w:tr>
        <w:trPr>
          <w:trHeight w:val="264"/>
        </w:trPr>
        <w:tc>
          <w:tcPr>
            <w:tcW w:w="7440" w:type="dxa"/>
            <w:vAlign w:val="bottom"/>
          </w:tcPr>
          <w:p>
            <w:pPr>
              <w:ind w:left="380"/>
              <w:spacing w:after="0"/>
              <w:rPr>
                <w:sz w:val="20"/>
                <w:szCs w:val="20"/>
                <w:color w:val="auto"/>
              </w:rPr>
            </w:pPr>
            <w:r>
              <w:rPr>
                <w:rFonts w:ascii="Arial" w:cs="Arial" w:eastAsia="Arial" w:hAnsi="Arial"/>
                <w:sz w:val="14"/>
                <w:szCs w:val="14"/>
                <w:color w:val="auto"/>
              </w:rPr>
              <w:t>Accounts receivable, net</w:t>
            </w:r>
          </w:p>
        </w:tc>
        <w:tc>
          <w:tcPr>
            <w:tcW w:w="780" w:type="dxa"/>
            <w:vAlign w:val="bottom"/>
          </w:tcPr>
          <w:p>
            <w:pPr>
              <w:spacing w:after="0"/>
              <w:rPr>
                <w:sz w:val="22"/>
                <w:szCs w:val="22"/>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129.5</w:t>
            </w:r>
          </w:p>
        </w:tc>
        <w:tc>
          <w:tcPr>
            <w:tcW w:w="720" w:type="dxa"/>
            <w:vAlign w:val="bottom"/>
          </w:tcPr>
          <w:p>
            <w:pPr>
              <w:spacing w:after="0"/>
              <w:rPr>
                <w:sz w:val="22"/>
                <w:szCs w:val="22"/>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142.9</w:t>
            </w:r>
          </w:p>
        </w:tc>
      </w:tr>
      <w:tr>
        <w:trPr>
          <w:trHeight w:val="276"/>
        </w:trPr>
        <w:tc>
          <w:tcPr>
            <w:tcW w:w="74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Inventories</w:t>
            </w:r>
          </w:p>
        </w:tc>
        <w:tc>
          <w:tcPr>
            <w:tcW w:w="7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0.7</w:t>
            </w:r>
          </w:p>
        </w:tc>
        <w:tc>
          <w:tcPr>
            <w:tcW w:w="7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26.1</w:t>
            </w:r>
          </w:p>
        </w:tc>
      </w:tr>
      <w:tr>
        <w:trPr>
          <w:trHeight w:val="264"/>
        </w:trPr>
        <w:tc>
          <w:tcPr>
            <w:tcW w:w="7440" w:type="dxa"/>
            <w:vAlign w:val="bottom"/>
          </w:tcPr>
          <w:p>
            <w:pPr>
              <w:ind w:left="380"/>
              <w:spacing w:after="0"/>
              <w:rPr>
                <w:sz w:val="20"/>
                <w:szCs w:val="20"/>
                <w:color w:val="auto"/>
              </w:rPr>
            </w:pPr>
            <w:r>
              <w:rPr>
                <w:rFonts w:ascii="Arial" w:cs="Arial" w:eastAsia="Arial" w:hAnsi="Arial"/>
                <w:sz w:val="14"/>
                <w:szCs w:val="14"/>
                <w:color w:val="auto"/>
              </w:rPr>
              <w:t>Prepaid expenses</w:t>
            </w:r>
          </w:p>
        </w:tc>
        <w:tc>
          <w:tcPr>
            <w:tcW w:w="78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(0.2)</w:t>
            </w:r>
          </w:p>
        </w:tc>
        <w:tc>
          <w:tcPr>
            <w:tcW w:w="720" w:type="dxa"/>
            <w:vAlign w:val="bottom"/>
          </w:tcPr>
          <w:p>
            <w:pPr>
              <w:spacing w:after="0"/>
              <w:rPr>
                <w:sz w:val="22"/>
                <w:szCs w:val="22"/>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11.7</w:t>
            </w:r>
          </w:p>
        </w:tc>
      </w:tr>
      <w:tr>
        <w:trPr>
          <w:trHeight w:val="276"/>
        </w:trPr>
        <w:tc>
          <w:tcPr>
            <w:tcW w:w="74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Short-term derivative assets, net</w:t>
            </w:r>
          </w:p>
        </w:tc>
        <w:tc>
          <w:tcPr>
            <w:tcW w:w="7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10.1</w:t>
            </w:r>
          </w:p>
        </w:tc>
        <w:tc>
          <w:tcPr>
            <w:tcW w:w="7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85.1</w:t>
            </w:r>
          </w:p>
        </w:tc>
      </w:tr>
      <w:tr>
        <w:trPr>
          <w:trHeight w:val="264"/>
        </w:trPr>
        <w:tc>
          <w:tcPr>
            <w:tcW w:w="7440" w:type="dxa"/>
            <w:vAlign w:val="bottom"/>
          </w:tcPr>
          <w:p>
            <w:pPr>
              <w:ind w:left="380"/>
              <w:spacing w:after="0"/>
              <w:rPr>
                <w:sz w:val="20"/>
                <w:szCs w:val="20"/>
                <w:color w:val="auto"/>
              </w:rPr>
            </w:pPr>
            <w:r>
              <w:rPr>
                <w:rFonts w:ascii="Arial" w:cs="Arial" w:eastAsia="Arial" w:hAnsi="Arial"/>
                <w:sz w:val="14"/>
                <w:szCs w:val="14"/>
                <w:color w:val="auto"/>
              </w:rPr>
              <w:t>Other current assets</w:t>
            </w:r>
          </w:p>
        </w:tc>
        <w:tc>
          <w:tcPr>
            <w:tcW w:w="780" w:type="dxa"/>
            <w:vAlign w:val="bottom"/>
          </w:tcPr>
          <w:p>
            <w:pPr>
              <w:spacing w:after="0"/>
              <w:rPr>
                <w:sz w:val="22"/>
                <w:szCs w:val="22"/>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21.0</w:t>
            </w:r>
          </w:p>
        </w:tc>
        <w:tc>
          <w:tcPr>
            <w:tcW w:w="7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(12.8)</w:t>
            </w:r>
          </w:p>
        </w:tc>
      </w:tr>
      <w:tr>
        <w:trPr>
          <w:trHeight w:val="276"/>
        </w:trPr>
        <w:tc>
          <w:tcPr>
            <w:tcW w:w="74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Cash collateral with financial counterparties</w:t>
            </w:r>
          </w:p>
        </w:tc>
        <w:tc>
          <w:tcPr>
            <w:tcW w:w="7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15.8</w:t>
            </w:r>
          </w:p>
        </w:tc>
        <w:tc>
          <w:tcPr>
            <w:tcW w:w="7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54.0</w:t>
            </w:r>
          </w:p>
        </w:tc>
      </w:tr>
      <w:tr>
        <w:trPr>
          <w:trHeight w:val="264"/>
        </w:trPr>
        <w:tc>
          <w:tcPr>
            <w:tcW w:w="7440" w:type="dxa"/>
            <w:vAlign w:val="bottom"/>
          </w:tcPr>
          <w:p>
            <w:pPr>
              <w:ind w:left="380"/>
              <w:spacing w:after="0"/>
              <w:rPr>
                <w:sz w:val="20"/>
                <w:szCs w:val="20"/>
                <w:color w:val="auto"/>
              </w:rPr>
            </w:pPr>
            <w:r>
              <w:rPr>
                <w:rFonts w:ascii="Arial" w:cs="Arial" w:eastAsia="Arial" w:hAnsi="Arial"/>
                <w:sz w:val="14"/>
                <w:szCs w:val="14"/>
                <w:color w:val="auto"/>
              </w:rPr>
              <w:t>Other non-current assets</w:t>
            </w:r>
          </w:p>
        </w:tc>
        <w:tc>
          <w:tcPr>
            <w:tcW w:w="780" w:type="dxa"/>
            <w:vAlign w:val="bottom"/>
          </w:tcPr>
          <w:p>
            <w:pPr>
              <w:spacing w:after="0"/>
              <w:rPr>
                <w:sz w:val="22"/>
                <w:szCs w:val="22"/>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4.1</w:t>
            </w:r>
          </w:p>
        </w:tc>
        <w:tc>
          <w:tcPr>
            <w:tcW w:w="720" w:type="dxa"/>
            <w:vAlign w:val="bottom"/>
          </w:tcPr>
          <w:p>
            <w:pPr>
              <w:spacing w:after="0"/>
              <w:rPr>
                <w:sz w:val="22"/>
                <w:szCs w:val="22"/>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7.1</w:t>
            </w:r>
          </w:p>
        </w:tc>
      </w:tr>
      <w:tr>
        <w:trPr>
          <w:trHeight w:val="276"/>
        </w:trPr>
        <w:tc>
          <w:tcPr>
            <w:tcW w:w="74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Accounts payable</w:t>
            </w:r>
          </w:p>
        </w:tc>
        <w:tc>
          <w:tcPr>
            <w:tcW w:w="7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(44.7)</w:t>
            </w:r>
          </w:p>
        </w:tc>
        <w:tc>
          <w:tcPr>
            <w:tcW w:w="72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(191.2)</w:t>
            </w:r>
          </w:p>
        </w:tc>
      </w:tr>
      <w:tr>
        <w:trPr>
          <w:trHeight w:val="264"/>
        </w:trPr>
        <w:tc>
          <w:tcPr>
            <w:tcW w:w="7440" w:type="dxa"/>
            <w:vAlign w:val="bottom"/>
          </w:tcPr>
          <w:p>
            <w:pPr>
              <w:ind w:left="380"/>
              <w:spacing w:after="0"/>
              <w:rPr>
                <w:sz w:val="20"/>
                <w:szCs w:val="20"/>
                <w:color w:val="auto"/>
              </w:rPr>
            </w:pPr>
            <w:r>
              <w:rPr>
                <w:rFonts w:ascii="Arial" w:cs="Arial" w:eastAsia="Arial" w:hAnsi="Arial"/>
                <w:sz w:val="14"/>
                <w:szCs w:val="14"/>
                <w:color w:val="auto"/>
              </w:rPr>
              <w:t>Customer deposits</w:t>
            </w:r>
          </w:p>
        </w:tc>
        <w:tc>
          <w:tcPr>
            <w:tcW w:w="780" w:type="dxa"/>
            <w:vAlign w:val="bottom"/>
          </w:tcPr>
          <w:p>
            <w:pPr>
              <w:spacing w:after="0"/>
              <w:rPr>
                <w:sz w:val="22"/>
                <w:szCs w:val="22"/>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7.3</w:t>
            </w:r>
          </w:p>
        </w:tc>
        <w:tc>
          <w:tcPr>
            <w:tcW w:w="7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(23.6)</w:t>
            </w:r>
          </w:p>
        </w:tc>
      </w:tr>
      <w:tr>
        <w:trPr>
          <w:trHeight w:val="276"/>
        </w:trPr>
        <w:tc>
          <w:tcPr>
            <w:tcW w:w="74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Accrued expenses and other current liabilities</w:t>
            </w:r>
          </w:p>
        </w:tc>
        <w:tc>
          <w:tcPr>
            <w:tcW w:w="7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(54.6)</w:t>
            </w:r>
          </w:p>
        </w:tc>
        <w:tc>
          <w:tcPr>
            <w:tcW w:w="72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(37.3)</w:t>
            </w:r>
          </w:p>
        </w:tc>
      </w:tr>
      <w:tr>
        <w:trPr>
          <w:trHeight w:val="264"/>
        </w:trPr>
        <w:tc>
          <w:tcPr>
            <w:tcW w:w="7440" w:type="dxa"/>
            <w:vAlign w:val="bottom"/>
            <w:tcBorders>
              <w:bottom w:val="single" w:sz="8" w:color="auto"/>
            </w:tcBorders>
          </w:tcPr>
          <w:p>
            <w:pPr>
              <w:ind w:left="380"/>
              <w:spacing w:after="0"/>
              <w:rPr>
                <w:sz w:val="20"/>
                <w:szCs w:val="20"/>
                <w:color w:val="auto"/>
              </w:rPr>
            </w:pPr>
            <w:r>
              <w:rPr>
                <w:rFonts w:ascii="Arial" w:cs="Arial" w:eastAsia="Arial" w:hAnsi="Arial"/>
                <w:sz w:val="14"/>
                <w:szCs w:val="14"/>
                <w:color w:val="auto"/>
              </w:rPr>
              <w:t>Non-current income tax, net and other long-term liabilities</w:t>
            </w:r>
          </w:p>
        </w:tc>
        <w:tc>
          <w:tcPr>
            <w:tcW w:w="7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w:t>
            </w:r>
          </w:p>
        </w:tc>
        <w:tc>
          <w:tcPr>
            <w:tcW w:w="7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w:t>
            </w:r>
          </w:p>
        </w:tc>
      </w:tr>
      <w:tr>
        <w:trPr>
          <w:trHeight w:val="264"/>
        </w:trPr>
        <w:tc>
          <w:tcPr>
            <w:tcW w:w="744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4"/>
                <w:szCs w:val="14"/>
                <w:color w:val="auto"/>
              </w:rPr>
              <w:t>Total adjustments</w:t>
            </w:r>
          </w:p>
        </w:tc>
        <w:tc>
          <w:tcPr>
            <w:tcW w:w="7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105.9</w:t>
            </w:r>
          </w:p>
        </w:tc>
        <w:tc>
          <w:tcPr>
            <w:tcW w:w="72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86.9</w:t>
            </w:r>
          </w:p>
        </w:tc>
      </w:tr>
      <w:tr>
        <w:trPr>
          <w:trHeight w:val="264"/>
        </w:trPr>
        <w:tc>
          <w:tcPr>
            <w:tcW w:w="744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Net cash provided by operating activities</w:t>
            </w:r>
          </w:p>
        </w:tc>
        <w:tc>
          <w:tcPr>
            <w:tcW w:w="7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137.0</w:t>
            </w:r>
          </w:p>
        </w:tc>
        <w:tc>
          <w:tcPr>
            <w:tcW w:w="7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138.6</w:t>
            </w: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from investing activities:</w:t>
            </w:r>
          </w:p>
        </w:tc>
        <w:tc>
          <w:tcPr>
            <w:tcW w:w="7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Acquisition of businesses, net of cash acquired and other investments</w:t>
            </w:r>
          </w:p>
        </w:tc>
        <w:tc>
          <w:tcPr>
            <w:tcW w:w="78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(88.1)</w:t>
            </w:r>
          </w:p>
        </w:tc>
        <w:tc>
          <w:tcPr>
            <w:tcW w:w="7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(45.3)</w:t>
            </w: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Capital expenditures</w:t>
            </w:r>
          </w:p>
        </w:tc>
        <w:tc>
          <w:tcPr>
            <w:tcW w:w="7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(10.0)</w:t>
            </w:r>
          </w:p>
        </w:tc>
        <w:tc>
          <w:tcPr>
            <w:tcW w:w="72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w:t>
            </w:r>
          </w:p>
        </w:tc>
      </w:tr>
      <w:tr>
        <w:trPr>
          <w:trHeight w:val="264"/>
        </w:trPr>
        <w:tc>
          <w:tcPr>
            <w:tcW w:w="744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Other investing activities, net</w:t>
            </w:r>
          </w:p>
        </w:tc>
        <w:tc>
          <w:tcPr>
            <w:tcW w:w="7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0.2</w:t>
            </w:r>
          </w:p>
        </w:tc>
        <w:tc>
          <w:tcPr>
            <w:tcW w:w="7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6.9</w:t>
            </w:r>
          </w:p>
        </w:tc>
      </w:tr>
      <w:tr>
        <w:trPr>
          <w:trHeight w:val="264"/>
        </w:trPr>
        <w:tc>
          <w:tcPr>
            <w:tcW w:w="744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b w:val="1"/>
                <w:bCs w:val="1"/>
                <w:color w:val="auto"/>
              </w:rPr>
              <w:t>Net cash used in investing activities</w:t>
            </w:r>
          </w:p>
        </w:tc>
        <w:tc>
          <w:tcPr>
            <w:tcW w:w="7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(97.9)</w:t>
            </w:r>
          </w:p>
        </w:tc>
        <w:tc>
          <w:tcPr>
            <w:tcW w:w="72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(52.6)</w:t>
            </w: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Cash flows from financing activities:</w:t>
            </w:r>
          </w:p>
        </w:tc>
        <w:tc>
          <w:tcPr>
            <w:tcW w:w="7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Borrowings of debt</w:t>
            </w:r>
          </w:p>
        </w:tc>
        <w:tc>
          <w:tcPr>
            <w:tcW w:w="7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818.8</w:t>
            </w:r>
          </w:p>
        </w:tc>
        <w:tc>
          <w:tcPr>
            <w:tcW w:w="7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689.6</w:t>
            </w: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Repayments of debt</w:t>
            </w:r>
          </w:p>
        </w:tc>
        <w:tc>
          <w:tcPr>
            <w:tcW w:w="78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(922.5)</w:t>
            </w:r>
          </w:p>
        </w:tc>
        <w:tc>
          <w:tcPr>
            <w:tcW w:w="7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(664.6)</w:t>
            </w: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Dividends paid on common stock</w:t>
            </w:r>
          </w:p>
        </w:tc>
        <w:tc>
          <w:tcPr>
            <w:tcW w:w="7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w:t>
            </w:r>
          </w:p>
        </w:tc>
        <w:tc>
          <w:tcPr>
            <w:tcW w:w="72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Purchases of common stock</w:t>
            </w:r>
          </w:p>
        </w:tc>
        <w:tc>
          <w:tcPr>
            <w:tcW w:w="78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(11.1)</w:t>
            </w:r>
          </w:p>
        </w:tc>
        <w:tc>
          <w:tcPr>
            <w:tcW w:w="720" w:type="dxa"/>
            <w:vAlign w:val="bottom"/>
          </w:tcPr>
          <w:p>
            <w:pPr>
              <w:spacing w:after="0"/>
              <w:rPr>
                <w:sz w:val="22"/>
                <w:szCs w:val="22"/>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163"/>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Purchases of common stock tendered by employees to satisfy the required withholding taxes related to share-based</w:t>
            </w:r>
          </w:p>
        </w:tc>
        <w:tc>
          <w:tcPr>
            <w:tcW w:w="7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r>
      <w:tr>
        <w:trPr>
          <w:trHeight w:val="194"/>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payment awards</w:t>
            </w:r>
          </w:p>
        </w:tc>
        <w:tc>
          <w:tcPr>
            <w:tcW w:w="78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w:t>
            </w:r>
          </w:p>
        </w:tc>
        <w:tc>
          <w:tcPr>
            <w:tcW w:w="72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(0.9)</w:t>
            </w:r>
          </w:p>
        </w:tc>
      </w:tr>
      <w:tr>
        <w:trPr>
          <w:trHeight w:val="264"/>
        </w:trPr>
        <w:tc>
          <w:tcPr>
            <w:tcW w:w="744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Other financing activities, net</w:t>
            </w:r>
          </w:p>
        </w:tc>
        <w:tc>
          <w:tcPr>
            <w:tcW w:w="7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(0.1)</w:t>
            </w:r>
          </w:p>
        </w:tc>
        <w:tc>
          <w:tcPr>
            <w:tcW w:w="7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w:t>
            </w:r>
          </w:p>
        </w:tc>
      </w:tr>
      <w:tr>
        <w:trPr>
          <w:trHeight w:val="264"/>
        </w:trPr>
        <w:tc>
          <w:tcPr>
            <w:tcW w:w="744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b w:val="1"/>
                <w:bCs w:val="1"/>
                <w:color w:val="auto"/>
              </w:rPr>
              <w:t>Net cash (used in) provided by financing activities</w:t>
            </w:r>
          </w:p>
        </w:tc>
        <w:tc>
          <w:tcPr>
            <w:tcW w:w="7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(120.2)</w:t>
            </w:r>
          </w:p>
        </w:tc>
        <w:tc>
          <w:tcPr>
            <w:tcW w:w="72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19.6</w:t>
            </w:r>
          </w:p>
        </w:tc>
      </w:tr>
      <w:tr>
        <w:trPr>
          <w:trHeight w:val="264"/>
        </w:trPr>
        <w:tc>
          <w:tcPr>
            <w:tcW w:w="74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Effect of exchange rate changes on cash and cash equivalents</w:t>
            </w:r>
          </w:p>
        </w:tc>
        <w:tc>
          <w:tcPr>
            <w:tcW w:w="7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1.8</w:t>
            </w:r>
          </w:p>
        </w:tc>
        <w:tc>
          <w:tcPr>
            <w:tcW w:w="7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w:t>
            </w: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(decrease) increase in cash and cash equivalents</w:t>
            </w:r>
          </w:p>
        </w:tc>
        <w:tc>
          <w:tcPr>
            <w:tcW w:w="7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(79.3)</w:t>
            </w:r>
          </w:p>
        </w:tc>
        <w:tc>
          <w:tcPr>
            <w:tcW w:w="7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107.2</w:t>
            </w:r>
          </w:p>
        </w:tc>
      </w:tr>
      <w:tr>
        <w:trPr>
          <w:trHeight w:val="264"/>
        </w:trPr>
        <w:tc>
          <w:tcPr>
            <w:tcW w:w="74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Cash and cash equivalents, as of beginning of period</w:t>
            </w:r>
          </w:p>
        </w:tc>
        <w:tc>
          <w:tcPr>
            <w:tcW w:w="7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698.6</w:t>
            </w:r>
          </w:p>
        </w:tc>
        <w:tc>
          <w:tcPr>
            <w:tcW w:w="7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582.5</w:t>
            </w:r>
          </w:p>
        </w:tc>
      </w:tr>
      <w:tr>
        <w:trPr>
          <w:trHeight w:val="264"/>
        </w:trPr>
        <w:tc>
          <w:tcPr>
            <w:tcW w:w="74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Cash and cash equivalents, as of end of period</w:t>
            </w:r>
          </w:p>
        </w:tc>
        <w:tc>
          <w:tcPr>
            <w:tcW w:w="780" w:type="dxa"/>
            <w:vAlign w:val="bottom"/>
            <w:tcBorders>
              <w:bottom w:val="single" w:sz="8" w:color="auto"/>
            </w:tcBorders>
            <w:shd w:val="clear" w:color="auto" w:fill="CCEEFF"/>
          </w:tcPr>
          <w:p>
            <w:pPr>
              <w:jc w:val="right"/>
              <w:ind w:right="60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619.3</w:t>
            </w:r>
          </w:p>
        </w:tc>
        <w:tc>
          <w:tcPr>
            <w:tcW w:w="72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689.7</w:t>
            </w:r>
          </w:p>
        </w:tc>
      </w:tr>
      <w:tr>
        <w:trPr>
          <w:trHeight w:val="20"/>
        </w:trPr>
        <w:tc>
          <w:tcPr>
            <w:tcW w:w="7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consolidated financial statements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25" w:right="239" w:bottom="1440" w:gutter="0" w:footer="0" w:header="0"/>
          <w:type w:val="continuous"/>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Schedule of Noncash Investing and Financing Activities: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Cash dividends declared, but not yet paid, were $4.1 million and $4.2 million as of March 31, 2017 and March 31, 2016, respectively.</w:t>
      </w:r>
    </w:p>
    <w:p>
      <w:pPr>
        <w:spacing w:after="0" w:line="225"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During the three months ended March 31, 2017, the Company acquired certain assets in exchange for the settlement of $8.1 million of accounts receivable balances owed by the seller to the Company.</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 connection with our acquisitions, the following table presents the assets acquired, net of cash and liabilities assumed (in millions):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tcPr>
          <w:p>
            <w:pPr>
              <w:spacing w:after="0"/>
              <w:rPr>
                <w:sz w:val="14"/>
                <w:szCs w:val="14"/>
                <w:color w:val="auto"/>
              </w:rPr>
            </w:pPr>
          </w:p>
        </w:tc>
        <w:tc>
          <w:tcPr>
            <w:tcW w:w="19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7"/>
              </w:rPr>
              <w:t>For the Three Months Ended</w:t>
            </w:r>
          </w:p>
        </w:tc>
        <w:tc>
          <w:tcPr>
            <w:tcW w:w="320" w:type="dxa"/>
            <w:vAlign w:val="bottom"/>
          </w:tcPr>
          <w:p>
            <w:pPr>
              <w:spacing w:after="0"/>
              <w:rPr>
                <w:sz w:val="14"/>
                <w:szCs w:val="14"/>
                <w:color w:val="auto"/>
              </w:rPr>
            </w:pPr>
          </w:p>
        </w:tc>
        <w:tc>
          <w:tcPr>
            <w:tcW w:w="1640" w:type="dxa"/>
            <w:vAlign w:val="bottom"/>
          </w:tcPr>
          <w:p>
            <w:pPr>
              <w:jc w:val="right"/>
              <w:ind w:right="28"/>
              <w:spacing w:after="0"/>
              <w:rPr>
                <w:sz w:val="20"/>
                <w:szCs w:val="20"/>
                <w:color w:val="auto"/>
              </w:rPr>
            </w:pPr>
            <w:r>
              <w:rPr>
                <w:rFonts w:ascii="Arial" w:cs="Arial" w:eastAsia="Arial" w:hAnsi="Arial"/>
                <w:sz w:val="14"/>
                <w:szCs w:val="14"/>
                <w:b w:val="1"/>
                <w:bCs w:val="1"/>
                <w:color w:val="auto"/>
              </w:rPr>
              <w:t>For the Three Months</w:t>
            </w:r>
          </w:p>
        </w:tc>
        <w:tc>
          <w:tcPr>
            <w:tcW w:w="0" w:type="dxa"/>
            <w:vAlign w:val="bottom"/>
          </w:tcPr>
          <w:p>
            <w:pPr>
              <w:spacing w:after="0"/>
              <w:rPr>
                <w:sz w:val="1"/>
                <w:szCs w:val="1"/>
                <w:color w:val="auto"/>
              </w:rPr>
            </w:pPr>
          </w:p>
        </w:tc>
      </w:tr>
      <w:tr>
        <w:trPr>
          <w:trHeight w:val="186"/>
        </w:trPr>
        <w:tc>
          <w:tcPr>
            <w:tcW w:w="7540" w:type="dxa"/>
            <w:vAlign w:val="bottom"/>
          </w:tcPr>
          <w:p>
            <w:pPr>
              <w:spacing w:after="0"/>
              <w:rPr>
                <w:sz w:val="16"/>
                <w:szCs w:val="16"/>
                <w:color w:val="auto"/>
              </w:rPr>
            </w:pPr>
          </w:p>
        </w:tc>
        <w:tc>
          <w:tcPr>
            <w:tcW w:w="192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640" w:type="dxa"/>
            <w:vAlign w:val="bottom"/>
          </w:tcPr>
          <w:p>
            <w:pPr>
              <w:jc w:val="right"/>
              <w:ind w:right="28"/>
              <w:spacing w:after="0"/>
              <w:rPr>
                <w:sz w:val="20"/>
                <w:szCs w:val="20"/>
                <w:color w:val="auto"/>
              </w:rPr>
            </w:pPr>
            <w:r>
              <w:rPr>
                <w:rFonts w:ascii="Arial" w:cs="Arial" w:eastAsia="Arial" w:hAnsi="Arial"/>
                <w:sz w:val="14"/>
                <w:szCs w:val="14"/>
                <w:b w:val="1"/>
                <w:bCs w:val="1"/>
                <w:color w:val="auto"/>
              </w:rPr>
              <w:t>Ended</w:t>
            </w:r>
          </w:p>
        </w:tc>
        <w:tc>
          <w:tcPr>
            <w:tcW w:w="0" w:type="dxa"/>
            <w:vAlign w:val="bottom"/>
          </w:tcPr>
          <w:p>
            <w:pPr>
              <w:spacing w:after="0"/>
              <w:rPr>
                <w:sz w:val="1"/>
                <w:szCs w:val="1"/>
                <w:color w:val="auto"/>
              </w:rPr>
            </w:pPr>
          </w:p>
        </w:tc>
      </w:tr>
      <w:tr>
        <w:trPr>
          <w:trHeight w:val="203"/>
        </w:trPr>
        <w:tc>
          <w:tcPr>
            <w:tcW w:w="7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20" w:type="dxa"/>
            <w:vAlign w:val="bottom"/>
          </w:tcPr>
          <w:p>
            <w:pPr>
              <w:jc w:val="right"/>
              <w:ind w:right="8"/>
              <w:spacing w:after="0"/>
              <w:rPr>
                <w:sz w:val="20"/>
                <w:szCs w:val="20"/>
                <w:color w:val="auto"/>
              </w:rPr>
            </w:pPr>
            <w:r>
              <w:rPr>
                <w:rFonts w:ascii="Arial" w:cs="Arial" w:eastAsia="Arial" w:hAnsi="Arial"/>
                <w:sz w:val="14"/>
                <w:szCs w:val="14"/>
                <w:b w:val="1"/>
                <w:bCs w:val="1"/>
                <w:color w:val="auto"/>
              </w:rPr>
              <w:t>March 31, 2017</w:t>
            </w:r>
          </w:p>
        </w:tc>
        <w:tc>
          <w:tcPr>
            <w:tcW w:w="320" w:type="dxa"/>
            <w:vAlign w:val="bottom"/>
          </w:tcPr>
          <w:p>
            <w:pPr>
              <w:spacing w:after="0"/>
              <w:rPr>
                <w:sz w:val="17"/>
                <w:szCs w:val="17"/>
                <w:color w:val="auto"/>
              </w:rPr>
            </w:pPr>
          </w:p>
        </w:tc>
        <w:tc>
          <w:tcPr>
            <w:tcW w:w="1640" w:type="dxa"/>
            <w:vAlign w:val="bottom"/>
          </w:tcPr>
          <w:p>
            <w:pPr>
              <w:jc w:val="right"/>
              <w:ind w:right="28"/>
              <w:spacing w:after="0"/>
              <w:rPr>
                <w:sz w:val="20"/>
                <w:szCs w:val="20"/>
                <w:color w:val="auto"/>
              </w:rPr>
            </w:pPr>
            <w:r>
              <w:rPr>
                <w:rFonts w:ascii="Arial" w:cs="Arial" w:eastAsia="Arial" w:hAnsi="Arial"/>
                <w:sz w:val="14"/>
                <w:szCs w:val="14"/>
                <w:b w:val="1"/>
                <w:bCs w:val="1"/>
                <w:color w:val="auto"/>
              </w:rPr>
              <w:t>March 31, 2016</w:t>
            </w:r>
          </w:p>
        </w:tc>
        <w:tc>
          <w:tcPr>
            <w:tcW w:w="0" w:type="dxa"/>
            <w:vAlign w:val="bottom"/>
          </w:tcPr>
          <w:p>
            <w:pPr>
              <w:spacing w:after="0"/>
              <w:rPr>
                <w:sz w:val="1"/>
                <w:szCs w:val="1"/>
                <w:color w:val="auto"/>
              </w:rPr>
            </w:pPr>
          </w:p>
        </w:tc>
      </w:tr>
      <w:tr>
        <w:trPr>
          <w:trHeight w:val="26"/>
        </w:trPr>
        <w:tc>
          <w:tcPr>
            <w:tcW w:w="75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7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Assets acquired, net of cash</w:t>
            </w:r>
          </w:p>
        </w:tc>
        <w:tc>
          <w:tcPr>
            <w:tcW w:w="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103.4</w:t>
            </w:r>
          </w:p>
        </w:tc>
        <w:tc>
          <w:tcPr>
            <w:tcW w:w="3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30.6</w:t>
            </w:r>
          </w:p>
        </w:tc>
        <w:tc>
          <w:tcPr>
            <w:tcW w:w="0" w:type="dxa"/>
            <w:vAlign w:val="bottom"/>
          </w:tcPr>
          <w:p>
            <w:pPr>
              <w:spacing w:after="0"/>
              <w:rPr>
                <w:sz w:val="1"/>
                <w:szCs w:val="1"/>
                <w:color w:val="auto"/>
              </w:rPr>
            </w:pPr>
          </w:p>
        </w:tc>
      </w:tr>
      <w:tr>
        <w:trPr>
          <w:trHeight w:val="270"/>
        </w:trPr>
        <w:tc>
          <w:tcPr>
            <w:tcW w:w="75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Liabilities assumed</w:t>
            </w:r>
          </w:p>
        </w:tc>
        <w:tc>
          <w:tcPr>
            <w:tcW w:w="5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7.7</w:t>
            </w:r>
          </w:p>
        </w:tc>
        <w:tc>
          <w:tcPr>
            <w:tcW w:w="3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6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 connection with the 2016 acquisitions, we issued promissory notes totaling $0.5 million.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World Fuel Services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 and Significant Accounting Policies</w:t>
      </w:r>
    </w:p>
    <w:p>
      <w:pPr>
        <w:spacing w:after="0" w:line="20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prepared the consolidated financial statements following the requirements of the Unites States (“U.S.”) Securities and Exchange Commission (“SEC”) for interim reporting. As permitted under those rules, certain footnotes or other financial information that are normally required by accounting principles generally accepted in the United States of America (“U.S. GAAP”) can be condensed or omitted. Unless the context requires otherwise, references to “World Fuel”, “the Company”, “we”, “us”, or “our” in this Quarterly Report on Form 10-Q (“10-Q Report”) refer to World Fuel Services Corporation and its subsidiaries.</w:t>
      </w:r>
    </w:p>
    <w:p>
      <w:pPr>
        <w:spacing w:after="0" w:line="18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Revenues, expenses, assets and liabilities can vary during each quarter of the year. Therefore, the results and trends in these interim financial statements may not be representative of those for the full year. In the opinion of management, all adjustments necessary for a fair statement of the financial information, which are of a normal and recurring nature, have been made for the interim periods reported. The information included in this 10-Q Report should be read in conjunction with the consolidated financial statements and accompanying notes included in our 2016 Annual Report on Form 10-K (“2016 10-K Report”). Certain amounts in the consolidated financial statements and associated notes may not add due to rounding. All percentages have been calculated using unrounded amounts.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Significant Accounting Policies</w:t>
      </w:r>
    </w:p>
    <w:p>
      <w:pPr>
        <w:spacing w:after="0" w:line="229" w:lineRule="exact"/>
        <w:rPr>
          <w:sz w:val="20"/>
          <w:szCs w:val="20"/>
          <w:color w:val="auto"/>
        </w:rPr>
      </w:pPr>
    </w:p>
    <w:p>
      <w:pPr>
        <w:jc w:val="both"/>
        <w:ind w:right="20" w:firstLine="324"/>
        <w:spacing w:after="0" w:line="223" w:lineRule="exact"/>
        <w:rPr>
          <w:sz w:val="20"/>
          <w:szCs w:val="20"/>
          <w:color w:val="auto"/>
        </w:rPr>
      </w:pPr>
      <w:r>
        <w:rPr>
          <w:rFonts w:ascii="Arial" w:cs="Arial" w:eastAsia="Arial" w:hAnsi="Arial"/>
          <w:sz w:val="18"/>
          <w:szCs w:val="18"/>
          <w:color w:val="auto"/>
        </w:rPr>
        <w:t>The significant accounting policies we use for quarterly financial reporting are disclosed in Note 1 of the “Notes to the Consolidated Financial Statements” included in our 2016 10</w:t>
      </w:r>
      <w:r>
        <w:rPr>
          <w:rFonts w:ascii="MS PGothic" w:cs="MS PGothic" w:eastAsia="MS PGothic" w:hAnsi="MS PGothic"/>
          <w:sz w:val="18"/>
          <w:szCs w:val="18"/>
          <w:color w:val="auto"/>
        </w:rPr>
        <w:t>‑</w:t>
      </w:r>
      <w:r>
        <w:rPr>
          <w:rFonts w:ascii="Arial" w:cs="Arial" w:eastAsia="Arial" w:hAnsi="Arial"/>
          <w:sz w:val="18"/>
          <w:szCs w:val="18"/>
          <w:color w:val="auto"/>
        </w:rPr>
        <w:t>K Report.</w:t>
      </w:r>
    </w:p>
    <w:p>
      <w:pPr>
        <w:spacing w:after="0" w:line="19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Accounting Standards Issued but Not Yet Adopted</w:t>
      </w:r>
    </w:p>
    <w:p>
      <w:pPr>
        <w:spacing w:after="0" w:line="18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 xml:space="preserve">Other Income - Gains and Losses from the Derecognition of Nonfinancial Assets (Subtopic 610-20): Clarifying the Scope of Asset Derecognition Guidance and Accounting for Partial Sales of Nonfinancial Assets. </w:t>
      </w:r>
      <w:r>
        <w:rPr>
          <w:rFonts w:ascii="Arial" w:cs="Arial" w:eastAsia="Arial" w:hAnsi="Arial"/>
          <w:sz w:val="18"/>
          <w:szCs w:val="18"/>
          <w:color w:val="auto"/>
        </w:rPr>
        <w:t>In February 2017, the Financial Accounting Standards Board (“FASB”) issued Accounting</w:t>
      </w:r>
      <w:r>
        <w:rPr>
          <w:rFonts w:ascii="Arial" w:cs="Arial" w:eastAsia="Arial" w:hAnsi="Arial"/>
          <w:sz w:val="18"/>
          <w:szCs w:val="18"/>
          <w:i w:val="1"/>
          <w:iCs w:val="1"/>
          <w:color w:val="auto"/>
        </w:rPr>
        <w:t xml:space="preserve"> </w:t>
      </w:r>
      <w:r>
        <w:rPr>
          <w:rFonts w:ascii="Arial" w:cs="Arial" w:eastAsia="Arial" w:hAnsi="Arial"/>
          <w:sz w:val="18"/>
          <w:szCs w:val="18"/>
          <w:color w:val="auto"/>
        </w:rPr>
        <w:t>Standards Update (“ASU”) 2017-05. The amendments in the update clarify a financial asset is within the scope of this guidance if it meets the definition of an in substance nonfinancial asset; this may include nonfinancial assets transferred within a legal entity to a counterparty. This standard is effective at the beginning of our 2018 fiscal year. We are currently evaluating whether the adoption of this new guidance will have a significant impact on our consolidated financial statements and related disclosures.</w:t>
      </w:r>
    </w:p>
    <w:p>
      <w:pPr>
        <w:spacing w:after="0" w:line="193"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i w:val="1"/>
          <w:iCs w:val="1"/>
          <w:color w:val="auto"/>
        </w:rPr>
        <w:t>Intangibles - Goodwill and Other (Topic 350): Simplifying the Test for Goodwill Impairment</w:t>
      </w:r>
      <w:r>
        <w:rPr>
          <w:rFonts w:ascii="Arial" w:cs="Arial" w:eastAsia="Arial" w:hAnsi="Arial"/>
          <w:sz w:val="16"/>
          <w:szCs w:val="16"/>
          <w:color w:val="auto"/>
        </w:rPr>
        <w:t>. In January 2017, ASU 2017-04 was issued. The update</w:t>
      </w:r>
      <w:r>
        <w:rPr>
          <w:rFonts w:ascii="Arial" w:cs="Arial" w:eastAsia="Arial" w:hAnsi="Arial"/>
          <w:sz w:val="16"/>
          <w:szCs w:val="16"/>
          <w:i w:val="1"/>
          <w:iCs w:val="1"/>
          <w:color w:val="auto"/>
        </w:rPr>
        <w:t xml:space="preserve"> </w:t>
      </w:r>
      <w:r>
        <w:rPr>
          <w:rFonts w:ascii="Arial" w:cs="Arial" w:eastAsia="Arial" w:hAnsi="Arial"/>
          <w:sz w:val="16"/>
          <w:szCs w:val="16"/>
          <w:color w:val="auto"/>
        </w:rPr>
        <w:t>simplifies the subsequent measurement of goodwill by eliminating Step 2 from the goodwill impairment test. Under the amendment an entity should recognize an impairment charge for the amount by which the carrying amount exceeds the reporting unit’s fair value; however, the loss recognized should not exceed the total amount of goodwill allocated to that reporting unit. This standard is effective at the beginning of our 2020 fiscal year. We are currently evaluating whether the adoption of this new guidance will have a significant impact on our consolidated financial statements and related disclosures.</w:t>
      </w:r>
    </w:p>
    <w:p>
      <w:pPr>
        <w:spacing w:after="0" w:line="15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i w:val="1"/>
          <w:iCs w:val="1"/>
          <w:color w:val="auto"/>
        </w:rPr>
        <w:t xml:space="preserve">Business Combinations (Topic 805): Clarifying the Definition of a Business. </w:t>
      </w:r>
      <w:r>
        <w:rPr>
          <w:rFonts w:ascii="Arial" w:cs="Arial" w:eastAsia="Arial" w:hAnsi="Arial"/>
          <w:sz w:val="17"/>
          <w:szCs w:val="17"/>
          <w:color w:val="auto"/>
        </w:rPr>
        <w:t>In January 2017, ASU 2017-01 was issued. The update clarifies the</w:t>
      </w:r>
      <w:r>
        <w:rPr>
          <w:rFonts w:ascii="Arial" w:cs="Arial" w:eastAsia="Arial" w:hAnsi="Arial"/>
          <w:sz w:val="17"/>
          <w:szCs w:val="17"/>
          <w:i w:val="1"/>
          <w:iCs w:val="1"/>
          <w:color w:val="auto"/>
        </w:rPr>
        <w:t xml:space="preserve"> </w:t>
      </w:r>
      <w:r>
        <w:rPr>
          <w:rFonts w:ascii="Arial" w:cs="Arial" w:eastAsia="Arial" w:hAnsi="Arial"/>
          <w:sz w:val="17"/>
          <w:szCs w:val="17"/>
          <w:color w:val="auto"/>
        </w:rPr>
        <w:t>definition of a business with the objective of adding guidance to assist entities with evaluating whether transactions should be accounted for as acquisitions (or disposals) of businesses. This standard is effective at the beginning of our 2018 fiscal year. We are currently evaluating whether the adoption of this new guidance will have a significant impact on our consolidated financial statements and related disclosures.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Cash Flows: Statement of Cash Flows (Topic 230) - Restricted Cash. </w:t>
      </w:r>
      <w:r>
        <w:rPr>
          <w:rFonts w:ascii="Arial" w:cs="Arial" w:eastAsia="Arial" w:hAnsi="Arial"/>
          <w:sz w:val="18"/>
          <w:szCs w:val="18"/>
          <w:color w:val="auto"/>
        </w:rPr>
        <w:t>In November 2016, ASU 2016-18 was issued</w:t>
      </w:r>
      <w:r>
        <w:rPr>
          <w:rFonts w:ascii="Arial" w:cs="Arial" w:eastAsia="Arial" w:hAnsi="Arial"/>
          <w:sz w:val="18"/>
          <w:szCs w:val="18"/>
          <w:i w:val="1"/>
          <w:iCs w:val="1"/>
          <w:color w:val="auto"/>
        </w:rPr>
        <w:t xml:space="preserve">. </w:t>
      </w:r>
      <w:r>
        <w:rPr>
          <w:rFonts w:ascii="Arial" w:cs="Arial" w:eastAsia="Arial" w:hAnsi="Arial"/>
          <w:sz w:val="18"/>
          <w:szCs w:val="18"/>
          <w:color w:val="auto"/>
        </w:rPr>
        <w:t>The update requires that a statement</w:t>
      </w:r>
      <w:r>
        <w:rPr>
          <w:rFonts w:ascii="Arial" w:cs="Arial" w:eastAsia="Arial" w:hAnsi="Arial"/>
          <w:sz w:val="18"/>
          <w:szCs w:val="18"/>
          <w:i w:val="1"/>
          <w:iCs w:val="1"/>
          <w:color w:val="auto"/>
        </w:rPr>
        <w:t xml:space="preserve"> </w:t>
      </w:r>
      <w:r>
        <w:rPr>
          <w:rFonts w:ascii="Arial" w:cs="Arial" w:eastAsia="Arial" w:hAnsi="Arial"/>
          <w:sz w:val="18"/>
          <w:szCs w:val="18"/>
          <w:color w:val="auto"/>
        </w:rPr>
        <w:t>of cash flows explain the change during the period in the total of cash, cash equivalents, and amounts generally described as restricted cash or restricted cash equivalents. This standard is effective at the beginning of our 2018 fiscal year. We are currently evaluating whether the adoption of this new guidance will have a significant impact on our consolidated financial statements and related disclosures.</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Income Taxes (Topic 740): Intra-Entity Transfers of Assets Other than Inventory</w:t>
      </w:r>
      <w:r>
        <w:rPr>
          <w:rFonts w:ascii="Arial" w:cs="Arial" w:eastAsia="Arial" w:hAnsi="Arial"/>
          <w:sz w:val="18"/>
          <w:szCs w:val="18"/>
          <w:color w:val="auto"/>
        </w:rPr>
        <w:t>. In October 2016, ASU 2016-16 was issued. The update prohibits the</w:t>
      </w:r>
      <w:r>
        <w:rPr>
          <w:rFonts w:ascii="Arial" w:cs="Arial" w:eastAsia="Arial" w:hAnsi="Arial"/>
          <w:sz w:val="18"/>
          <w:szCs w:val="18"/>
          <w:i w:val="1"/>
          <w:iCs w:val="1"/>
          <w:color w:val="auto"/>
        </w:rPr>
        <w:t xml:space="preserve"> </w:t>
      </w:r>
      <w:r>
        <w:rPr>
          <w:rFonts w:ascii="Arial" w:cs="Arial" w:eastAsia="Arial" w:hAnsi="Arial"/>
          <w:sz w:val="18"/>
          <w:szCs w:val="18"/>
          <w:color w:val="auto"/>
        </w:rPr>
        <w:t>recognition of current and deferred income taxes for an intra-entity asset transfer until the asset has been sold to an outside party. This standard is effective at the beginning of our 2018 fiscal year. We are currently evaluating whether the adoption of this new guidance will have a significant impact on our consolidated financial statements and related disclosures.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Cash Flows</w:t>
      </w:r>
      <w:r>
        <w:rPr>
          <w:rFonts w:ascii="Arial" w:cs="Arial" w:eastAsia="Arial" w:hAnsi="Arial"/>
          <w:sz w:val="18"/>
          <w:szCs w:val="18"/>
          <w:color w:val="auto"/>
        </w:rPr>
        <w:t>:</w:t>
      </w:r>
      <w:r>
        <w:rPr>
          <w:rFonts w:ascii="Arial" w:cs="Arial" w:eastAsia="Arial" w:hAnsi="Arial"/>
          <w:sz w:val="18"/>
          <w:szCs w:val="18"/>
          <w:i w:val="1"/>
          <w:iCs w:val="1"/>
          <w:color w:val="auto"/>
        </w:rPr>
        <w:t xml:space="preserve"> Statement of Cash Flows (Topic 230) - Classification of Certain Cash Receipts and Cash Payments</w:t>
      </w:r>
      <w:r>
        <w:rPr>
          <w:rFonts w:ascii="Arial" w:cs="Arial" w:eastAsia="Arial" w:hAnsi="Arial"/>
          <w:sz w:val="18"/>
          <w:szCs w:val="18"/>
          <w:color w:val="auto"/>
        </w:rPr>
        <w:t>. In August 2016 ASU 2016-15 was</w:t>
      </w:r>
      <w:r>
        <w:rPr>
          <w:rFonts w:ascii="Arial" w:cs="Arial" w:eastAsia="Arial" w:hAnsi="Arial"/>
          <w:sz w:val="18"/>
          <w:szCs w:val="18"/>
          <w:i w:val="1"/>
          <w:iCs w:val="1"/>
          <w:color w:val="auto"/>
        </w:rPr>
        <w:t xml:space="preserve"> </w:t>
      </w:r>
      <w:r>
        <w:rPr>
          <w:rFonts w:ascii="Arial" w:cs="Arial" w:eastAsia="Arial" w:hAnsi="Arial"/>
          <w:sz w:val="18"/>
          <w:szCs w:val="18"/>
          <w:color w:val="auto"/>
        </w:rPr>
        <w:t>issued. The ASU provides guidance on classification of eight specific cash flows items. This standard is effective at the beginning of our 2018 fiscal year. We are currently evaluating whether the adoption of this new guidance will have a significant impact on our consolidated financial statements and related disclosures.</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Leases (Topic 842). </w:t>
      </w:r>
      <w:r>
        <w:rPr>
          <w:rFonts w:ascii="Arial" w:cs="Arial" w:eastAsia="Arial" w:hAnsi="Arial"/>
          <w:sz w:val="18"/>
          <w:szCs w:val="18"/>
          <w:color w:val="auto"/>
        </w:rPr>
        <w:t>In February 2016, ASU 2016-02 was issued. This standard will require all lessees to recognize a right of use asset and a lease liability</w:t>
      </w:r>
      <w:r>
        <w:rPr>
          <w:rFonts w:ascii="Arial" w:cs="Arial" w:eastAsia="Arial" w:hAnsi="Arial"/>
          <w:sz w:val="18"/>
          <w:szCs w:val="18"/>
          <w:i w:val="1"/>
          <w:iCs w:val="1"/>
          <w:color w:val="auto"/>
        </w:rPr>
        <w:t xml:space="preserve"> </w:t>
      </w:r>
      <w:r>
        <w:rPr>
          <w:rFonts w:ascii="Arial" w:cs="Arial" w:eastAsia="Arial" w:hAnsi="Arial"/>
          <w:sz w:val="18"/>
          <w:szCs w:val="18"/>
          <w:color w:val="auto"/>
        </w:rPr>
        <w:t>on the balance sheet, except for leases with durations that are less than twelve months. This standard is effective at the beginning of our 2019 fiscal year. We are currently evaluating whether the adoption of this new guidance will have a significant impact on our consolidated financial statements and related disclosures.</w:t>
      </w:r>
    </w:p>
    <w:p>
      <w:pPr>
        <w:spacing w:after="0" w:line="18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i w:val="1"/>
          <w:iCs w:val="1"/>
          <w:color w:val="auto"/>
        </w:rPr>
        <w:t xml:space="preserve">Financial Instruments: Overall (Subtopic 825-10) - Recognition and Measurement of Financial Assets and Financial Liabilities. </w:t>
      </w:r>
      <w:r>
        <w:rPr>
          <w:rFonts w:ascii="Arial" w:cs="Arial" w:eastAsia="Arial" w:hAnsi="Arial"/>
          <w:sz w:val="16"/>
          <w:szCs w:val="16"/>
          <w:color w:val="auto"/>
        </w:rPr>
        <w:t>In January 2016, ASU</w:t>
      </w:r>
      <w:r>
        <w:rPr>
          <w:rFonts w:ascii="Arial" w:cs="Arial" w:eastAsia="Arial" w:hAnsi="Arial"/>
          <w:sz w:val="16"/>
          <w:szCs w:val="16"/>
          <w:i w:val="1"/>
          <w:iCs w:val="1"/>
          <w:color w:val="auto"/>
        </w:rPr>
        <w:t xml:space="preserve"> </w:t>
      </w:r>
      <w:r>
        <w:rPr>
          <w:rFonts w:ascii="Arial" w:cs="Arial" w:eastAsia="Arial" w:hAnsi="Arial"/>
          <w:sz w:val="16"/>
          <w:szCs w:val="16"/>
          <w:color w:val="auto"/>
        </w:rPr>
        <w:t>2016-01 was issued to address certain aspects of recognition, measurement, presentation, and disclosure of financial instruments. The ASU supersedes the guidance to classify equity securities with readily determinable fair values into different categories, and requires equity securities (except those that are accounted for under the equity method or those that result in consolidation of the investee) to be measured at fair value with changes in the fair value recognized through net income. It also simplifies the impairment assessment of equity investments without readily determinable fair values by requiring assessment for impairment qualitatively at each reporting period. This update is effective at the beginning of our 2018 fiscal year. We are currently evaluating whether the adoption of this new guidance will have a significant impact on our consolidated financial statements and disclosures.</w:t>
      </w:r>
    </w:p>
    <w:p>
      <w:pPr>
        <w:spacing w:after="0" w:line="167"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i w:val="1"/>
          <w:iCs w:val="1"/>
          <w:color w:val="auto"/>
        </w:rPr>
        <w:t xml:space="preserve">Revenue Recognition (Topic 606): Revenue from Contracts with Customers. </w:t>
      </w:r>
      <w:r>
        <w:rPr>
          <w:rFonts w:ascii="Arial" w:cs="Arial" w:eastAsia="Arial" w:hAnsi="Arial"/>
          <w:sz w:val="16"/>
          <w:szCs w:val="16"/>
          <w:color w:val="auto"/>
        </w:rPr>
        <w:t>In May 2014, ASU 2014-09 was issued. Under this ASU and subsequently</w:t>
      </w:r>
      <w:r>
        <w:rPr>
          <w:rFonts w:ascii="Arial" w:cs="Arial" w:eastAsia="Arial" w:hAnsi="Arial"/>
          <w:sz w:val="16"/>
          <w:szCs w:val="16"/>
          <w:i w:val="1"/>
          <w:iCs w:val="1"/>
          <w:color w:val="auto"/>
        </w:rPr>
        <w:t xml:space="preserve"> </w:t>
      </w:r>
      <w:r>
        <w:rPr>
          <w:rFonts w:ascii="Arial" w:cs="Arial" w:eastAsia="Arial" w:hAnsi="Arial"/>
          <w:sz w:val="16"/>
          <w:szCs w:val="16"/>
          <w:color w:val="auto"/>
        </w:rPr>
        <w:t>issued amendments, an entity is required to recognize the amount of revenue it expects to be entitled to for the transfer of promised goods or services to customers. The updated standard will replace most existing revenue recognition guidance in U.S. GAAP. This ASU provides alternative methods of transition, a full retrospective and a modified restrospective approach. The modified retrospective approach would result in recognition of the cumulative impact of a retrospective application as of the beginning of the period of initial application, which in our case is the interim period beginning January 1, 2018.</w:t>
      </w:r>
    </w:p>
    <w:p>
      <w:pPr>
        <w:spacing w:after="0" w:line="15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preparation for adoption of the standard, we developed a cross-functional team and engaged a third-party service provider to assist us throughout our evaluation. In addition, we have factored the adoption into our ongoing ERP platform upgrade, which we previously committed to perform, as our system readiness is a key element towards the determination of the adoption approach we adopt. We continue to perform our assessment, and while those activities are not complete, we expect to identify similar performance obligations under ASC 606 as compared to those previously identified.</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Adoption of New Accounting Standards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Derivatives and Hedging (Topic 815): Contingent Put and Call Options in Debt Instruments</w:t>
      </w:r>
      <w:r>
        <w:rPr>
          <w:rFonts w:ascii="Arial" w:cs="Arial" w:eastAsia="Arial" w:hAnsi="Arial"/>
          <w:sz w:val="18"/>
          <w:szCs w:val="18"/>
          <w:color w:val="auto"/>
        </w:rPr>
        <w:t>. In March 2016, ASU 2016-06 was issued. ASU 2016-06</w:t>
      </w:r>
      <w:r>
        <w:rPr>
          <w:rFonts w:ascii="Arial" w:cs="Arial" w:eastAsia="Arial" w:hAnsi="Arial"/>
          <w:sz w:val="18"/>
          <w:szCs w:val="18"/>
          <w:i w:val="1"/>
          <w:iCs w:val="1"/>
          <w:color w:val="auto"/>
        </w:rPr>
        <w:t xml:space="preserve"> </w:t>
      </w:r>
      <w:r>
        <w:rPr>
          <w:rFonts w:ascii="Arial" w:cs="Arial" w:eastAsia="Arial" w:hAnsi="Arial"/>
          <w:sz w:val="18"/>
          <w:szCs w:val="18"/>
          <w:color w:val="auto"/>
        </w:rPr>
        <w:t>clarifies the steps required to determine bifurcation of an embedded derivative. This update became effective at the beginning of our 2017 fiscal year. The adoption of this ASU did not have a significant impact on our consolidated financial statements and disclosures.</w:t>
      </w:r>
    </w:p>
    <w:p>
      <w:pPr>
        <w:spacing w:after="0" w:line="181"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i w:val="1"/>
          <w:iCs w:val="1"/>
          <w:color w:val="auto"/>
        </w:rPr>
        <w:t>Derivatives and Hedging (Topic 815): Effect of Derivative Contract Novations on Existing Hedge Accounting Relationships</w:t>
      </w:r>
      <w:r>
        <w:rPr>
          <w:rFonts w:ascii="Arial" w:cs="Arial" w:eastAsia="Arial" w:hAnsi="Arial"/>
          <w:sz w:val="16"/>
          <w:szCs w:val="16"/>
          <w:color w:val="auto"/>
        </w:rPr>
        <w:t>. In March 2016, ASU 2016-05 was issued which clarifies the change in the counterparty to a derivative instrument that has been designated as a hedging instrument does not, in and of itself, require de-designation of that hedging relationship provided that all other hedge accounting criteria continue to be met. This update became effective at the beginning of our 2017 fiscal year. The adoption of this ASU did not have a significant impact on our consolidated financial statements and disclosures.</w:t>
      </w:r>
    </w:p>
    <w:p>
      <w:pPr>
        <w:spacing w:after="0" w:line="15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 xml:space="preserve">Inventory (Topic 330): Simplifying the Measurement of Inventory. </w:t>
      </w:r>
      <w:r>
        <w:rPr>
          <w:rFonts w:ascii="Arial" w:cs="Arial" w:eastAsia="Arial" w:hAnsi="Arial"/>
          <w:sz w:val="18"/>
          <w:szCs w:val="18"/>
          <w:color w:val="auto"/>
        </w:rPr>
        <w:t>In July 2015, the FASB issued ASU 2015-11, which simplifies the subsequent</w:t>
      </w:r>
      <w:r>
        <w:rPr>
          <w:rFonts w:ascii="Arial" w:cs="Arial" w:eastAsia="Arial" w:hAnsi="Arial"/>
          <w:sz w:val="18"/>
          <w:szCs w:val="18"/>
          <w:i w:val="1"/>
          <w:iCs w:val="1"/>
          <w:color w:val="auto"/>
        </w:rPr>
        <w:t xml:space="preserve"> </w:t>
      </w:r>
      <w:r>
        <w:rPr>
          <w:rFonts w:ascii="Arial" w:cs="Arial" w:eastAsia="Arial" w:hAnsi="Arial"/>
          <w:sz w:val="18"/>
          <w:szCs w:val="18"/>
          <w:color w:val="auto"/>
        </w:rPr>
        <w:t>measurement of inventory. The updated guidance requires that inventory measured using any method other than last-in, first-out (LIFO) or the retail inventory method (for example, inventory measured using first-in, first-out (FIFO) or average cost) be measured at the lower of cost and net realizable value. This update became effective at the beginning of our 2017 fiscal year. The adoption of this ASU did not have a significant impact on our consolidated financial statements and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Acquisitions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2017 Acquisitions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the first quarter of 2016, we signed a definitive agreement to acquire from certain ExxonMobil affiliates their aviation fueling operations at more than 80 airport locations in Canada, the United Kingdom ("U.K."), Germany, Italy, France, Australia and New Zealand. During 2016, we completed the acquisitions of the aviation fueling operations in Canada, the U.K. and France. During the first quarter of 2017, we completed the acquisition of substantially all of the remaining airport locations in Italy, Germany, Australia and New Zealand.</w:t>
      </w:r>
    </w:p>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addition to the above acquisitions, we completed two acquisitions during the first quarter of 2017 which were not significant individually or in the aggregate.</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following table summarizes the aggregate consideration paid for acquisitions in the first quarter of 2017 and the provisional amounts of the assets acquired and liabilities assumed, recognized at the acquisition date. The Company is in the process of finalizing the valuations of certain acquired assets and assumed liabilities; thus, the provisional measurements of these acquired assets and assumed liabilities are subject to change and will be finalized no later than one year from the acquisition date.</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Cash paid for acquisition of businesses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93" w:lineRule="exact"/>
        <w:rPr>
          <w:sz w:val="20"/>
          <w:szCs w:val="20"/>
          <w:color w:val="auto"/>
        </w:rPr>
      </w:pPr>
    </w:p>
    <w:p>
      <w:pPr>
        <w:ind w:left="40"/>
        <w:spacing w:after="0"/>
        <w:rPr>
          <w:sz w:val="20"/>
          <w:szCs w:val="20"/>
          <w:color w:val="auto"/>
        </w:rPr>
      </w:pPr>
      <w:r>
        <w:rPr>
          <w:rFonts w:ascii="Arial" w:cs="Arial" w:eastAsia="Arial" w:hAnsi="Arial"/>
          <w:sz w:val="14"/>
          <w:szCs w:val="14"/>
          <w:color w:val="auto"/>
        </w:rPr>
        <w:t>Amounts due to sellers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Non-monetary consideration</w:t>
      </w:r>
    </w:p>
    <w:p>
      <w:pPr>
        <w:spacing w:after="0" w:line="105"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Estimated purchase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2228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Assets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93" w:lineRule="exact"/>
        <w:rPr>
          <w:sz w:val="20"/>
          <w:szCs w:val="20"/>
          <w:color w:val="auto"/>
        </w:rPr>
      </w:pPr>
    </w:p>
    <w:p>
      <w:pPr>
        <w:ind w:left="40"/>
        <w:spacing w:after="0"/>
        <w:rPr>
          <w:sz w:val="20"/>
          <w:szCs w:val="20"/>
          <w:color w:val="auto"/>
        </w:rPr>
      </w:pPr>
      <w:r>
        <w:rPr>
          <w:rFonts w:ascii="Arial" w:cs="Arial" w:eastAsia="Arial" w:hAnsi="Arial"/>
          <w:sz w:val="14"/>
          <w:szCs w:val="14"/>
          <w:color w:val="auto"/>
        </w:rPr>
        <w:t>Property and equipment</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Goodwill and identifiable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Other current and long-term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226695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Liabilities assumed:</w:t>
      </w:r>
    </w:p>
    <w:p>
      <w:pPr>
        <w:spacing w:after="0" w:line="113" w:lineRule="exact"/>
        <w:rPr>
          <w:sz w:val="20"/>
          <w:szCs w:val="20"/>
          <w:color w:val="auto"/>
        </w:rPr>
      </w:pPr>
    </w:p>
    <w:p>
      <w:pPr>
        <w:ind w:left="40"/>
        <w:spacing w:after="0"/>
        <w:rPr>
          <w:sz w:val="20"/>
          <w:szCs w:val="20"/>
          <w:color w:val="auto"/>
        </w:rPr>
      </w:pPr>
      <w:r>
        <w:rPr>
          <w:rFonts w:ascii="Arial" w:cs="Arial" w:eastAsia="Arial" w:hAnsi="Arial"/>
          <w:sz w:val="13"/>
          <w:szCs w:val="13"/>
          <w:color w:val="auto"/>
        </w:rPr>
        <w:t>Long-term liabilities and deferred tax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97"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Estimated purchase price</w:t>
      </w:r>
    </w:p>
    <w:p>
      <w:pPr>
        <w:spacing w:after="0" w:line="20" w:lineRule="exact"/>
        <w:rPr>
          <w:sz w:val="20"/>
          <w:szCs w:val="20"/>
          <w:color w:val="auto"/>
        </w:rPr>
      </w:pPr>
      <w:r>
        <w:rPr>
          <w:sz w:val="20"/>
          <w:szCs w:val="20"/>
          <w:color w:val="auto"/>
        </w:rPr>
        <w:br w:type="column"/>
      </w:r>
    </w:p>
    <w:p>
      <w:pPr>
        <w:spacing w:after="0" w:line="3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10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Total</w:t>
            </w:r>
          </w:p>
        </w:tc>
      </w:tr>
      <w:tr>
        <w:trPr>
          <w:trHeight w:val="244"/>
        </w:trPr>
        <w:tc>
          <w:tcPr>
            <w:tcW w:w="1020" w:type="dxa"/>
            <w:vAlign w:val="bottom"/>
          </w:tcPr>
          <w:p>
            <w:pPr>
              <w:jc w:val="right"/>
              <w:ind w:right="848"/>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87.1</w:t>
            </w:r>
          </w:p>
        </w:tc>
      </w:tr>
      <w:tr>
        <w:trPr>
          <w:trHeight w:val="270"/>
        </w:trPr>
        <w:tc>
          <w:tcPr>
            <w:tcW w:w="1020" w:type="dxa"/>
            <w:vAlign w:val="bottom"/>
          </w:tcPr>
          <w:p>
            <w:pPr>
              <w:spacing w:after="0"/>
              <w:rPr>
                <w:sz w:val="23"/>
                <w:szCs w:val="23"/>
                <w:color w:val="auto"/>
              </w:rPr>
            </w:pP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0.5</w:t>
            </w:r>
          </w:p>
        </w:tc>
      </w:tr>
      <w:tr>
        <w:trPr>
          <w:trHeight w:val="276"/>
        </w:trPr>
        <w:tc>
          <w:tcPr>
            <w:tcW w:w="10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8.1</w:t>
            </w:r>
          </w:p>
        </w:tc>
      </w:tr>
      <w:tr>
        <w:trPr>
          <w:trHeight w:val="237"/>
        </w:trPr>
        <w:tc>
          <w:tcPr>
            <w:tcW w:w="1020" w:type="dxa"/>
            <w:vAlign w:val="bottom"/>
            <w:tcBorders>
              <w:bottom w:val="single" w:sz="8" w:color="auto"/>
            </w:tcBorders>
          </w:tcPr>
          <w:p>
            <w:pPr>
              <w:jc w:val="right"/>
              <w:ind w:right="84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95.7</w:t>
            </w:r>
          </w:p>
        </w:tc>
      </w:tr>
      <w:tr>
        <w:trPr>
          <w:trHeight w:val="20"/>
        </w:trPr>
        <w:tc>
          <w:tcPr>
            <w:tcW w:w="10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839"/>
        </w:trPr>
        <w:tc>
          <w:tcPr>
            <w:tcW w:w="1020" w:type="dxa"/>
            <w:vAlign w:val="bottom"/>
          </w:tcPr>
          <w:p>
            <w:pPr>
              <w:spacing w:after="0"/>
              <w:rPr>
                <w:sz w:val="24"/>
                <w:szCs w:val="24"/>
                <w:color w:val="auto"/>
              </w:rPr>
            </w:pP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10.7</w:t>
            </w:r>
          </w:p>
        </w:tc>
      </w:tr>
      <w:tr>
        <w:trPr>
          <w:trHeight w:val="270"/>
        </w:trPr>
        <w:tc>
          <w:tcPr>
            <w:tcW w:w="1020" w:type="dxa"/>
            <w:vAlign w:val="bottom"/>
          </w:tcPr>
          <w:p>
            <w:pPr>
              <w:spacing w:after="0"/>
              <w:rPr>
                <w:sz w:val="23"/>
                <w:szCs w:val="23"/>
                <w:color w:val="auto"/>
              </w:rPr>
            </w:pP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85.0</w:t>
            </w:r>
          </w:p>
        </w:tc>
      </w:tr>
      <w:tr>
        <w:trPr>
          <w:trHeight w:val="270"/>
        </w:trPr>
        <w:tc>
          <w:tcPr>
            <w:tcW w:w="1020" w:type="dxa"/>
            <w:vAlign w:val="bottom"/>
          </w:tcPr>
          <w:p>
            <w:pPr>
              <w:spacing w:after="0"/>
              <w:rPr>
                <w:sz w:val="23"/>
                <w:szCs w:val="23"/>
                <w:color w:val="auto"/>
              </w:rPr>
            </w:pP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7.6</w:t>
            </w:r>
          </w:p>
        </w:tc>
      </w:tr>
    </w:tbl>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2040"/>
        <w:spacing w:after="0"/>
        <w:rPr>
          <w:sz w:val="20"/>
          <w:szCs w:val="20"/>
          <w:color w:val="auto"/>
        </w:rPr>
      </w:pPr>
      <w:r>
        <w:rPr>
          <w:rFonts w:ascii="Arial" w:cs="Arial" w:eastAsia="Arial" w:hAnsi="Arial"/>
          <w:sz w:val="14"/>
          <w:szCs w:val="14"/>
          <w:color w:val="auto"/>
        </w:rPr>
        <w:t>(7.7)</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60" w:type="dxa"/>
            <w:vAlign w:val="bottom"/>
            <w:tcBorders>
              <w:bottom w:val="single" w:sz="8" w:color="auto"/>
            </w:tcBorders>
          </w:tcPr>
          <w:p>
            <w:pPr>
              <w:jc w:val="right"/>
              <w:ind w:right="888"/>
              <w:spacing w:after="0"/>
              <w:rPr>
                <w:sz w:val="20"/>
                <w:szCs w:val="20"/>
                <w:color w:val="auto"/>
              </w:rPr>
            </w:pPr>
            <w:r>
              <w:rPr>
                <w:rFonts w:ascii="Arial" w:cs="Arial" w:eastAsia="Arial" w:hAnsi="Arial"/>
                <w:sz w:val="14"/>
                <w:szCs w:val="14"/>
                <w:b w:val="1"/>
                <w:bCs w:val="1"/>
                <w:color w:val="auto"/>
              </w:rPr>
              <w:t>$</w:t>
            </w:r>
          </w:p>
        </w:tc>
        <w:tc>
          <w:tcPr>
            <w:tcW w:w="13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95.7</w:t>
            </w:r>
          </w:p>
        </w:tc>
      </w:tr>
      <w:tr>
        <w:trPr>
          <w:trHeight w:val="20"/>
        </w:trPr>
        <w:tc>
          <w:tcPr>
            <w:tcW w:w="10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320" w:space="720"/>
            <w:col w:w="2380"/>
          </w:cols>
          <w:pgMar w:left="240" w:top="125" w:right="239" w:bottom="1440" w:gutter="0" w:footer="0" w:header="0"/>
          <w:type w:val="continuous"/>
        </w:sectPr>
      </w:pPr>
    </w:p>
    <w:p>
      <w:pPr>
        <w:spacing w:after="0" w:line="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goodwill assigned, of which $25.9 million is anticipated to be deductible for tax purposes, is attributable primarily to the expected synergies and other benefits that we believe will result from combining the operations acquired with the operations of our aviation segment. The identifiable intangible assets consists of $43.0 million of customer relationships with weighted average lives of 6.4 years.</w:t>
      </w:r>
    </w:p>
    <w:p>
      <w:pPr>
        <w:spacing w:after="0" w:line="181"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The financial position, results of operations and cash flows of the 2017 acquisitions have been included in our consolidated financial statements since their respective acquisition dates and did not have a significant impact on our revenue and net income for the three months ended March 31, 2017. Pro forma information for the 2017 acquisitions has not been provided as the impact is not significant.</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2016 Acquisitions</w:t>
      </w:r>
    </w:p>
    <w:p>
      <w:pPr>
        <w:spacing w:after="0" w:line="22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During the first quarter of 2016, we completed three acquisitions in our land segment which were not significant individually or in the aggregate. The financial position, results of operations and cash flows of the 2016 acquisitions have been included in our consolidated financial statements, since their respective acquisition dates, and did not have a significant impact on our revenue and net income for the three months ended March 31, 2016.</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type w:val="continuous"/>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Derivatives</w:t>
      </w:r>
    </w:p>
    <w:p>
      <w:pPr>
        <w:spacing w:after="0" w:line="229"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enter into financial derivative contracts in order to mitigate the risk of market price fluctuations in aviation, land and marine fuel, to offer our customers fuel pricing alternatives to meet their needs and to mitigate the risk of fluctuations in foreign currency exchange rates. We also enter into proprietary derivative transactions, primarily intended to capitalize on arbitrage opportunities in basis or time spreads related to fuel products we sell. We have applied the normal purchase and normal sales exception (“NPNS”), as provided by accounting guidance for derivative instruments and hedging activities, to certain of our physical forward sales and purchase contracts. While these contracts are considered derivative instruments under the guidance for derivative instruments and hedging activities, they are not recorded at fair value, but rather are recorded in our consolidated financial statements when physical settlement of the contracts occurs. If it is determined that a transaction designated as NPNS no longer meets the scope of the exception, the fair value of the related contract is recorded as an asset or liability on the consolidated balance sheets and the difference between the fair value and the contract amount is immediately recognized through earnings.</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describes our derivative classifications: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Cash Flow Hedges. </w:t>
      </w:r>
      <w:r>
        <w:rPr>
          <w:rFonts w:ascii="Arial" w:cs="Arial" w:eastAsia="Arial" w:hAnsi="Arial"/>
          <w:sz w:val="18"/>
          <w:szCs w:val="18"/>
          <w:color w:val="auto"/>
        </w:rPr>
        <w:t>Includes certain derivative contracts we execute to mitigate the risk of price volatility in forecasted transactions.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Fair Value Hedges. </w:t>
      </w:r>
      <w:r>
        <w:rPr>
          <w:rFonts w:ascii="Arial" w:cs="Arial" w:eastAsia="Arial" w:hAnsi="Arial"/>
          <w:sz w:val="18"/>
          <w:szCs w:val="18"/>
          <w:color w:val="auto"/>
        </w:rPr>
        <w:t>Includes derivative contracts we hold to hedge the risk of changes in the price of our inventory.</w:t>
      </w:r>
    </w:p>
    <w:p>
      <w:pPr>
        <w:spacing w:after="0" w:line="22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i w:val="1"/>
          <w:iCs w:val="1"/>
          <w:color w:val="auto"/>
        </w:rPr>
        <w:t xml:space="preserve">Non-designated Derivatives. </w:t>
      </w:r>
      <w:r>
        <w:rPr>
          <w:rFonts w:ascii="Arial" w:cs="Arial" w:eastAsia="Arial" w:hAnsi="Arial"/>
          <w:sz w:val="18"/>
          <w:szCs w:val="18"/>
          <w:color w:val="auto"/>
        </w:rPr>
        <w:t>Includes derivatives we primarily transact to mitigate the risk of market price fluctuations in the form of swaps or futures as</w:t>
      </w:r>
      <w:r>
        <w:rPr>
          <w:rFonts w:ascii="Arial" w:cs="Arial" w:eastAsia="Arial" w:hAnsi="Arial"/>
          <w:sz w:val="18"/>
          <w:szCs w:val="18"/>
          <w:i w:val="1"/>
          <w:iCs w:val="1"/>
          <w:color w:val="auto"/>
        </w:rPr>
        <w:t xml:space="preserve"> </w:t>
      </w:r>
      <w:r>
        <w:rPr>
          <w:rFonts w:ascii="Arial" w:cs="Arial" w:eastAsia="Arial" w:hAnsi="Arial"/>
          <w:sz w:val="18"/>
          <w:szCs w:val="18"/>
          <w:color w:val="auto"/>
        </w:rPr>
        <w:t>well as certain forward fixed price purchase and sale contracts and proprietary trading.</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presents the gross fair value of our derivative instruments and their locations on the consolidated balance sheets (in millions):</w:t>
      </w:r>
    </w:p>
    <w:p>
      <w:pPr>
        <w:spacing w:after="0" w:line="390"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4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rPr>
              <w:t>Gross Derivative Assets</w:t>
            </w:r>
          </w:p>
        </w:tc>
        <w:tc>
          <w:tcPr>
            <w:tcW w:w="280" w:type="dxa"/>
            <w:vAlign w:val="bottom"/>
          </w:tcPr>
          <w:p>
            <w:pPr>
              <w:spacing w:after="0"/>
              <w:rPr>
                <w:sz w:val="16"/>
                <w:szCs w:val="16"/>
                <w:color w:val="auto"/>
              </w:rPr>
            </w:pPr>
          </w:p>
        </w:tc>
        <w:tc>
          <w:tcPr>
            <w:tcW w:w="19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Gross Derivative Liabilities</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21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40" w:type="dxa"/>
            <w:vAlign w:val="bottom"/>
          </w:tcPr>
          <w:p>
            <w:pPr>
              <w:spacing w:after="0"/>
              <w:rPr>
                <w:sz w:val="6"/>
                <w:szCs w:val="6"/>
                <w:color w:val="auto"/>
              </w:rPr>
            </w:pPr>
          </w:p>
        </w:tc>
        <w:tc>
          <w:tcPr>
            <w:tcW w:w="342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jc w:val="right"/>
              <w:ind w:right="108"/>
              <w:spacing w:after="0"/>
              <w:rPr>
                <w:sz w:val="20"/>
                <w:szCs w:val="20"/>
                <w:color w:val="auto"/>
              </w:rPr>
            </w:pPr>
            <w:r>
              <w:rPr>
                <w:rFonts w:ascii="Arial" w:cs="Arial" w:eastAsia="Arial" w:hAnsi="Arial"/>
                <w:sz w:val="14"/>
                <w:szCs w:val="14"/>
                <w:b w:val="1"/>
                <w:bCs w:val="1"/>
                <w:color w:val="auto"/>
              </w:rPr>
              <w:t>As of</w:t>
            </w:r>
          </w:p>
        </w:tc>
        <w:tc>
          <w:tcPr>
            <w:tcW w:w="520" w:type="dxa"/>
            <w:vAlign w:val="bottom"/>
          </w:tcPr>
          <w:p>
            <w:pPr>
              <w:spacing w:after="0"/>
              <w:rPr>
                <w:sz w:val="15"/>
                <w:szCs w:val="15"/>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As of</w:t>
            </w:r>
          </w:p>
        </w:tc>
        <w:tc>
          <w:tcPr>
            <w:tcW w:w="280" w:type="dxa"/>
            <w:vAlign w:val="bottom"/>
          </w:tcPr>
          <w:p>
            <w:pPr>
              <w:spacing w:after="0"/>
              <w:rPr>
                <w:sz w:val="15"/>
                <w:szCs w:val="15"/>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b w:val="1"/>
                <w:bCs w:val="1"/>
                <w:color w:val="auto"/>
              </w:rPr>
              <w:t>As of</w:t>
            </w:r>
          </w:p>
        </w:tc>
        <w:tc>
          <w:tcPr>
            <w:tcW w:w="440" w:type="dxa"/>
            <w:vAlign w:val="bottom"/>
          </w:tcPr>
          <w:p>
            <w:pPr>
              <w:spacing w:after="0"/>
              <w:rPr>
                <w:sz w:val="15"/>
                <w:szCs w:val="15"/>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49"/>
        </w:trPr>
        <w:tc>
          <w:tcPr>
            <w:tcW w:w="21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Derivative Instruments</w:t>
            </w:r>
          </w:p>
        </w:tc>
        <w:tc>
          <w:tcPr>
            <w:tcW w:w="4360" w:type="dxa"/>
            <w:vAlign w:val="bottom"/>
            <w:gridSpan w:val="3"/>
            <w:vMerge w:val="restart"/>
          </w:tcPr>
          <w:p>
            <w:pPr>
              <w:ind w:left="500"/>
              <w:spacing w:after="0"/>
              <w:rPr>
                <w:sz w:val="20"/>
                <w:szCs w:val="20"/>
                <w:color w:val="auto"/>
              </w:rPr>
            </w:pPr>
            <w:r>
              <w:rPr>
                <w:rFonts w:ascii="Arial" w:cs="Arial" w:eastAsia="Arial" w:hAnsi="Arial"/>
                <w:sz w:val="14"/>
                <w:szCs w:val="14"/>
                <w:b w:val="1"/>
                <w:bCs w:val="1"/>
                <w:color w:val="auto"/>
              </w:rPr>
              <w:t>Balance Sheet Location</w:t>
            </w:r>
          </w:p>
        </w:tc>
        <w:tc>
          <w:tcPr>
            <w:tcW w:w="300" w:type="dxa"/>
            <w:vAlign w:val="bottom"/>
          </w:tcPr>
          <w:p>
            <w:pPr>
              <w:spacing w:after="0"/>
              <w:rPr>
                <w:sz w:val="12"/>
                <w:szCs w:val="12"/>
                <w:color w:val="auto"/>
              </w:rPr>
            </w:pPr>
          </w:p>
        </w:tc>
        <w:tc>
          <w:tcPr>
            <w:tcW w:w="920" w:type="dxa"/>
            <w:vAlign w:val="bottom"/>
          </w:tcPr>
          <w:p>
            <w:pPr>
              <w:jc w:val="right"/>
              <w:ind w:right="108"/>
              <w:spacing w:after="0" w:line="149" w:lineRule="exact"/>
              <w:rPr>
                <w:sz w:val="20"/>
                <w:szCs w:val="20"/>
                <w:color w:val="auto"/>
              </w:rPr>
            </w:pPr>
            <w:r>
              <w:rPr>
                <w:rFonts w:ascii="Arial" w:cs="Arial" w:eastAsia="Arial" w:hAnsi="Arial"/>
                <w:sz w:val="14"/>
                <w:szCs w:val="14"/>
                <w:b w:val="1"/>
                <w:bCs w:val="1"/>
                <w:color w:val="auto"/>
              </w:rPr>
              <w:t>March 31,</w:t>
            </w:r>
          </w:p>
        </w:tc>
        <w:tc>
          <w:tcPr>
            <w:tcW w:w="1420" w:type="dxa"/>
            <w:vAlign w:val="bottom"/>
            <w:gridSpan w:val="3"/>
          </w:tcPr>
          <w:p>
            <w:pPr>
              <w:jc w:val="right"/>
              <w:ind w:right="340"/>
              <w:spacing w:after="0" w:line="149" w:lineRule="exact"/>
              <w:rPr>
                <w:sz w:val="20"/>
                <w:szCs w:val="20"/>
                <w:color w:val="auto"/>
              </w:rPr>
            </w:pPr>
            <w:r>
              <w:rPr>
                <w:rFonts w:ascii="Arial" w:cs="Arial" w:eastAsia="Arial" w:hAnsi="Arial"/>
                <w:sz w:val="14"/>
                <w:szCs w:val="14"/>
                <w:b w:val="1"/>
                <w:bCs w:val="1"/>
                <w:color w:val="auto"/>
              </w:rPr>
              <w:t>December 31,</w:t>
            </w:r>
          </w:p>
        </w:tc>
        <w:tc>
          <w:tcPr>
            <w:tcW w:w="280" w:type="dxa"/>
            <w:vAlign w:val="bottom"/>
          </w:tcPr>
          <w:p>
            <w:pPr>
              <w:spacing w:after="0"/>
              <w:rPr>
                <w:sz w:val="12"/>
                <w:szCs w:val="12"/>
                <w:color w:val="auto"/>
              </w:rPr>
            </w:pPr>
          </w:p>
        </w:tc>
        <w:tc>
          <w:tcPr>
            <w:tcW w:w="840" w:type="dxa"/>
            <w:vAlign w:val="bottom"/>
          </w:tcPr>
          <w:p>
            <w:pPr>
              <w:jc w:val="right"/>
              <w:ind w:right="48"/>
              <w:spacing w:after="0" w:line="149" w:lineRule="exact"/>
              <w:rPr>
                <w:sz w:val="20"/>
                <w:szCs w:val="20"/>
                <w:color w:val="auto"/>
              </w:rPr>
            </w:pPr>
            <w:r>
              <w:rPr>
                <w:rFonts w:ascii="Arial" w:cs="Arial" w:eastAsia="Arial" w:hAnsi="Arial"/>
                <w:sz w:val="14"/>
                <w:szCs w:val="14"/>
                <w:b w:val="1"/>
                <w:bCs w:val="1"/>
                <w:color w:val="auto"/>
              </w:rPr>
              <w:t>March 31,</w:t>
            </w:r>
          </w:p>
        </w:tc>
        <w:tc>
          <w:tcPr>
            <w:tcW w:w="1120" w:type="dxa"/>
            <w:vAlign w:val="bottom"/>
            <w:gridSpan w:val="2"/>
          </w:tcPr>
          <w:p>
            <w:pPr>
              <w:jc w:val="right"/>
              <w:ind w:right="48"/>
              <w:spacing w:after="0" w:line="149"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19"/>
        </w:trPr>
        <w:tc>
          <w:tcPr>
            <w:tcW w:w="2160" w:type="dxa"/>
            <w:vAlign w:val="bottom"/>
            <w:gridSpan w:val="2"/>
            <w:vMerge w:val="continue"/>
          </w:tcPr>
          <w:p>
            <w:pPr>
              <w:spacing w:after="0"/>
              <w:rPr>
                <w:sz w:val="10"/>
                <w:szCs w:val="10"/>
                <w:color w:val="auto"/>
              </w:rPr>
            </w:pPr>
          </w:p>
        </w:tc>
        <w:tc>
          <w:tcPr>
            <w:tcW w:w="436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92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2017</w:t>
            </w:r>
          </w:p>
        </w:tc>
        <w:tc>
          <w:tcPr>
            <w:tcW w:w="520" w:type="dxa"/>
            <w:vAlign w:val="bottom"/>
          </w:tcPr>
          <w:p>
            <w:pPr>
              <w:spacing w:after="0"/>
              <w:rPr>
                <w:sz w:val="10"/>
                <w:szCs w:val="10"/>
                <w:color w:val="auto"/>
              </w:rPr>
            </w:pPr>
          </w:p>
        </w:tc>
        <w:tc>
          <w:tcPr>
            <w:tcW w:w="68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2017</w:t>
            </w:r>
          </w:p>
        </w:tc>
        <w:tc>
          <w:tcPr>
            <w:tcW w:w="440" w:type="dxa"/>
            <w:vAlign w:val="bottom"/>
          </w:tcPr>
          <w:p>
            <w:pPr>
              <w:spacing w:after="0"/>
              <w:rPr>
                <w:sz w:val="10"/>
                <w:szCs w:val="10"/>
                <w:color w:val="auto"/>
              </w:rPr>
            </w:pPr>
          </w:p>
        </w:tc>
        <w:tc>
          <w:tcPr>
            <w:tcW w:w="68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74"/>
        </w:trPr>
        <w:tc>
          <w:tcPr>
            <w:tcW w:w="20" w:type="dxa"/>
            <w:vAlign w:val="bottom"/>
            <w:tcBorders>
              <w:bottom w:val="single" w:sz="8" w:color="auto"/>
            </w:tcBorders>
          </w:tcPr>
          <w:p>
            <w:pPr>
              <w:spacing w:after="0"/>
              <w:rPr>
                <w:sz w:val="6"/>
                <w:szCs w:val="6"/>
                <w:color w:val="auto"/>
              </w:rPr>
            </w:pPr>
          </w:p>
        </w:tc>
        <w:tc>
          <w:tcPr>
            <w:tcW w:w="214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342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vMerge w:val="continue"/>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vMerge w:val="continue"/>
          </w:tcPr>
          <w:p>
            <w:pPr>
              <w:spacing w:after="0"/>
              <w:rPr>
                <w:sz w:val="6"/>
                <w:szCs w:val="6"/>
                <w:color w:val="auto"/>
              </w:rPr>
            </w:pPr>
          </w:p>
        </w:tc>
        <w:tc>
          <w:tcPr>
            <w:tcW w:w="22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vMerge w:val="continue"/>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6520" w:type="dxa"/>
            <w:vAlign w:val="bottom"/>
            <w:gridSpan w:val="5"/>
            <w:shd w:val="clear" w:color="auto" w:fill="CCEEFF"/>
          </w:tcPr>
          <w:p>
            <w:pPr>
              <w:ind w:left="20"/>
              <w:spacing w:after="0"/>
              <w:rPr>
                <w:sz w:val="20"/>
                <w:szCs w:val="20"/>
                <w:color w:val="auto"/>
              </w:rPr>
            </w:pPr>
            <w:r>
              <w:rPr>
                <w:rFonts w:ascii="Arial" w:cs="Arial" w:eastAsia="Arial" w:hAnsi="Arial"/>
                <w:sz w:val="14"/>
                <w:szCs w:val="14"/>
                <w:b w:val="1"/>
                <w:bCs w:val="1"/>
                <w:color w:val="auto"/>
              </w:rPr>
              <w:t>Derivatives designated as hedging instruments</w:t>
            </w:r>
          </w:p>
        </w:tc>
        <w:tc>
          <w:tcPr>
            <w:tcW w:w="3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20" w:type="dxa"/>
            <w:vAlign w:val="bottom"/>
            <w:tcBorders>
              <w:top w:val="single" w:sz="8" w:color="CCEEFF"/>
            </w:tcBorders>
            <w:shd w:val="clear" w:color="auto" w:fill="CCEEFF"/>
          </w:tcPr>
          <w:p>
            <w:pPr>
              <w:spacing w:after="0"/>
              <w:rPr>
                <w:sz w:val="7"/>
                <w:szCs w:val="7"/>
                <w:color w:val="auto"/>
              </w:rPr>
            </w:pPr>
          </w:p>
        </w:tc>
        <w:tc>
          <w:tcPr>
            <w:tcW w:w="2140" w:type="dxa"/>
            <w:vAlign w:val="bottom"/>
            <w:tcBorders>
              <w:top w:val="single" w:sz="8" w:color="auto"/>
            </w:tcBorders>
            <w:shd w:val="clear" w:color="auto" w:fill="CCEEFF"/>
          </w:tcPr>
          <w:p>
            <w:pPr>
              <w:spacing w:after="0"/>
              <w:rPr>
                <w:sz w:val="7"/>
                <w:szCs w:val="7"/>
                <w:color w:val="auto"/>
              </w:rPr>
            </w:pPr>
          </w:p>
        </w:tc>
        <w:tc>
          <w:tcPr>
            <w:tcW w:w="700" w:type="dxa"/>
            <w:vAlign w:val="bottom"/>
            <w:tcBorders>
              <w:top w:val="single" w:sz="8" w:color="auto"/>
            </w:tcBorders>
            <w:shd w:val="clear" w:color="auto" w:fill="CCEEFF"/>
          </w:tcPr>
          <w:p>
            <w:pPr>
              <w:spacing w:after="0"/>
              <w:rPr>
                <w:sz w:val="7"/>
                <w:szCs w:val="7"/>
                <w:color w:val="auto"/>
              </w:rPr>
            </w:pPr>
          </w:p>
        </w:tc>
        <w:tc>
          <w:tcPr>
            <w:tcW w:w="240" w:type="dxa"/>
            <w:vAlign w:val="bottom"/>
            <w:tcBorders>
              <w:top w:val="single" w:sz="8" w:color="CCEEFF"/>
            </w:tcBorders>
            <w:shd w:val="clear" w:color="auto" w:fill="CCEEFF"/>
          </w:tcPr>
          <w:p>
            <w:pPr>
              <w:spacing w:after="0"/>
              <w:rPr>
                <w:sz w:val="7"/>
                <w:szCs w:val="7"/>
                <w:color w:val="auto"/>
              </w:rPr>
            </w:pPr>
          </w:p>
        </w:tc>
        <w:tc>
          <w:tcPr>
            <w:tcW w:w="3420" w:type="dxa"/>
            <w:vAlign w:val="bottom"/>
            <w:tcBorders>
              <w:top w:val="single" w:sz="8" w:color="CCEEFF"/>
            </w:tcBorders>
            <w:shd w:val="clear" w:color="auto" w:fill="CCEEFF"/>
          </w:tcPr>
          <w:p>
            <w:pPr>
              <w:spacing w:after="0"/>
              <w:rPr>
                <w:sz w:val="7"/>
                <w:szCs w:val="7"/>
                <w:color w:val="auto"/>
              </w:rPr>
            </w:pPr>
          </w:p>
        </w:tc>
        <w:tc>
          <w:tcPr>
            <w:tcW w:w="300" w:type="dxa"/>
            <w:vAlign w:val="bottom"/>
            <w:tcBorders>
              <w:top w:val="single" w:sz="8" w:color="CCEEFF"/>
            </w:tcBorders>
            <w:shd w:val="clear" w:color="auto" w:fill="CCEEFF"/>
          </w:tcPr>
          <w:p>
            <w:pPr>
              <w:spacing w:after="0"/>
              <w:rPr>
                <w:sz w:val="7"/>
                <w:szCs w:val="7"/>
                <w:color w:val="auto"/>
              </w:rPr>
            </w:pPr>
          </w:p>
        </w:tc>
        <w:tc>
          <w:tcPr>
            <w:tcW w:w="920" w:type="dxa"/>
            <w:vAlign w:val="bottom"/>
            <w:tcBorders>
              <w:top w:val="single" w:sz="8" w:color="CCEEFF"/>
            </w:tcBorders>
            <w:shd w:val="clear" w:color="auto" w:fill="CCEEFF"/>
          </w:tcPr>
          <w:p>
            <w:pPr>
              <w:spacing w:after="0"/>
              <w:rPr>
                <w:sz w:val="7"/>
                <w:szCs w:val="7"/>
                <w:color w:val="auto"/>
              </w:rPr>
            </w:pPr>
          </w:p>
        </w:tc>
        <w:tc>
          <w:tcPr>
            <w:tcW w:w="520" w:type="dxa"/>
            <w:vAlign w:val="bottom"/>
            <w:tcBorders>
              <w:top w:val="single" w:sz="8" w:color="CCEEFF"/>
            </w:tcBorders>
            <w:shd w:val="clear" w:color="auto" w:fill="CCEEFF"/>
          </w:tcPr>
          <w:p>
            <w:pPr>
              <w:spacing w:after="0"/>
              <w:rPr>
                <w:sz w:val="7"/>
                <w:szCs w:val="7"/>
                <w:color w:val="auto"/>
              </w:rPr>
            </w:pPr>
          </w:p>
        </w:tc>
        <w:tc>
          <w:tcPr>
            <w:tcW w:w="680" w:type="dxa"/>
            <w:vAlign w:val="bottom"/>
            <w:tcBorders>
              <w:top w:val="single" w:sz="8" w:color="CCEEFF"/>
            </w:tcBorders>
            <w:shd w:val="clear" w:color="auto" w:fill="CCEEFF"/>
          </w:tcPr>
          <w:p>
            <w:pPr>
              <w:spacing w:after="0"/>
              <w:rPr>
                <w:sz w:val="7"/>
                <w:szCs w:val="7"/>
                <w:color w:val="auto"/>
              </w:rPr>
            </w:pPr>
          </w:p>
        </w:tc>
        <w:tc>
          <w:tcPr>
            <w:tcW w:w="220" w:type="dxa"/>
            <w:vAlign w:val="bottom"/>
            <w:tcBorders>
              <w:top w:val="single" w:sz="8" w:color="CCEEFF"/>
            </w:tcBorders>
            <w:shd w:val="clear" w:color="auto" w:fill="CCEEFF"/>
          </w:tcPr>
          <w:p>
            <w:pPr>
              <w:spacing w:after="0"/>
              <w:rPr>
                <w:sz w:val="7"/>
                <w:szCs w:val="7"/>
                <w:color w:val="auto"/>
              </w:rPr>
            </w:pPr>
          </w:p>
        </w:tc>
        <w:tc>
          <w:tcPr>
            <w:tcW w:w="280" w:type="dxa"/>
            <w:vAlign w:val="bottom"/>
            <w:tcBorders>
              <w:top w:val="single" w:sz="8" w:color="CCEEFF"/>
            </w:tcBorders>
            <w:shd w:val="clear" w:color="auto" w:fill="CCEEFF"/>
          </w:tcPr>
          <w:p>
            <w:pPr>
              <w:spacing w:after="0"/>
              <w:rPr>
                <w:sz w:val="7"/>
                <w:szCs w:val="7"/>
                <w:color w:val="auto"/>
              </w:rPr>
            </w:pPr>
          </w:p>
        </w:tc>
        <w:tc>
          <w:tcPr>
            <w:tcW w:w="840" w:type="dxa"/>
            <w:vAlign w:val="bottom"/>
            <w:tcBorders>
              <w:top w:val="single" w:sz="8" w:color="CCEEFF"/>
            </w:tcBorders>
            <w:shd w:val="clear" w:color="auto" w:fill="CCEEFF"/>
          </w:tcPr>
          <w:p>
            <w:pPr>
              <w:spacing w:after="0"/>
              <w:rPr>
                <w:sz w:val="7"/>
                <w:szCs w:val="7"/>
                <w:color w:val="auto"/>
              </w:rPr>
            </w:pPr>
          </w:p>
        </w:tc>
        <w:tc>
          <w:tcPr>
            <w:tcW w:w="440" w:type="dxa"/>
            <w:vAlign w:val="bottom"/>
            <w:tcBorders>
              <w:top w:val="single" w:sz="8" w:color="CCEEFF"/>
            </w:tcBorders>
            <w:shd w:val="clear" w:color="auto" w:fill="CCEEFF"/>
          </w:tcPr>
          <w:p>
            <w:pPr>
              <w:spacing w:after="0"/>
              <w:rPr>
                <w:sz w:val="7"/>
                <w:szCs w:val="7"/>
                <w:color w:val="auto"/>
              </w:rPr>
            </w:pPr>
          </w:p>
        </w:tc>
        <w:tc>
          <w:tcPr>
            <w:tcW w:w="68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140" w:type="dxa"/>
            <w:vAlign w:val="bottom"/>
          </w:tcPr>
          <w:p>
            <w:pPr>
              <w:ind w:left="100"/>
              <w:spacing w:after="0"/>
              <w:rPr>
                <w:sz w:val="20"/>
                <w:szCs w:val="20"/>
                <w:color w:val="auto"/>
              </w:rPr>
            </w:pPr>
            <w:r>
              <w:rPr>
                <w:rFonts w:ascii="Arial" w:cs="Arial" w:eastAsia="Arial" w:hAnsi="Arial"/>
                <w:sz w:val="14"/>
                <w:szCs w:val="14"/>
                <w:color w:val="auto"/>
              </w:rPr>
              <w:t>Commodity contracts</w:t>
            </w:r>
          </w:p>
        </w:tc>
        <w:tc>
          <w:tcPr>
            <w:tcW w:w="4360" w:type="dxa"/>
            <w:vAlign w:val="bottom"/>
            <w:gridSpan w:val="3"/>
          </w:tcPr>
          <w:p>
            <w:pPr>
              <w:ind w:left="500"/>
              <w:spacing w:after="0"/>
              <w:rPr>
                <w:sz w:val="20"/>
                <w:szCs w:val="20"/>
                <w:color w:val="auto"/>
              </w:rPr>
            </w:pPr>
            <w:r>
              <w:rPr>
                <w:rFonts w:ascii="Arial" w:cs="Arial" w:eastAsia="Arial" w:hAnsi="Arial"/>
                <w:sz w:val="14"/>
                <w:szCs w:val="14"/>
                <w:color w:val="auto"/>
              </w:rPr>
              <w:t>Short-term derivative assets, net</w:t>
            </w:r>
          </w:p>
        </w:tc>
        <w:tc>
          <w:tcPr>
            <w:tcW w:w="3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ind w:right="108"/>
              <w:spacing w:after="0"/>
              <w:rPr>
                <w:sz w:val="20"/>
                <w:szCs w:val="20"/>
                <w:color w:val="auto"/>
              </w:rPr>
            </w:pPr>
            <w:r>
              <w:rPr>
                <w:rFonts w:ascii="Arial" w:cs="Arial" w:eastAsia="Arial" w:hAnsi="Arial"/>
                <w:sz w:val="14"/>
                <w:szCs w:val="14"/>
                <w:color w:val="auto"/>
              </w:rPr>
              <w:t>35.5</w:t>
            </w:r>
          </w:p>
        </w:tc>
        <w:tc>
          <w:tcPr>
            <w:tcW w:w="520" w:type="dxa"/>
            <w:vAlign w:val="bottom"/>
            <w:vMerge w:val="restart"/>
          </w:tcPr>
          <w:p>
            <w:pPr>
              <w:jc w:val="right"/>
              <w:ind w:right="188"/>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right"/>
              <w:ind w:right="48"/>
              <w:spacing w:after="0"/>
              <w:rPr>
                <w:sz w:val="20"/>
                <w:szCs w:val="20"/>
                <w:color w:val="auto"/>
              </w:rPr>
            </w:pPr>
            <w:r>
              <w:rPr>
                <w:rFonts w:ascii="Arial" w:cs="Arial" w:eastAsia="Arial" w:hAnsi="Arial"/>
                <w:sz w:val="14"/>
                <w:szCs w:val="14"/>
                <w:color w:val="auto"/>
              </w:rPr>
              <w:t>2.2</w:t>
            </w:r>
          </w:p>
        </w:tc>
        <w:tc>
          <w:tcPr>
            <w:tcW w:w="220" w:type="dxa"/>
            <w:vAlign w:val="bottom"/>
          </w:tcPr>
          <w:p>
            <w:pPr>
              <w:spacing w:after="0"/>
              <w:rPr>
                <w:sz w:val="16"/>
                <w:szCs w:val="16"/>
                <w:color w:val="auto"/>
              </w:rPr>
            </w:pPr>
          </w:p>
        </w:tc>
        <w:tc>
          <w:tcPr>
            <w:tcW w:w="2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ind w:right="48"/>
              <w:spacing w:after="0"/>
              <w:rPr>
                <w:sz w:val="20"/>
                <w:szCs w:val="20"/>
                <w:color w:val="auto"/>
              </w:rPr>
            </w:pPr>
            <w:r>
              <w:rPr>
                <w:rFonts w:ascii="Arial" w:cs="Arial" w:eastAsia="Arial" w:hAnsi="Arial"/>
                <w:sz w:val="14"/>
                <w:szCs w:val="14"/>
                <w:color w:val="auto"/>
              </w:rPr>
              <w:t>30.8</w:t>
            </w:r>
          </w:p>
        </w:tc>
        <w:tc>
          <w:tcPr>
            <w:tcW w:w="440" w:type="dxa"/>
            <w:vAlign w:val="bottom"/>
            <w:vMerge w:val="restart"/>
          </w:tcPr>
          <w:p>
            <w:pPr>
              <w:jc w:val="center"/>
              <w:ind w:right="48"/>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right"/>
              <w:ind w:right="48"/>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1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40" w:type="dxa"/>
            <w:vAlign w:val="bottom"/>
          </w:tcPr>
          <w:p>
            <w:pPr>
              <w:spacing w:after="0"/>
              <w:rPr>
                <w:sz w:val="6"/>
                <w:szCs w:val="6"/>
                <w:color w:val="auto"/>
              </w:rPr>
            </w:pPr>
          </w:p>
        </w:tc>
        <w:tc>
          <w:tcPr>
            <w:tcW w:w="342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4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 w:type="dxa"/>
            <w:vAlign w:val="bottom"/>
            <w:shd w:val="clear" w:color="auto" w:fill="CCEEFF"/>
          </w:tcPr>
          <w:p>
            <w:pPr>
              <w:spacing w:after="0"/>
              <w:rPr>
                <w:sz w:val="17"/>
                <w:szCs w:val="17"/>
                <w:color w:val="auto"/>
              </w:rPr>
            </w:pPr>
          </w:p>
        </w:tc>
        <w:tc>
          <w:tcPr>
            <w:tcW w:w="2140" w:type="dxa"/>
            <w:vAlign w:val="bottom"/>
            <w:shd w:val="clear" w:color="auto" w:fill="CCEEFF"/>
          </w:tcPr>
          <w:p>
            <w:pPr>
              <w:spacing w:after="0"/>
              <w:rPr>
                <w:sz w:val="17"/>
                <w:szCs w:val="17"/>
                <w:color w:val="auto"/>
              </w:rPr>
            </w:pPr>
          </w:p>
        </w:tc>
        <w:tc>
          <w:tcPr>
            <w:tcW w:w="4360" w:type="dxa"/>
            <w:vAlign w:val="bottom"/>
            <w:gridSpan w:val="3"/>
            <w:shd w:val="clear" w:color="auto" w:fill="CCEEFF"/>
          </w:tcPr>
          <w:p>
            <w:pPr>
              <w:ind w:left="500"/>
              <w:spacing w:after="0"/>
              <w:rPr>
                <w:sz w:val="20"/>
                <w:szCs w:val="20"/>
                <w:color w:val="auto"/>
              </w:rPr>
            </w:pPr>
            <w:r>
              <w:rPr>
                <w:rFonts w:ascii="Arial" w:cs="Arial" w:eastAsia="Arial" w:hAnsi="Arial"/>
                <w:sz w:val="14"/>
                <w:szCs w:val="14"/>
                <w:color w:val="auto"/>
              </w:rPr>
              <w:t>Accrued expenses and other current liabilities</w:t>
            </w:r>
          </w:p>
        </w:tc>
        <w:tc>
          <w:tcPr>
            <w:tcW w:w="30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86.0</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93.5</w:t>
            </w:r>
          </w:p>
        </w:tc>
        <w:tc>
          <w:tcPr>
            <w:tcW w:w="0" w:type="dxa"/>
            <w:vAlign w:val="bottom"/>
          </w:tcPr>
          <w:p>
            <w:pPr>
              <w:spacing w:after="0"/>
              <w:rPr>
                <w:sz w:val="1"/>
                <w:szCs w:val="1"/>
                <w:color w:val="auto"/>
              </w:rPr>
            </w:pPr>
          </w:p>
        </w:tc>
      </w:tr>
      <w:tr>
        <w:trPr>
          <w:trHeight w:val="80"/>
        </w:trPr>
        <w:tc>
          <w:tcPr>
            <w:tcW w:w="20" w:type="dxa"/>
            <w:vAlign w:val="bottom"/>
            <w:shd w:val="clear" w:color="auto" w:fill="CCEEFF"/>
          </w:tcPr>
          <w:p>
            <w:pPr>
              <w:spacing w:after="0"/>
              <w:rPr>
                <w:sz w:val="6"/>
                <w:szCs w:val="6"/>
                <w:color w:val="auto"/>
              </w:rPr>
            </w:pPr>
          </w:p>
        </w:tc>
        <w:tc>
          <w:tcPr>
            <w:tcW w:w="214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342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4360" w:type="dxa"/>
            <w:vAlign w:val="bottom"/>
            <w:gridSpan w:val="3"/>
          </w:tcPr>
          <w:p>
            <w:pPr>
              <w:ind w:left="500"/>
              <w:spacing w:after="0"/>
              <w:rPr>
                <w:sz w:val="20"/>
                <w:szCs w:val="20"/>
                <w:color w:val="auto"/>
              </w:rPr>
            </w:pPr>
            <w:r>
              <w:rPr>
                <w:rFonts w:ascii="Arial" w:cs="Arial" w:eastAsia="Arial" w:hAnsi="Arial"/>
                <w:sz w:val="14"/>
                <w:szCs w:val="14"/>
                <w:color w:val="auto"/>
              </w:rPr>
              <w:t>Other long-term liabilities</w:t>
            </w:r>
          </w:p>
        </w:tc>
        <w:tc>
          <w:tcPr>
            <w:tcW w:w="300" w:type="dxa"/>
            <w:vAlign w:val="bottom"/>
          </w:tcPr>
          <w:p>
            <w:pPr>
              <w:spacing w:after="0"/>
              <w:rPr>
                <w:sz w:val="16"/>
                <w:szCs w:val="16"/>
                <w:color w:val="auto"/>
              </w:rPr>
            </w:pPr>
          </w:p>
        </w:tc>
        <w:tc>
          <w:tcPr>
            <w:tcW w:w="92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6"/>
                <w:szCs w:val="16"/>
                <w:color w:val="auto"/>
              </w:rPr>
            </w:pPr>
          </w:p>
        </w:tc>
        <w:tc>
          <w:tcPr>
            <w:tcW w:w="680" w:type="dxa"/>
            <w:vAlign w:val="bottom"/>
            <w:vMerge w:val="restart"/>
          </w:tcPr>
          <w:p>
            <w:pPr>
              <w:jc w:val="right"/>
              <w:ind w:right="48"/>
              <w:spacing w:after="0"/>
              <w:rPr>
                <w:sz w:val="20"/>
                <w:szCs w:val="20"/>
                <w:color w:val="auto"/>
              </w:rPr>
            </w:pPr>
            <w:r>
              <w:rPr>
                <w:rFonts w:ascii="Arial" w:cs="Arial" w:eastAsia="Arial" w:hAnsi="Arial"/>
                <w:sz w:val="14"/>
                <w:szCs w:val="14"/>
                <w:color w:val="auto"/>
              </w:rPr>
              <w:t>5.1</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680" w:type="dxa"/>
            <w:vAlign w:val="bottom"/>
            <w:vMerge w:val="restart"/>
          </w:tcPr>
          <w:p>
            <w:pPr>
              <w:jc w:val="right"/>
              <w:ind w:right="48"/>
              <w:spacing w:after="0"/>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74"/>
        </w:trPr>
        <w:tc>
          <w:tcPr>
            <w:tcW w:w="20" w:type="dxa"/>
            <w:vAlign w:val="bottom"/>
            <w:tcBorders>
              <w:bottom w:val="single" w:sz="8" w:color="auto"/>
            </w:tcBorders>
          </w:tcPr>
          <w:p>
            <w:pPr>
              <w:spacing w:after="0"/>
              <w:rPr>
                <w:sz w:val="6"/>
                <w:szCs w:val="6"/>
                <w:color w:val="auto"/>
              </w:rPr>
            </w:pPr>
          </w:p>
        </w:tc>
        <w:tc>
          <w:tcPr>
            <w:tcW w:w="214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342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vMerge w:val="continue"/>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vMerge w:val="continue"/>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vMerge w:val="continue"/>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6520" w:type="dxa"/>
            <w:vAlign w:val="bottom"/>
            <w:gridSpan w:val="5"/>
            <w:shd w:val="clear" w:color="auto" w:fill="CCEEFF"/>
          </w:tcPr>
          <w:p>
            <w:pPr>
              <w:ind w:left="20"/>
              <w:spacing w:after="0"/>
              <w:rPr>
                <w:sz w:val="20"/>
                <w:szCs w:val="20"/>
                <w:color w:val="auto"/>
              </w:rPr>
            </w:pPr>
            <w:r>
              <w:rPr>
                <w:rFonts w:ascii="Arial" w:cs="Arial" w:eastAsia="Arial" w:hAnsi="Arial"/>
                <w:sz w:val="14"/>
                <w:szCs w:val="14"/>
                <w:b w:val="1"/>
                <w:bCs w:val="1"/>
                <w:color w:val="auto"/>
              </w:rPr>
              <w:t>Total derivatives designated as hedging instruments</w:t>
            </w:r>
          </w:p>
        </w:tc>
        <w:tc>
          <w:tcPr>
            <w:tcW w:w="3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35.5</w:t>
            </w:r>
          </w:p>
        </w:tc>
        <w:tc>
          <w:tcPr>
            <w:tcW w:w="520" w:type="dxa"/>
            <w:vAlign w:val="bottom"/>
            <w:vMerge w:val="restart"/>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6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93.3</w:t>
            </w:r>
          </w:p>
        </w:tc>
        <w:tc>
          <w:tcPr>
            <w:tcW w:w="220" w:type="dxa"/>
            <w:vAlign w:val="bottom"/>
            <w:shd w:val="clear" w:color="auto" w:fill="CCEEFF"/>
          </w:tcPr>
          <w:p>
            <w:pPr>
              <w:spacing w:after="0"/>
              <w:rPr>
                <w:sz w:val="16"/>
                <w:szCs w:val="16"/>
                <w:color w:val="auto"/>
              </w:rPr>
            </w:pPr>
          </w:p>
        </w:tc>
        <w:tc>
          <w:tcPr>
            <w:tcW w:w="2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30.8</w:t>
            </w:r>
          </w:p>
        </w:tc>
        <w:tc>
          <w:tcPr>
            <w:tcW w:w="440" w:type="dxa"/>
            <w:vAlign w:val="bottom"/>
            <w:vMerge w:val="restart"/>
            <w:shd w:val="clear" w:color="auto" w:fill="CCEEFF"/>
          </w:tcPr>
          <w:p>
            <w:pPr>
              <w:jc w:val="center"/>
              <w:ind w:right="48"/>
              <w:spacing w:after="0"/>
              <w:rPr>
                <w:sz w:val="20"/>
                <w:szCs w:val="20"/>
                <w:color w:val="auto"/>
              </w:rPr>
            </w:pPr>
            <w:r>
              <w:rPr>
                <w:rFonts w:ascii="Arial" w:cs="Arial" w:eastAsia="Arial" w:hAnsi="Arial"/>
                <w:sz w:val="14"/>
                <w:szCs w:val="14"/>
                <w:color w:val="auto"/>
              </w:rPr>
              <w:t>$</w:t>
            </w:r>
          </w:p>
        </w:tc>
        <w:tc>
          <w:tcPr>
            <w:tcW w:w="6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108.9</w:t>
            </w:r>
          </w:p>
        </w:tc>
        <w:tc>
          <w:tcPr>
            <w:tcW w:w="0" w:type="dxa"/>
            <w:vAlign w:val="bottom"/>
          </w:tcPr>
          <w:p>
            <w:pPr>
              <w:spacing w:after="0"/>
              <w:rPr>
                <w:sz w:val="1"/>
                <w:szCs w:val="1"/>
                <w:color w:val="auto"/>
              </w:rPr>
            </w:pPr>
          </w:p>
        </w:tc>
      </w:tr>
      <w:tr>
        <w:trPr>
          <w:trHeight w:val="80"/>
        </w:trPr>
        <w:tc>
          <w:tcPr>
            <w:tcW w:w="20" w:type="dxa"/>
            <w:vAlign w:val="bottom"/>
            <w:shd w:val="clear" w:color="auto" w:fill="CCEEFF"/>
          </w:tcPr>
          <w:p>
            <w:pPr>
              <w:spacing w:after="0"/>
              <w:rPr>
                <w:sz w:val="6"/>
                <w:szCs w:val="6"/>
                <w:color w:val="auto"/>
              </w:rPr>
            </w:pPr>
          </w:p>
        </w:tc>
        <w:tc>
          <w:tcPr>
            <w:tcW w:w="214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3420" w:type="dxa"/>
            <w:vAlign w:val="bottom"/>
            <w:shd w:val="clear" w:color="auto" w:fill="CCEEFF"/>
          </w:tcPr>
          <w:p>
            <w:pPr>
              <w:spacing w:after="0"/>
              <w:rPr>
                <w:sz w:val="6"/>
                <w:szCs w:val="6"/>
                <w:color w:val="auto"/>
              </w:rPr>
            </w:pPr>
          </w:p>
        </w:tc>
        <w:tc>
          <w:tcPr>
            <w:tcW w:w="300" w:type="dxa"/>
            <w:vAlign w:val="bottom"/>
            <w:vMerge w:val="continue"/>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520" w:type="dxa"/>
            <w:vAlign w:val="bottom"/>
            <w:vMerge w:val="continue"/>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280" w:type="dxa"/>
            <w:vAlign w:val="bottom"/>
            <w:vMerge w:val="continue"/>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440" w:type="dxa"/>
            <w:vAlign w:val="bottom"/>
            <w:vMerge w:val="continue"/>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2840" w:type="dxa"/>
            <w:vAlign w:val="bottom"/>
            <w:gridSpan w:val="2"/>
          </w:tcPr>
          <w:p>
            <w:pPr>
              <w:spacing w:after="0"/>
              <w:rPr>
                <w:sz w:val="24"/>
                <w:szCs w:val="24"/>
                <w:color w:val="auto"/>
              </w:rPr>
            </w:pPr>
          </w:p>
        </w:tc>
        <w:tc>
          <w:tcPr>
            <w:tcW w:w="24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6520" w:type="dxa"/>
            <w:vAlign w:val="bottom"/>
            <w:gridSpan w:val="5"/>
            <w:shd w:val="clear" w:color="auto" w:fill="CCEEFF"/>
          </w:tcPr>
          <w:p>
            <w:pPr>
              <w:ind w:left="20"/>
              <w:spacing w:after="0"/>
              <w:rPr>
                <w:sz w:val="20"/>
                <w:szCs w:val="20"/>
                <w:color w:val="auto"/>
              </w:rPr>
            </w:pPr>
            <w:r>
              <w:rPr>
                <w:rFonts w:ascii="Arial" w:cs="Arial" w:eastAsia="Arial" w:hAnsi="Arial"/>
                <w:sz w:val="14"/>
                <w:szCs w:val="14"/>
                <w:b w:val="1"/>
                <w:bCs w:val="1"/>
                <w:color w:val="auto"/>
              </w:rPr>
              <w:t>Derivatives not designated as hedging instruments</w:t>
            </w:r>
          </w:p>
        </w:tc>
        <w:tc>
          <w:tcPr>
            <w:tcW w:w="3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20" w:type="dxa"/>
            <w:vAlign w:val="bottom"/>
            <w:tcBorders>
              <w:top w:val="single" w:sz="8" w:color="CCEEFF"/>
            </w:tcBorders>
            <w:shd w:val="clear" w:color="auto" w:fill="CCEEFF"/>
          </w:tcPr>
          <w:p>
            <w:pPr>
              <w:spacing w:after="0"/>
              <w:rPr>
                <w:sz w:val="7"/>
                <w:szCs w:val="7"/>
                <w:color w:val="auto"/>
              </w:rPr>
            </w:pPr>
          </w:p>
        </w:tc>
        <w:tc>
          <w:tcPr>
            <w:tcW w:w="2140" w:type="dxa"/>
            <w:vAlign w:val="bottom"/>
            <w:tcBorders>
              <w:top w:val="single" w:sz="8" w:color="auto"/>
            </w:tcBorders>
            <w:shd w:val="clear" w:color="auto" w:fill="CCEEFF"/>
          </w:tcPr>
          <w:p>
            <w:pPr>
              <w:spacing w:after="0"/>
              <w:rPr>
                <w:sz w:val="7"/>
                <w:szCs w:val="7"/>
                <w:color w:val="auto"/>
              </w:rPr>
            </w:pPr>
          </w:p>
        </w:tc>
        <w:tc>
          <w:tcPr>
            <w:tcW w:w="700" w:type="dxa"/>
            <w:vAlign w:val="bottom"/>
            <w:tcBorders>
              <w:top w:val="single" w:sz="8" w:color="auto"/>
            </w:tcBorders>
            <w:shd w:val="clear" w:color="auto" w:fill="CCEEFF"/>
          </w:tcPr>
          <w:p>
            <w:pPr>
              <w:spacing w:after="0"/>
              <w:rPr>
                <w:sz w:val="7"/>
                <w:szCs w:val="7"/>
                <w:color w:val="auto"/>
              </w:rPr>
            </w:pPr>
          </w:p>
        </w:tc>
        <w:tc>
          <w:tcPr>
            <w:tcW w:w="240" w:type="dxa"/>
            <w:vAlign w:val="bottom"/>
            <w:tcBorders>
              <w:top w:val="single" w:sz="8" w:color="auto"/>
            </w:tcBorders>
            <w:shd w:val="clear" w:color="auto" w:fill="CCEEFF"/>
          </w:tcPr>
          <w:p>
            <w:pPr>
              <w:spacing w:after="0"/>
              <w:rPr>
                <w:sz w:val="7"/>
                <w:szCs w:val="7"/>
                <w:color w:val="auto"/>
              </w:rPr>
            </w:pPr>
          </w:p>
        </w:tc>
        <w:tc>
          <w:tcPr>
            <w:tcW w:w="3420" w:type="dxa"/>
            <w:vAlign w:val="bottom"/>
            <w:tcBorders>
              <w:top w:val="single" w:sz="8" w:color="CCEEFF"/>
            </w:tcBorders>
            <w:shd w:val="clear" w:color="auto" w:fill="CCEEFF"/>
          </w:tcPr>
          <w:p>
            <w:pPr>
              <w:spacing w:after="0"/>
              <w:rPr>
                <w:sz w:val="7"/>
                <w:szCs w:val="7"/>
                <w:color w:val="auto"/>
              </w:rPr>
            </w:pPr>
          </w:p>
        </w:tc>
        <w:tc>
          <w:tcPr>
            <w:tcW w:w="300" w:type="dxa"/>
            <w:vAlign w:val="bottom"/>
            <w:tcBorders>
              <w:top w:val="single" w:sz="8" w:color="CCEEFF"/>
            </w:tcBorders>
            <w:shd w:val="clear" w:color="auto" w:fill="CCEEFF"/>
          </w:tcPr>
          <w:p>
            <w:pPr>
              <w:spacing w:after="0"/>
              <w:rPr>
                <w:sz w:val="7"/>
                <w:szCs w:val="7"/>
                <w:color w:val="auto"/>
              </w:rPr>
            </w:pPr>
          </w:p>
        </w:tc>
        <w:tc>
          <w:tcPr>
            <w:tcW w:w="920" w:type="dxa"/>
            <w:vAlign w:val="bottom"/>
            <w:tcBorders>
              <w:top w:val="single" w:sz="8" w:color="CCEEFF"/>
            </w:tcBorders>
            <w:shd w:val="clear" w:color="auto" w:fill="CCEEFF"/>
          </w:tcPr>
          <w:p>
            <w:pPr>
              <w:spacing w:after="0"/>
              <w:rPr>
                <w:sz w:val="7"/>
                <w:szCs w:val="7"/>
                <w:color w:val="auto"/>
              </w:rPr>
            </w:pPr>
          </w:p>
        </w:tc>
        <w:tc>
          <w:tcPr>
            <w:tcW w:w="520" w:type="dxa"/>
            <w:vAlign w:val="bottom"/>
            <w:tcBorders>
              <w:top w:val="single" w:sz="8" w:color="CCEEFF"/>
            </w:tcBorders>
            <w:shd w:val="clear" w:color="auto" w:fill="CCEEFF"/>
          </w:tcPr>
          <w:p>
            <w:pPr>
              <w:spacing w:after="0"/>
              <w:rPr>
                <w:sz w:val="7"/>
                <w:szCs w:val="7"/>
                <w:color w:val="auto"/>
              </w:rPr>
            </w:pPr>
          </w:p>
        </w:tc>
        <w:tc>
          <w:tcPr>
            <w:tcW w:w="680" w:type="dxa"/>
            <w:vAlign w:val="bottom"/>
            <w:tcBorders>
              <w:top w:val="single" w:sz="8" w:color="CCEEFF"/>
            </w:tcBorders>
            <w:shd w:val="clear" w:color="auto" w:fill="CCEEFF"/>
          </w:tcPr>
          <w:p>
            <w:pPr>
              <w:spacing w:after="0"/>
              <w:rPr>
                <w:sz w:val="7"/>
                <w:szCs w:val="7"/>
                <w:color w:val="auto"/>
              </w:rPr>
            </w:pPr>
          </w:p>
        </w:tc>
        <w:tc>
          <w:tcPr>
            <w:tcW w:w="220" w:type="dxa"/>
            <w:vAlign w:val="bottom"/>
            <w:tcBorders>
              <w:top w:val="single" w:sz="8" w:color="CCEEFF"/>
            </w:tcBorders>
            <w:shd w:val="clear" w:color="auto" w:fill="CCEEFF"/>
          </w:tcPr>
          <w:p>
            <w:pPr>
              <w:spacing w:after="0"/>
              <w:rPr>
                <w:sz w:val="7"/>
                <w:szCs w:val="7"/>
                <w:color w:val="auto"/>
              </w:rPr>
            </w:pPr>
          </w:p>
        </w:tc>
        <w:tc>
          <w:tcPr>
            <w:tcW w:w="280" w:type="dxa"/>
            <w:vAlign w:val="bottom"/>
            <w:tcBorders>
              <w:top w:val="single" w:sz="8" w:color="CCEEFF"/>
            </w:tcBorders>
            <w:shd w:val="clear" w:color="auto" w:fill="CCEEFF"/>
          </w:tcPr>
          <w:p>
            <w:pPr>
              <w:spacing w:after="0"/>
              <w:rPr>
                <w:sz w:val="7"/>
                <w:szCs w:val="7"/>
                <w:color w:val="auto"/>
              </w:rPr>
            </w:pPr>
          </w:p>
        </w:tc>
        <w:tc>
          <w:tcPr>
            <w:tcW w:w="840" w:type="dxa"/>
            <w:vAlign w:val="bottom"/>
            <w:tcBorders>
              <w:top w:val="single" w:sz="8" w:color="CCEEFF"/>
            </w:tcBorders>
            <w:shd w:val="clear" w:color="auto" w:fill="CCEEFF"/>
          </w:tcPr>
          <w:p>
            <w:pPr>
              <w:spacing w:after="0"/>
              <w:rPr>
                <w:sz w:val="7"/>
                <w:szCs w:val="7"/>
                <w:color w:val="auto"/>
              </w:rPr>
            </w:pPr>
          </w:p>
        </w:tc>
        <w:tc>
          <w:tcPr>
            <w:tcW w:w="440" w:type="dxa"/>
            <w:vAlign w:val="bottom"/>
            <w:tcBorders>
              <w:top w:val="single" w:sz="8" w:color="CCEEFF"/>
            </w:tcBorders>
            <w:shd w:val="clear" w:color="auto" w:fill="CCEEFF"/>
          </w:tcPr>
          <w:p>
            <w:pPr>
              <w:spacing w:after="0"/>
              <w:rPr>
                <w:sz w:val="7"/>
                <w:szCs w:val="7"/>
                <w:color w:val="auto"/>
              </w:rPr>
            </w:pPr>
          </w:p>
        </w:tc>
        <w:tc>
          <w:tcPr>
            <w:tcW w:w="68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140" w:type="dxa"/>
            <w:vAlign w:val="bottom"/>
          </w:tcPr>
          <w:p>
            <w:pPr>
              <w:ind w:left="100"/>
              <w:spacing w:after="0"/>
              <w:rPr>
                <w:sz w:val="20"/>
                <w:szCs w:val="20"/>
                <w:color w:val="auto"/>
              </w:rPr>
            </w:pPr>
            <w:r>
              <w:rPr>
                <w:rFonts w:ascii="Arial" w:cs="Arial" w:eastAsia="Arial" w:hAnsi="Arial"/>
                <w:sz w:val="14"/>
                <w:szCs w:val="14"/>
                <w:color w:val="auto"/>
              </w:rPr>
              <w:t>Commodity contracts</w:t>
            </w:r>
          </w:p>
        </w:tc>
        <w:tc>
          <w:tcPr>
            <w:tcW w:w="4360" w:type="dxa"/>
            <w:vAlign w:val="bottom"/>
            <w:gridSpan w:val="3"/>
          </w:tcPr>
          <w:p>
            <w:pPr>
              <w:ind w:left="500"/>
              <w:spacing w:after="0"/>
              <w:rPr>
                <w:sz w:val="20"/>
                <w:szCs w:val="20"/>
                <w:color w:val="auto"/>
              </w:rPr>
            </w:pPr>
            <w:r>
              <w:rPr>
                <w:rFonts w:ascii="Arial" w:cs="Arial" w:eastAsia="Arial" w:hAnsi="Arial"/>
                <w:sz w:val="14"/>
                <w:szCs w:val="14"/>
                <w:color w:val="auto"/>
              </w:rPr>
              <w:t>Short-term derivative assets, net</w:t>
            </w:r>
          </w:p>
        </w:tc>
        <w:tc>
          <w:tcPr>
            <w:tcW w:w="3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ind w:right="108"/>
              <w:spacing w:after="0"/>
              <w:rPr>
                <w:sz w:val="20"/>
                <w:szCs w:val="20"/>
                <w:color w:val="auto"/>
              </w:rPr>
            </w:pPr>
            <w:r>
              <w:rPr>
                <w:rFonts w:ascii="Arial" w:cs="Arial" w:eastAsia="Arial" w:hAnsi="Arial"/>
                <w:sz w:val="14"/>
                <w:szCs w:val="14"/>
                <w:color w:val="auto"/>
              </w:rPr>
              <w:t>111.5</w:t>
            </w:r>
          </w:p>
        </w:tc>
        <w:tc>
          <w:tcPr>
            <w:tcW w:w="520" w:type="dxa"/>
            <w:vAlign w:val="bottom"/>
            <w:vMerge w:val="restart"/>
          </w:tcPr>
          <w:p>
            <w:pPr>
              <w:jc w:val="right"/>
              <w:ind w:right="188"/>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right"/>
              <w:ind w:right="48"/>
              <w:spacing w:after="0"/>
              <w:rPr>
                <w:sz w:val="20"/>
                <w:szCs w:val="20"/>
                <w:color w:val="auto"/>
              </w:rPr>
            </w:pPr>
            <w:r>
              <w:rPr>
                <w:rFonts w:ascii="Arial" w:cs="Arial" w:eastAsia="Arial" w:hAnsi="Arial"/>
                <w:sz w:val="14"/>
                <w:szCs w:val="14"/>
                <w:color w:val="auto"/>
              </w:rPr>
              <w:t>160.3</w:t>
            </w:r>
          </w:p>
        </w:tc>
        <w:tc>
          <w:tcPr>
            <w:tcW w:w="220" w:type="dxa"/>
            <w:vAlign w:val="bottom"/>
          </w:tcPr>
          <w:p>
            <w:pPr>
              <w:spacing w:after="0"/>
              <w:rPr>
                <w:sz w:val="16"/>
                <w:szCs w:val="16"/>
                <w:color w:val="auto"/>
              </w:rPr>
            </w:pPr>
          </w:p>
        </w:tc>
        <w:tc>
          <w:tcPr>
            <w:tcW w:w="2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ind w:right="48"/>
              <w:spacing w:after="0"/>
              <w:rPr>
                <w:sz w:val="20"/>
                <w:szCs w:val="20"/>
                <w:color w:val="auto"/>
              </w:rPr>
            </w:pPr>
            <w:r>
              <w:rPr>
                <w:rFonts w:ascii="Arial" w:cs="Arial" w:eastAsia="Arial" w:hAnsi="Arial"/>
                <w:sz w:val="14"/>
                <w:szCs w:val="14"/>
                <w:color w:val="auto"/>
              </w:rPr>
              <w:t>69.8</w:t>
            </w:r>
          </w:p>
        </w:tc>
        <w:tc>
          <w:tcPr>
            <w:tcW w:w="440" w:type="dxa"/>
            <w:vAlign w:val="bottom"/>
            <w:vMerge w:val="restart"/>
          </w:tcPr>
          <w:p>
            <w:pPr>
              <w:jc w:val="center"/>
              <w:ind w:right="48"/>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right"/>
              <w:ind w:right="48"/>
              <w:spacing w:after="0"/>
              <w:rPr>
                <w:sz w:val="20"/>
                <w:szCs w:val="20"/>
                <w:color w:val="auto"/>
              </w:rPr>
            </w:pPr>
            <w:r>
              <w:rPr>
                <w:rFonts w:ascii="Arial" w:cs="Arial" w:eastAsia="Arial" w:hAnsi="Arial"/>
                <w:sz w:val="14"/>
                <w:szCs w:val="14"/>
                <w:color w:val="auto"/>
              </w:rPr>
              <w:t>86.7</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1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40" w:type="dxa"/>
            <w:vAlign w:val="bottom"/>
          </w:tcPr>
          <w:p>
            <w:pPr>
              <w:spacing w:after="0"/>
              <w:rPr>
                <w:sz w:val="6"/>
                <w:szCs w:val="6"/>
                <w:color w:val="auto"/>
              </w:rPr>
            </w:pPr>
          </w:p>
        </w:tc>
        <w:tc>
          <w:tcPr>
            <w:tcW w:w="342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4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 w:type="dxa"/>
            <w:vAlign w:val="bottom"/>
            <w:shd w:val="clear" w:color="auto" w:fill="CCEEFF"/>
          </w:tcPr>
          <w:p>
            <w:pPr>
              <w:spacing w:after="0"/>
              <w:rPr>
                <w:sz w:val="17"/>
                <w:szCs w:val="17"/>
                <w:color w:val="auto"/>
              </w:rPr>
            </w:pPr>
          </w:p>
        </w:tc>
        <w:tc>
          <w:tcPr>
            <w:tcW w:w="2140" w:type="dxa"/>
            <w:vAlign w:val="bottom"/>
            <w:shd w:val="clear" w:color="auto" w:fill="CCEEFF"/>
          </w:tcPr>
          <w:p>
            <w:pPr>
              <w:spacing w:after="0"/>
              <w:rPr>
                <w:sz w:val="17"/>
                <w:szCs w:val="17"/>
                <w:color w:val="auto"/>
              </w:rPr>
            </w:pPr>
          </w:p>
        </w:tc>
        <w:tc>
          <w:tcPr>
            <w:tcW w:w="4360" w:type="dxa"/>
            <w:vAlign w:val="bottom"/>
            <w:gridSpan w:val="3"/>
            <w:shd w:val="clear" w:color="auto" w:fill="CCEEFF"/>
          </w:tcPr>
          <w:p>
            <w:pPr>
              <w:ind w:left="500"/>
              <w:spacing w:after="0"/>
              <w:rPr>
                <w:sz w:val="20"/>
                <w:szCs w:val="20"/>
                <w:color w:val="auto"/>
              </w:rPr>
            </w:pPr>
            <w:r>
              <w:rPr>
                <w:rFonts w:ascii="Arial" w:cs="Arial" w:eastAsia="Arial" w:hAnsi="Arial"/>
                <w:sz w:val="14"/>
                <w:szCs w:val="14"/>
                <w:color w:val="auto"/>
              </w:rPr>
              <w:t>Identifiable intangible and other non-current assets</w:t>
            </w:r>
          </w:p>
        </w:tc>
        <w:tc>
          <w:tcPr>
            <w:tcW w:w="30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14.8</w:t>
            </w:r>
          </w:p>
        </w:tc>
        <w:tc>
          <w:tcPr>
            <w:tcW w:w="52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17.1</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7.0</w:t>
            </w:r>
          </w:p>
        </w:tc>
        <w:tc>
          <w:tcPr>
            <w:tcW w:w="44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80"/>
        </w:trPr>
        <w:tc>
          <w:tcPr>
            <w:tcW w:w="20" w:type="dxa"/>
            <w:vAlign w:val="bottom"/>
            <w:shd w:val="clear" w:color="auto" w:fill="CCEEFF"/>
          </w:tcPr>
          <w:p>
            <w:pPr>
              <w:spacing w:after="0"/>
              <w:rPr>
                <w:sz w:val="6"/>
                <w:szCs w:val="6"/>
                <w:color w:val="auto"/>
              </w:rPr>
            </w:pPr>
          </w:p>
        </w:tc>
        <w:tc>
          <w:tcPr>
            <w:tcW w:w="214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342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4360" w:type="dxa"/>
            <w:vAlign w:val="bottom"/>
            <w:gridSpan w:val="3"/>
          </w:tcPr>
          <w:p>
            <w:pPr>
              <w:ind w:left="500"/>
              <w:spacing w:after="0"/>
              <w:rPr>
                <w:sz w:val="20"/>
                <w:szCs w:val="20"/>
                <w:color w:val="auto"/>
              </w:rPr>
            </w:pPr>
            <w:r>
              <w:rPr>
                <w:rFonts w:ascii="Arial" w:cs="Arial" w:eastAsia="Arial" w:hAnsi="Arial"/>
                <w:sz w:val="14"/>
                <w:szCs w:val="14"/>
                <w:color w:val="auto"/>
              </w:rPr>
              <w:t>Accrued expenses and other current liabilities</w:t>
            </w:r>
          </w:p>
        </w:tc>
        <w:tc>
          <w:tcPr>
            <w:tcW w:w="300" w:type="dxa"/>
            <w:vAlign w:val="bottom"/>
          </w:tcPr>
          <w:p>
            <w:pPr>
              <w:spacing w:after="0"/>
              <w:rPr>
                <w:sz w:val="16"/>
                <w:szCs w:val="16"/>
                <w:color w:val="auto"/>
              </w:rPr>
            </w:pPr>
          </w:p>
        </w:tc>
        <w:tc>
          <w:tcPr>
            <w:tcW w:w="920" w:type="dxa"/>
            <w:vAlign w:val="bottom"/>
            <w:vMerge w:val="restart"/>
          </w:tcPr>
          <w:p>
            <w:pPr>
              <w:jc w:val="right"/>
              <w:ind w:right="108"/>
              <w:spacing w:after="0"/>
              <w:rPr>
                <w:sz w:val="20"/>
                <w:szCs w:val="20"/>
                <w:color w:val="auto"/>
              </w:rPr>
            </w:pPr>
            <w:r>
              <w:rPr>
                <w:rFonts w:ascii="Arial" w:cs="Arial" w:eastAsia="Arial" w:hAnsi="Arial"/>
                <w:sz w:val="14"/>
                <w:szCs w:val="14"/>
                <w:color w:val="auto"/>
              </w:rPr>
              <w:t>10.0</w:t>
            </w:r>
          </w:p>
        </w:tc>
        <w:tc>
          <w:tcPr>
            <w:tcW w:w="520" w:type="dxa"/>
            <w:vAlign w:val="bottom"/>
          </w:tcPr>
          <w:p>
            <w:pPr>
              <w:spacing w:after="0"/>
              <w:rPr>
                <w:sz w:val="16"/>
                <w:szCs w:val="16"/>
                <w:color w:val="auto"/>
              </w:rPr>
            </w:pPr>
          </w:p>
        </w:tc>
        <w:tc>
          <w:tcPr>
            <w:tcW w:w="680" w:type="dxa"/>
            <w:vAlign w:val="bottom"/>
            <w:vMerge w:val="restart"/>
          </w:tcPr>
          <w:p>
            <w:pPr>
              <w:jc w:val="right"/>
              <w:ind w:right="48"/>
              <w:spacing w:after="0"/>
              <w:rPr>
                <w:sz w:val="20"/>
                <w:szCs w:val="20"/>
                <w:color w:val="auto"/>
              </w:rPr>
            </w:pPr>
            <w:r>
              <w:rPr>
                <w:rFonts w:ascii="Arial" w:cs="Arial" w:eastAsia="Arial" w:hAnsi="Arial"/>
                <w:sz w:val="14"/>
                <w:szCs w:val="14"/>
                <w:color w:val="auto"/>
              </w:rPr>
              <w:t>52.5</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vMerge w:val="restart"/>
          </w:tcPr>
          <w:p>
            <w:pPr>
              <w:jc w:val="right"/>
              <w:ind w:right="48"/>
              <w:spacing w:after="0"/>
              <w:rPr>
                <w:sz w:val="20"/>
                <w:szCs w:val="20"/>
                <w:color w:val="auto"/>
              </w:rPr>
            </w:pPr>
            <w:r>
              <w:rPr>
                <w:rFonts w:ascii="Arial" w:cs="Arial" w:eastAsia="Arial" w:hAnsi="Arial"/>
                <w:sz w:val="14"/>
                <w:szCs w:val="14"/>
                <w:color w:val="auto"/>
              </w:rPr>
              <w:t>30.2</w:t>
            </w:r>
          </w:p>
        </w:tc>
        <w:tc>
          <w:tcPr>
            <w:tcW w:w="440" w:type="dxa"/>
            <w:vAlign w:val="bottom"/>
          </w:tcPr>
          <w:p>
            <w:pPr>
              <w:spacing w:after="0"/>
              <w:rPr>
                <w:sz w:val="16"/>
                <w:szCs w:val="16"/>
                <w:color w:val="auto"/>
              </w:rPr>
            </w:pPr>
          </w:p>
        </w:tc>
        <w:tc>
          <w:tcPr>
            <w:tcW w:w="680" w:type="dxa"/>
            <w:vAlign w:val="bottom"/>
            <w:vMerge w:val="restart"/>
          </w:tcPr>
          <w:p>
            <w:pPr>
              <w:jc w:val="right"/>
              <w:ind w:right="48"/>
              <w:spacing w:after="0"/>
              <w:rPr>
                <w:sz w:val="20"/>
                <w:szCs w:val="20"/>
                <w:color w:val="auto"/>
              </w:rPr>
            </w:pPr>
            <w:r>
              <w:rPr>
                <w:rFonts w:ascii="Arial" w:cs="Arial" w:eastAsia="Arial" w:hAnsi="Arial"/>
                <w:sz w:val="14"/>
                <w:szCs w:val="14"/>
                <w:color w:val="auto"/>
              </w:rPr>
              <w:t>112.2</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1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40" w:type="dxa"/>
            <w:vAlign w:val="bottom"/>
          </w:tcPr>
          <w:p>
            <w:pPr>
              <w:spacing w:after="0"/>
              <w:rPr>
                <w:sz w:val="6"/>
                <w:szCs w:val="6"/>
                <w:color w:val="auto"/>
              </w:rPr>
            </w:pPr>
          </w:p>
        </w:tc>
        <w:tc>
          <w:tcPr>
            <w:tcW w:w="3420" w:type="dxa"/>
            <w:vAlign w:val="bottom"/>
          </w:tcPr>
          <w:p>
            <w:pPr>
              <w:spacing w:after="0"/>
              <w:rPr>
                <w:sz w:val="6"/>
                <w:szCs w:val="6"/>
                <w:color w:val="auto"/>
              </w:rPr>
            </w:pPr>
          </w:p>
        </w:tc>
        <w:tc>
          <w:tcPr>
            <w:tcW w:w="30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 w:type="dxa"/>
            <w:vAlign w:val="bottom"/>
            <w:shd w:val="clear" w:color="auto" w:fill="CCEEFF"/>
          </w:tcPr>
          <w:p>
            <w:pPr>
              <w:spacing w:after="0"/>
              <w:rPr>
                <w:sz w:val="17"/>
                <w:szCs w:val="17"/>
                <w:color w:val="auto"/>
              </w:rPr>
            </w:pPr>
          </w:p>
        </w:tc>
        <w:tc>
          <w:tcPr>
            <w:tcW w:w="2140" w:type="dxa"/>
            <w:vAlign w:val="bottom"/>
            <w:shd w:val="clear" w:color="auto" w:fill="CCEEFF"/>
          </w:tcPr>
          <w:p>
            <w:pPr>
              <w:spacing w:after="0"/>
              <w:rPr>
                <w:sz w:val="17"/>
                <w:szCs w:val="17"/>
                <w:color w:val="auto"/>
              </w:rPr>
            </w:pPr>
          </w:p>
        </w:tc>
        <w:tc>
          <w:tcPr>
            <w:tcW w:w="4360" w:type="dxa"/>
            <w:vAlign w:val="bottom"/>
            <w:gridSpan w:val="3"/>
            <w:shd w:val="clear" w:color="auto" w:fill="CCEEFF"/>
          </w:tcPr>
          <w:p>
            <w:pPr>
              <w:ind w:left="500"/>
              <w:spacing w:after="0"/>
              <w:rPr>
                <w:sz w:val="20"/>
                <w:szCs w:val="20"/>
                <w:color w:val="auto"/>
              </w:rPr>
            </w:pPr>
            <w:r>
              <w:rPr>
                <w:rFonts w:ascii="Arial" w:cs="Arial" w:eastAsia="Arial" w:hAnsi="Arial"/>
                <w:sz w:val="14"/>
                <w:szCs w:val="14"/>
                <w:color w:val="auto"/>
              </w:rPr>
              <w:t>Other long-term liabilities</w:t>
            </w:r>
          </w:p>
        </w:tc>
        <w:tc>
          <w:tcPr>
            <w:tcW w:w="30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4.4</w:t>
            </w:r>
          </w:p>
        </w:tc>
        <w:tc>
          <w:tcPr>
            <w:tcW w:w="52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8.1</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7.3</w:t>
            </w:r>
          </w:p>
        </w:tc>
        <w:tc>
          <w:tcPr>
            <w:tcW w:w="44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12.1</w:t>
            </w:r>
          </w:p>
        </w:tc>
        <w:tc>
          <w:tcPr>
            <w:tcW w:w="0" w:type="dxa"/>
            <w:vAlign w:val="bottom"/>
          </w:tcPr>
          <w:p>
            <w:pPr>
              <w:spacing w:after="0"/>
              <w:rPr>
                <w:sz w:val="1"/>
                <w:szCs w:val="1"/>
                <w:color w:val="auto"/>
              </w:rPr>
            </w:pPr>
          </w:p>
        </w:tc>
      </w:tr>
      <w:tr>
        <w:trPr>
          <w:trHeight w:val="74"/>
        </w:trPr>
        <w:tc>
          <w:tcPr>
            <w:tcW w:w="20" w:type="dxa"/>
            <w:vAlign w:val="bottom"/>
            <w:tcBorders>
              <w:bottom w:val="single" w:sz="8" w:color="auto"/>
            </w:tcBorders>
            <w:shd w:val="clear" w:color="auto" w:fill="CCEEFF"/>
          </w:tcPr>
          <w:p>
            <w:pPr>
              <w:spacing w:after="0"/>
              <w:rPr>
                <w:sz w:val="6"/>
                <w:szCs w:val="6"/>
                <w:color w:val="auto"/>
              </w:rPr>
            </w:pPr>
          </w:p>
        </w:tc>
        <w:tc>
          <w:tcPr>
            <w:tcW w:w="2140" w:type="dxa"/>
            <w:vAlign w:val="bottom"/>
            <w:tcBorders>
              <w:bottom w:val="single" w:sz="8" w:color="auto"/>
            </w:tcBorders>
            <w:shd w:val="clear" w:color="auto" w:fill="CCEEFF"/>
          </w:tcPr>
          <w:p>
            <w:pPr>
              <w:spacing w:after="0"/>
              <w:rPr>
                <w:sz w:val="6"/>
                <w:szCs w:val="6"/>
                <w:color w:val="auto"/>
              </w:rPr>
            </w:pPr>
          </w:p>
        </w:tc>
        <w:tc>
          <w:tcPr>
            <w:tcW w:w="700" w:type="dxa"/>
            <w:vAlign w:val="bottom"/>
            <w:tcBorders>
              <w:bottom w:val="single" w:sz="8" w:color="auto"/>
            </w:tcBorders>
            <w:shd w:val="clear" w:color="auto" w:fill="CCEEFF"/>
          </w:tcPr>
          <w:p>
            <w:pPr>
              <w:spacing w:after="0"/>
              <w:rPr>
                <w:sz w:val="6"/>
                <w:szCs w:val="6"/>
                <w:color w:val="auto"/>
              </w:rPr>
            </w:pPr>
          </w:p>
        </w:tc>
        <w:tc>
          <w:tcPr>
            <w:tcW w:w="240" w:type="dxa"/>
            <w:vAlign w:val="bottom"/>
            <w:tcBorders>
              <w:bottom w:val="single" w:sz="8" w:color="auto"/>
            </w:tcBorders>
            <w:shd w:val="clear" w:color="auto" w:fill="CCEEFF"/>
          </w:tcPr>
          <w:p>
            <w:pPr>
              <w:spacing w:after="0"/>
              <w:rPr>
                <w:sz w:val="6"/>
                <w:szCs w:val="6"/>
                <w:color w:val="auto"/>
              </w:rPr>
            </w:pPr>
          </w:p>
        </w:tc>
        <w:tc>
          <w:tcPr>
            <w:tcW w:w="3420" w:type="dxa"/>
            <w:vAlign w:val="bottom"/>
            <w:tcBorders>
              <w:bottom w:val="single" w:sz="8" w:color="auto"/>
            </w:tcBorders>
            <w:shd w:val="clear" w:color="auto" w:fill="CCEEFF"/>
          </w:tcPr>
          <w:p>
            <w:pPr>
              <w:spacing w:after="0"/>
              <w:rPr>
                <w:sz w:val="6"/>
                <w:szCs w:val="6"/>
                <w:color w:val="auto"/>
              </w:rPr>
            </w:pPr>
          </w:p>
        </w:tc>
        <w:tc>
          <w:tcPr>
            <w:tcW w:w="300" w:type="dxa"/>
            <w:vAlign w:val="bottom"/>
            <w:tcBorders>
              <w:bottom w:val="single" w:sz="8" w:color="auto"/>
            </w:tcBorders>
            <w:shd w:val="clear" w:color="auto" w:fill="CCEEFF"/>
          </w:tcPr>
          <w:p>
            <w:pPr>
              <w:spacing w:after="0"/>
              <w:rPr>
                <w:sz w:val="6"/>
                <w:szCs w:val="6"/>
                <w:color w:val="auto"/>
              </w:rPr>
            </w:pPr>
          </w:p>
        </w:tc>
        <w:tc>
          <w:tcPr>
            <w:tcW w:w="920" w:type="dxa"/>
            <w:vAlign w:val="bottom"/>
            <w:tcBorders>
              <w:bottom w:val="single" w:sz="8" w:color="auto"/>
            </w:tcBorders>
            <w:vMerge w:val="continue"/>
            <w:shd w:val="clear" w:color="auto" w:fill="CCEEFF"/>
          </w:tcPr>
          <w:p>
            <w:pPr>
              <w:spacing w:after="0"/>
              <w:rPr>
                <w:sz w:val="6"/>
                <w:szCs w:val="6"/>
                <w:color w:val="auto"/>
              </w:rPr>
            </w:pPr>
          </w:p>
        </w:tc>
        <w:tc>
          <w:tcPr>
            <w:tcW w:w="520" w:type="dxa"/>
            <w:vAlign w:val="bottom"/>
            <w:tcBorders>
              <w:bottom w:val="single" w:sz="8" w:color="auto"/>
            </w:tcBorders>
            <w:shd w:val="clear" w:color="auto" w:fill="CCEEFF"/>
          </w:tcPr>
          <w:p>
            <w:pPr>
              <w:spacing w:after="0"/>
              <w:rPr>
                <w:sz w:val="6"/>
                <w:szCs w:val="6"/>
                <w:color w:val="auto"/>
              </w:rPr>
            </w:pPr>
          </w:p>
        </w:tc>
        <w:tc>
          <w:tcPr>
            <w:tcW w:w="680" w:type="dxa"/>
            <w:vAlign w:val="bottom"/>
            <w:tcBorders>
              <w:bottom w:val="single" w:sz="8" w:color="auto"/>
            </w:tcBorders>
            <w:vMerge w:val="continue"/>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280" w:type="dxa"/>
            <w:vAlign w:val="bottom"/>
            <w:tcBorders>
              <w:bottom w:val="single" w:sz="8" w:color="auto"/>
            </w:tcBorders>
            <w:shd w:val="clear" w:color="auto" w:fill="CCEEFF"/>
          </w:tcPr>
          <w:p>
            <w:pPr>
              <w:spacing w:after="0"/>
              <w:rPr>
                <w:sz w:val="6"/>
                <w:szCs w:val="6"/>
                <w:color w:val="auto"/>
              </w:rPr>
            </w:pPr>
          </w:p>
        </w:tc>
        <w:tc>
          <w:tcPr>
            <w:tcW w:w="840" w:type="dxa"/>
            <w:vAlign w:val="bottom"/>
            <w:tcBorders>
              <w:bottom w:val="single" w:sz="8" w:color="auto"/>
            </w:tcBorders>
            <w:vMerge w:val="continue"/>
            <w:shd w:val="clear" w:color="auto" w:fill="CCEEFF"/>
          </w:tcPr>
          <w:p>
            <w:pPr>
              <w:spacing w:after="0"/>
              <w:rPr>
                <w:sz w:val="6"/>
                <w:szCs w:val="6"/>
                <w:color w:val="auto"/>
              </w:rPr>
            </w:pPr>
          </w:p>
        </w:tc>
        <w:tc>
          <w:tcPr>
            <w:tcW w:w="440" w:type="dxa"/>
            <w:vAlign w:val="bottom"/>
            <w:tcBorders>
              <w:bottom w:val="single" w:sz="8" w:color="auto"/>
            </w:tcBorders>
            <w:shd w:val="clear" w:color="auto" w:fill="CCEEFF"/>
          </w:tcPr>
          <w:p>
            <w:pPr>
              <w:spacing w:after="0"/>
              <w:rPr>
                <w:sz w:val="6"/>
                <w:szCs w:val="6"/>
                <w:color w:val="auto"/>
              </w:rPr>
            </w:pPr>
          </w:p>
        </w:tc>
        <w:tc>
          <w:tcPr>
            <w:tcW w:w="6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2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420" w:type="dxa"/>
            <w:vAlign w:val="bottom"/>
          </w:tcPr>
          <w:p>
            <w:pPr>
              <w:spacing w:after="0"/>
              <w:rPr>
                <w:sz w:val="22"/>
                <w:szCs w:val="22"/>
                <w:color w:val="auto"/>
              </w:rPr>
            </w:pPr>
          </w:p>
        </w:tc>
        <w:tc>
          <w:tcPr>
            <w:tcW w:w="3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140.8</w:t>
            </w:r>
          </w:p>
        </w:tc>
        <w:tc>
          <w:tcPr>
            <w:tcW w:w="52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238.0</w:t>
            </w:r>
          </w:p>
        </w:tc>
        <w:tc>
          <w:tcPr>
            <w:tcW w:w="220" w:type="dxa"/>
            <w:vAlign w:val="bottom"/>
          </w:tcPr>
          <w:p>
            <w:pPr>
              <w:spacing w:after="0"/>
              <w:rPr>
                <w:sz w:val="22"/>
                <w:szCs w:val="22"/>
                <w:color w:val="auto"/>
              </w:rPr>
            </w:pPr>
          </w:p>
        </w:tc>
        <w:tc>
          <w:tcPr>
            <w:tcW w:w="2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114.2</w:t>
            </w:r>
          </w:p>
        </w:tc>
        <w:tc>
          <w:tcPr>
            <w:tcW w:w="440" w:type="dxa"/>
            <w:vAlign w:val="bottom"/>
          </w:tcPr>
          <w:p>
            <w:pPr>
              <w:jc w:val="center"/>
              <w:ind w:right="4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217.2</w:t>
            </w:r>
          </w:p>
        </w:tc>
        <w:tc>
          <w:tcPr>
            <w:tcW w:w="0" w:type="dxa"/>
            <w:vAlign w:val="bottom"/>
          </w:tcPr>
          <w:p>
            <w:pPr>
              <w:spacing w:after="0"/>
              <w:rPr>
                <w:sz w:val="1"/>
                <w:szCs w:val="1"/>
                <w:color w:val="auto"/>
              </w:rPr>
            </w:pPr>
          </w:p>
        </w:tc>
      </w:tr>
      <w:tr>
        <w:trPr>
          <w:trHeight w:val="330"/>
        </w:trPr>
        <w:tc>
          <w:tcPr>
            <w:tcW w:w="20" w:type="dxa"/>
            <w:vAlign w:val="bottom"/>
            <w:shd w:val="clear" w:color="auto" w:fill="CCEEFF"/>
          </w:tcPr>
          <w:p>
            <w:pPr>
              <w:spacing w:after="0"/>
              <w:rPr>
                <w:sz w:val="24"/>
                <w:szCs w:val="24"/>
                <w:color w:val="auto"/>
              </w:rPr>
            </w:pPr>
          </w:p>
        </w:tc>
        <w:tc>
          <w:tcPr>
            <w:tcW w:w="214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34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140" w:type="dxa"/>
            <w:vAlign w:val="bottom"/>
          </w:tcPr>
          <w:p>
            <w:pPr>
              <w:ind w:left="100"/>
              <w:spacing w:after="0"/>
              <w:rPr>
                <w:sz w:val="20"/>
                <w:szCs w:val="20"/>
                <w:color w:val="auto"/>
              </w:rPr>
            </w:pPr>
            <w:r>
              <w:rPr>
                <w:rFonts w:ascii="Arial" w:cs="Arial" w:eastAsia="Arial" w:hAnsi="Arial"/>
                <w:sz w:val="14"/>
                <w:szCs w:val="14"/>
                <w:color w:val="auto"/>
              </w:rPr>
              <w:t>Foreign currency contracts</w:t>
            </w:r>
          </w:p>
        </w:tc>
        <w:tc>
          <w:tcPr>
            <w:tcW w:w="4360" w:type="dxa"/>
            <w:vAlign w:val="bottom"/>
            <w:gridSpan w:val="3"/>
          </w:tcPr>
          <w:p>
            <w:pPr>
              <w:ind w:left="500"/>
              <w:spacing w:after="0"/>
              <w:rPr>
                <w:sz w:val="20"/>
                <w:szCs w:val="20"/>
                <w:color w:val="auto"/>
              </w:rPr>
            </w:pPr>
            <w:r>
              <w:rPr>
                <w:rFonts w:ascii="Arial" w:cs="Arial" w:eastAsia="Arial" w:hAnsi="Arial"/>
                <w:sz w:val="14"/>
                <w:szCs w:val="14"/>
                <w:color w:val="auto"/>
              </w:rPr>
              <w:t>Short-term derivative assets, net</w:t>
            </w:r>
          </w:p>
        </w:tc>
        <w:tc>
          <w:tcPr>
            <w:tcW w:w="3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ind w:right="108"/>
              <w:spacing w:after="0"/>
              <w:rPr>
                <w:sz w:val="20"/>
                <w:szCs w:val="20"/>
                <w:color w:val="auto"/>
              </w:rPr>
            </w:pPr>
            <w:r>
              <w:rPr>
                <w:rFonts w:ascii="Arial" w:cs="Arial" w:eastAsia="Arial" w:hAnsi="Arial"/>
                <w:sz w:val="14"/>
                <w:szCs w:val="14"/>
                <w:color w:val="auto"/>
              </w:rPr>
              <w:t>14.6</w:t>
            </w:r>
          </w:p>
        </w:tc>
        <w:tc>
          <w:tcPr>
            <w:tcW w:w="520" w:type="dxa"/>
            <w:vAlign w:val="bottom"/>
            <w:vMerge w:val="restart"/>
          </w:tcPr>
          <w:p>
            <w:pPr>
              <w:jc w:val="right"/>
              <w:ind w:right="188"/>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right"/>
              <w:ind w:right="48"/>
              <w:spacing w:after="0"/>
              <w:rPr>
                <w:sz w:val="20"/>
                <w:szCs w:val="20"/>
                <w:color w:val="auto"/>
              </w:rPr>
            </w:pPr>
            <w:r>
              <w:rPr>
                <w:rFonts w:ascii="Arial" w:cs="Arial" w:eastAsia="Arial" w:hAnsi="Arial"/>
                <w:sz w:val="14"/>
                <w:szCs w:val="14"/>
                <w:color w:val="auto"/>
              </w:rPr>
              <w:t>13.5</w:t>
            </w:r>
          </w:p>
        </w:tc>
        <w:tc>
          <w:tcPr>
            <w:tcW w:w="220" w:type="dxa"/>
            <w:vAlign w:val="bottom"/>
          </w:tcPr>
          <w:p>
            <w:pPr>
              <w:spacing w:after="0"/>
              <w:rPr>
                <w:sz w:val="16"/>
                <w:szCs w:val="16"/>
                <w:color w:val="auto"/>
              </w:rPr>
            </w:pPr>
          </w:p>
        </w:tc>
        <w:tc>
          <w:tcPr>
            <w:tcW w:w="2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ind w:right="48"/>
              <w:spacing w:after="0"/>
              <w:rPr>
                <w:sz w:val="20"/>
                <w:szCs w:val="20"/>
                <w:color w:val="auto"/>
              </w:rPr>
            </w:pPr>
            <w:r>
              <w:rPr>
                <w:rFonts w:ascii="Arial" w:cs="Arial" w:eastAsia="Arial" w:hAnsi="Arial"/>
                <w:sz w:val="14"/>
                <w:szCs w:val="14"/>
                <w:color w:val="auto"/>
              </w:rPr>
              <w:t>10.8</w:t>
            </w:r>
          </w:p>
        </w:tc>
        <w:tc>
          <w:tcPr>
            <w:tcW w:w="440" w:type="dxa"/>
            <w:vAlign w:val="bottom"/>
            <w:vMerge w:val="restart"/>
          </w:tcPr>
          <w:p>
            <w:pPr>
              <w:jc w:val="center"/>
              <w:ind w:right="48"/>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right"/>
              <w:ind w:right="48"/>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1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40" w:type="dxa"/>
            <w:vAlign w:val="bottom"/>
          </w:tcPr>
          <w:p>
            <w:pPr>
              <w:spacing w:after="0"/>
              <w:rPr>
                <w:sz w:val="6"/>
                <w:szCs w:val="6"/>
                <w:color w:val="auto"/>
              </w:rPr>
            </w:pPr>
          </w:p>
        </w:tc>
        <w:tc>
          <w:tcPr>
            <w:tcW w:w="342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4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 w:type="dxa"/>
            <w:vAlign w:val="bottom"/>
            <w:shd w:val="clear" w:color="auto" w:fill="CCEEFF"/>
          </w:tcPr>
          <w:p>
            <w:pPr>
              <w:spacing w:after="0"/>
              <w:rPr>
                <w:sz w:val="17"/>
                <w:szCs w:val="17"/>
                <w:color w:val="auto"/>
              </w:rPr>
            </w:pPr>
          </w:p>
        </w:tc>
        <w:tc>
          <w:tcPr>
            <w:tcW w:w="2140" w:type="dxa"/>
            <w:vAlign w:val="bottom"/>
            <w:shd w:val="clear" w:color="auto" w:fill="CCEEFF"/>
          </w:tcPr>
          <w:p>
            <w:pPr>
              <w:spacing w:after="0"/>
              <w:rPr>
                <w:sz w:val="17"/>
                <w:szCs w:val="17"/>
                <w:color w:val="auto"/>
              </w:rPr>
            </w:pPr>
          </w:p>
        </w:tc>
        <w:tc>
          <w:tcPr>
            <w:tcW w:w="4360" w:type="dxa"/>
            <w:vAlign w:val="bottom"/>
            <w:gridSpan w:val="3"/>
            <w:shd w:val="clear" w:color="auto" w:fill="CCEEFF"/>
          </w:tcPr>
          <w:p>
            <w:pPr>
              <w:ind w:left="500"/>
              <w:spacing w:after="0"/>
              <w:rPr>
                <w:sz w:val="20"/>
                <w:szCs w:val="20"/>
                <w:color w:val="auto"/>
              </w:rPr>
            </w:pPr>
            <w:r>
              <w:rPr>
                <w:rFonts w:ascii="Arial" w:cs="Arial" w:eastAsia="Arial" w:hAnsi="Arial"/>
                <w:sz w:val="14"/>
                <w:szCs w:val="14"/>
                <w:color w:val="auto"/>
              </w:rPr>
              <w:t>Identifiable intangible and other non-current assets</w:t>
            </w:r>
          </w:p>
        </w:tc>
        <w:tc>
          <w:tcPr>
            <w:tcW w:w="30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0.2</w:t>
            </w:r>
          </w:p>
        </w:tc>
        <w:tc>
          <w:tcPr>
            <w:tcW w:w="52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0.9</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80"/>
        </w:trPr>
        <w:tc>
          <w:tcPr>
            <w:tcW w:w="20" w:type="dxa"/>
            <w:vAlign w:val="bottom"/>
            <w:shd w:val="clear" w:color="auto" w:fill="CCEEFF"/>
          </w:tcPr>
          <w:p>
            <w:pPr>
              <w:spacing w:after="0"/>
              <w:rPr>
                <w:sz w:val="6"/>
                <w:szCs w:val="6"/>
                <w:color w:val="auto"/>
              </w:rPr>
            </w:pPr>
          </w:p>
        </w:tc>
        <w:tc>
          <w:tcPr>
            <w:tcW w:w="214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342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4360" w:type="dxa"/>
            <w:vAlign w:val="bottom"/>
            <w:gridSpan w:val="3"/>
          </w:tcPr>
          <w:p>
            <w:pPr>
              <w:ind w:left="500"/>
              <w:spacing w:after="0"/>
              <w:rPr>
                <w:sz w:val="20"/>
                <w:szCs w:val="20"/>
                <w:color w:val="auto"/>
              </w:rPr>
            </w:pPr>
            <w:r>
              <w:rPr>
                <w:rFonts w:ascii="Arial" w:cs="Arial" w:eastAsia="Arial" w:hAnsi="Arial"/>
                <w:sz w:val="14"/>
                <w:szCs w:val="14"/>
                <w:color w:val="auto"/>
              </w:rPr>
              <w:t>Accrued expenses and other current liabilities</w:t>
            </w:r>
          </w:p>
        </w:tc>
        <w:tc>
          <w:tcPr>
            <w:tcW w:w="300" w:type="dxa"/>
            <w:vAlign w:val="bottom"/>
          </w:tcPr>
          <w:p>
            <w:pPr>
              <w:spacing w:after="0"/>
              <w:rPr>
                <w:sz w:val="16"/>
                <w:szCs w:val="16"/>
                <w:color w:val="auto"/>
              </w:rPr>
            </w:pPr>
          </w:p>
        </w:tc>
        <w:tc>
          <w:tcPr>
            <w:tcW w:w="92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6"/>
                <w:szCs w:val="16"/>
                <w:color w:val="auto"/>
              </w:rPr>
            </w:pPr>
          </w:p>
        </w:tc>
        <w:tc>
          <w:tcPr>
            <w:tcW w:w="680" w:type="dxa"/>
            <w:vAlign w:val="bottom"/>
            <w:vMerge w:val="restart"/>
          </w:tcPr>
          <w:p>
            <w:pPr>
              <w:jc w:val="right"/>
              <w:ind w:right="48"/>
              <w:spacing w:after="0"/>
              <w:rPr>
                <w:sz w:val="20"/>
                <w:szCs w:val="20"/>
                <w:color w:val="auto"/>
              </w:rPr>
            </w:pPr>
            <w:r>
              <w:rPr>
                <w:rFonts w:ascii="Arial" w:cs="Arial" w:eastAsia="Arial" w:hAnsi="Arial"/>
                <w:sz w:val="14"/>
                <w:szCs w:val="14"/>
                <w:color w:val="auto"/>
              </w:rPr>
              <w:t>1.6</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680" w:type="dxa"/>
            <w:vAlign w:val="bottom"/>
            <w:vMerge w:val="restart"/>
          </w:tcPr>
          <w:p>
            <w:pPr>
              <w:jc w:val="right"/>
              <w:ind w:right="48"/>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1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40" w:type="dxa"/>
            <w:vAlign w:val="bottom"/>
          </w:tcPr>
          <w:p>
            <w:pPr>
              <w:spacing w:after="0"/>
              <w:rPr>
                <w:sz w:val="6"/>
                <w:szCs w:val="6"/>
                <w:color w:val="auto"/>
              </w:rPr>
            </w:pPr>
          </w:p>
        </w:tc>
        <w:tc>
          <w:tcPr>
            <w:tcW w:w="3420" w:type="dxa"/>
            <w:vAlign w:val="bottom"/>
          </w:tcPr>
          <w:p>
            <w:pPr>
              <w:spacing w:after="0"/>
              <w:rPr>
                <w:sz w:val="6"/>
                <w:szCs w:val="6"/>
                <w:color w:val="auto"/>
              </w:rPr>
            </w:pPr>
          </w:p>
        </w:tc>
        <w:tc>
          <w:tcPr>
            <w:tcW w:w="30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520" w:type="dxa"/>
            <w:vAlign w:val="bottom"/>
            <w:gridSpan w:val="5"/>
            <w:shd w:val="clear" w:color="auto" w:fill="CCEEFF"/>
          </w:tcPr>
          <w:p>
            <w:pPr>
              <w:ind w:left="20"/>
              <w:spacing w:after="0"/>
              <w:rPr>
                <w:sz w:val="20"/>
                <w:szCs w:val="20"/>
                <w:color w:val="auto"/>
              </w:rPr>
            </w:pPr>
            <w:r>
              <w:rPr>
                <w:rFonts w:ascii="Arial" w:cs="Arial" w:eastAsia="Arial" w:hAnsi="Arial"/>
                <w:sz w:val="14"/>
                <w:szCs w:val="14"/>
                <w:b w:val="1"/>
                <w:bCs w:val="1"/>
                <w:color w:val="auto"/>
              </w:rPr>
              <w:t>Total derivatives not designated as hedging instruments</w:t>
            </w:r>
          </w:p>
        </w:tc>
        <w:tc>
          <w:tcPr>
            <w:tcW w:w="3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14.8</w:t>
            </w:r>
          </w:p>
        </w:tc>
        <w:tc>
          <w:tcPr>
            <w:tcW w:w="520" w:type="dxa"/>
            <w:vAlign w:val="bottom"/>
            <w:vMerge w:val="restart"/>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6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16.0</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10.8</w:t>
            </w:r>
          </w:p>
        </w:tc>
        <w:tc>
          <w:tcPr>
            <w:tcW w:w="440" w:type="dxa"/>
            <w:vAlign w:val="bottom"/>
            <w:vMerge w:val="restart"/>
            <w:shd w:val="clear" w:color="auto" w:fill="CCEEFF"/>
          </w:tcPr>
          <w:p>
            <w:pPr>
              <w:jc w:val="center"/>
              <w:ind w:right="48"/>
              <w:spacing w:after="0"/>
              <w:rPr>
                <w:sz w:val="20"/>
                <w:szCs w:val="20"/>
                <w:color w:val="auto"/>
              </w:rPr>
            </w:pPr>
            <w:r>
              <w:rPr>
                <w:rFonts w:ascii="Arial" w:cs="Arial" w:eastAsia="Arial" w:hAnsi="Arial"/>
                <w:sz w:val="14"/>
                <w:szCs w:val="14"/>
                <w:color w:val="auto"/>
              </w:rPr>
              <w:t>$</w:t>
            </w:r>
          </w:p>
        </w:tc>
        <w:tc>
          <w:tcPr>
            <w:tcW w:w="6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74"/>
        </w:trPr>
        <w:tc>
          <w:tcPr>
            <w:tcW w:w="20" w:type="dxa"/>
            <w:vAlign w:val="bottom"/>
            <w:tcBorders>
              <w:bottom w:val="single" w:sz="8" w:color="auto"/>
            </w:tcBorders>
            <w:shd w:val="clear" w:color="auto" w:fill="CCEEFF"/>
          </w:tcPr>
          <w:p>
            <w:pPr>
              <w:spacing w:after="0"/>
              <w:rPr>
                <w:sz w:val="6"/>
                <w:szCs w:val="6"/>
                <w:color w:val="auto"/>
              </w:rPr>
            </w:pPr>
          </w:p>
        </w:tc>
        <w:tc>
          <w:tcPr>
            <w:tcW w:w="2140" w:type="dxa"/>
            <w:vAlign w:val="bottom"/>
            <w:tcBorders>
              <w:bottom w:val="single" w:sz="8" w:color="auto"/>
            </w:tcBorders>
            <w:shd w:val="clear" w:color="auto" w:fill="CCEEFF"/>
          </w:tcPr>
          <w:p>
            <w:pPr>
              <w:spacing w:after="0"/>
              <w:rPr>
                <w:sz w:val="6"/>
                <w:szCs w:val="6"/>
                <w:color w:val="auto"/>
              </w:rPr>
            </w:pPr>
          </w:p>
        </w:tc>
        <w:tc>
          <w:tcPr>
            <w:tcW w:w="700" w:type="dxa"/>
            <w:vAlign w:val="bottom"/>
            <w:tcBorders>
              <w:bottom w:val="single" w:sz="8" w:color="auto"/>
            </w:tcBorders>
            <w:shd w:val="clear" w:color="auto" w:fill="CCEEFF"/>
          </w:tcPr>
          <w:p>
            <w:pPr>
              <w:spacing w:after="0"/>
              <w:rPr>
                <w:sz w:val="6"/>
                <w:szCs w:val="6"/>
                <w:color w:val="auto"/>
              </w:rPr>
            </w:pPr>
          </w:p>
        </w:tc>
        <w:tc>
          <w:tcPr>
            <w:tcW w:w="240" w:type="dxa"/>
            <w:vAlign w:val="bottom"/>
            <w:tcBorders>
              <w:bottom w:val="single" w:sz="8" w:color="auto"/>
            </w:tcBorders>
            <w:shd w:val="clear" w:color="auto" w:fill="CCEEFF"/>
          </w:tcPr>
          <w:p>
            <w:pPr>
              <w:spacing w:after="0"/>
              <w:rPr>
                <w:sz w:val="6"/>
                <w:szCs w:val="6"/>
                <w:color w:val="auto"/>
              </w:rPr>
            </w:pPr>
          </w:p>
        </w:tc>
        <w:tc>
          <w:tcPr>
            <w:tcW w:w="3420" w:type="dxa"/>
            <w:vAlign w:val="bottom"/>
            <w:tcBorders>
              <w:bottom w:val="single" w:sz="8" w:color="auto"/>
            </w:tcBorders>
            <w:shd w:val="clear" w:color="auto" w:fill="CCEEFF"/>
          </w:tcPr>
          <w:p>
            <w:pPr>
              <w:spacing w:after="0"/>
              <w:rPr>
                <w:sz w:val="6"/>
                <w:szCs w:val="6"/>
                <w:color w:val="auto"/>
              </w:rPr>
            </w:pPr>
          </w:p>
        </w:tc>
        <w:tc>
          <w:tcPr>
            <w:tcW w:w="300" w:type="dxa"/>
            <w:vAlign w:val="bottom"/>
            <w:tcBorders>
              <w:bottom w:val="single" w:sz="8" w:color="auto"/>
            </w:tcBorders>
            <w:vMerge w:val="continue"/>
            <w:shd w:val="clear" w:color="auto" w:fill="CCEEFF"/>
          </w:tcPr>
          <w:p>
            <w:pPr>
              <w:spacing w:after="0"/>
              <w:rPr>
                <w:sz w:val="6"/>
                <w:szCs w:val="6"/>
                <w:color w:val="auto"/>
              </w:rPr>
            </w:pPr>
          </w:p>
        </w:tc>
        <w:tc>
          <w:tcPr>
            <w:tcW w:w="920" w:type="dxa"/>
            <w:vAlign w:val="bottom"/>
            <w:tcBorders>
              <w:bottom w:val="single" w:sz="8" w:color="auto"/>
            </w:tcBorders>
            <w:vMerge w:val="continue"/>
            <w:shd w:val="clear" w:color="auto" w:fill="CCEEFF"/>
          </w:tcPr>
          <w:p>
            <w:pPr>
              <w:spacing w:after="0"/>
              <w:rPr>
                <w:sz w:val="6"/>
                <w:szCs w:val="6"/>
                <w:color w:val="auto"/>
              </w:rPr>
            </w:pPr>
          </w:p>
        </w:tc>
        <w:tc>
          <w:tcPr>
            <w:tcW w:w="520" w:type="dxa"/>
            <w:vAlign w:val="bottom"/>
            <w:tcBorders>
              <w:bottom w:val="single" w:sz="8" w:color="auto"/>
            </w:tcBorders>
            <w:vMerge w:val="continue"/>
            <w:shd w:val="clear" w:color="auto" w:fill="CCEEFF"/>
          </w:tcPr>
          <w:p>
            <w:pPr>
              <w:spacing w:after="0"/>
              <w:rPr>
                <w:sz w:val="6"/>
                <w:szCs w:val="6"/>
                <w:color w:val="auto"/>
              </w:rPr>
            </w:pPr>
          </w:p>
        </w:tc>
        <w:tc>
          <w:tcPr>
            <w:tcW w:w="680" w:type="dxa"/>
            <w:vAlign w:val="bottom"/>
            <w:tcBorders>
              <w:bottom w:val="single" w:sz="8" w:color="auto"/>
            </w:tcBorders>
            <w:vMerge w:val="continue"/>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280" w:type="dxa"/>
            <w:vAlign w:val="bottom"/>
            <w:tcBorders>
              <w:bottom w:val="single" w:sz="8" w:color="auto"/>
            </w:tcBorders>
            <w:shd w:val="clear" w:color="auto" w:fill="CCEEFF"/>
          </w:tcPr>
          <w:p>
            <w:pPr>
              <w:spacing w:after="0"/>
              <w:rPr>
                <w:sz w:val="6"/>
                <w:szCs w:val="6"/>
                <w:color w:val="auto"/>
              </w:rPr>
            </w:pPr>
          </w:p>
        </w:tc>
        <w:tc>
          <w:tcPr>
            <w:tcW w:w="840" w:type="dxa"/>
            <w:vAlign w:val="bottom"/>
            <w:tcBorders>
              <w:bottom w:val="single" w:sz="8" w:color="auto"/>
            </w:tcBorders>
            <w:vMerge w:val="continue"/>
            <w:shd w:val="clear" w:color="auto" w:fill="CCEEFF"/>
          </w:tcPr>
          <w:p>
            <w:pPr>
              <w:spacing w:after="0"/>
              <w:rPr>
                <w:sz w:val="6"/>
                <w:szCs w:val="6"/>
                <w:color w:val="auto"/>
              </w:rPr>
            </w:pPr>
          </w:p>
        </w:tc>
        <w:tc>
          <w:tcPr>
            <w:tcW w:w="440" w:type="dxa"/>
            <w:vAlign w:val="bottom"/>
            <w:tcBorders>
              <w:bottom w:val="single" w:sz="8" w:color="auto"/>
            </w:tcBorders>
            <w:vMerge w:val="continue"/>
            <w:shd w:val="clear" w:color="auto" w:fill="CCEEFF"/>
          </w:tcPr>
          <w:p>
            <w:pPr>
              <w:spacing w:after="0"/>
              <w:rPr>
                <w:sz w:val="6"/>
                <w:szCs w:val="6"/>
                <w:color w:val="auto"/>
              </w:rPr>
            </w:pPr>
          </w:p>
        </w:tc>
        <w:tc>
          <w:tcPr>
            <w:tcW w:w="6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216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 derivatives</w:t>
            </w: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3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ind w:right="108"/>
              <w:spacing w:after="0"/>
              <w:rPr>
                <w:sz w:val="20"/>
                <w:szCs w:val="20"/>
                <w:color w:val="auto"/>
              </w:rPr>
            </w:pPr>
            <w:r>
              <w:rPr>
                <w:rFonts w:ascii="Arial" w:cs="Arial" w:eastAsia="Arial" w:hAnsi="Arial"/>
                <w:sz w:val="14"/>
                <w:szCs w:val="14"/>
                <w:color w:val="auto"/>
              </w:rPr>
              <w:t>191.0</w:t>
            </w:r>
          </w:p>
        </w:tc>
        <w:tc>
          <w:tcPr>
            <w:tcW w:w="520" w:type="dxa"/>
            <w:vAlign w:val="bottom"/>
            <w:vMerge w:val="restart"/>
          </w:tcPr>
          <w:p>
            <w:pPr>
              <w:jc w:val="right"/>
              <w:ind w:right="188"/>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right"/>
              <w:ind w:right="48"/>
              <w:spacing w:after="0"/>
              <w:rPr>
                <w:sz w:val="20"/>
                <w:szCs w:val="20"/>
                <w:color w:val="auto"/>
              </w:rPr>
            </w:pPr>
            <w:r>
              <w:rPr>
                <w:rFonts w:ascii="Arial" w:cs="Arial" w:eastAsia="Arial" w:hAnsi="Arial"/>
                <w:sz w:val="14"/>
                <w:szCs w:val="14"/>
                <w:color w:val="auto"/>
              </w:rPr>
              <w:t>347.2</w:t>
            </w:r>
          </w:p>
        </w:tc>
        <w:tc>
          <w:tcPr>
            <w:tcW w:w="220" w:type="dxa"/>
            <w:vAlign w:val="bottom"/>
          </w:tcPr>
          <w:p>
            <w:pPr>
              <w:spacing w:after="0"/>
              <w:rPr>
                <w:sz w:val="16"/>
                <w:szCs w:val="16"/>
                <w:color w:val="auto"/>
              </w:rPr>
            </w:pPr>
          </w:p>
        </w:tc>
        <w:tc>
          <w:tcPr>
            <w:tcW w:w="2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ind w:right="48"/>
              <w:spacing w:after="0"/>
              <w:rPr>
                <w:sz w:val="20"/>
                <w:szCs w:val="20"/>
                <w:color w:val="auto"/>
              </w:rPr>
            </w:pPr>
            <w:r>
              <w:rPr>
                <w:rFonts w:ascii="Arial" w:cs="Arial" w:eastAsia="Arial" w:hAnsi="Arial"/>
                <w:sz w:val="14"/>
                <w:szCs w:val="14"/>
                <w:color w:val="auto"/>
              </w:rPr>
              <w:t>155.8</w:t>
            </w:r>
          </w:p>
        </w:tc>
        <w:tc>
          <w:tcPr>
            <w:tcW w:w="440" w:type="dxa"/>
            <w:vAlign w:val="bottom"/>
            <w:vMerge w:val="restart"/>
          </w:tcPr>
          <w:p>
            <w:pPr>
              <w:jc w:val="center"/>
              <w:ind w:right="48"/>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right"/>
              <w:ind w:right="48"/>
              <w:spacing w:after="0"/>
              <w:rPr>
                <w:sz w:val="20"/>
                <w:szCs w:val="20"/>
                <w:color w:val="auto"/>
              </w:rPr>
            </w:pPr>
            <w:r>
              <w:rPr>
                <w:rFonts w:ascii="Arial" w:cs="Arial" w:eastAsia="Arial" w:hAnsi="Arial"/>
                <w:sz w:val="14"/>
                <w:szCs w:val="14"/>
                <w:color w:val="auto"/>
              </w:rPr>
              <w:t>332.5</w:t>
            </w:r>
          </w:p>
        </w:tc>
        <w:tc>
          <w:tcPr>
            <w:tcW w:w="0" w:type="dxa"/>
            <w:vAlign w:val="bottom"/>
          </w:tcPr>
          <w:p>
            <w:pPr>
              <w:spacing w:after="0"/>
              <w:rPr>
                <w:sz w:val="1"/>
                <w:szCs w:val="1"/>
                <w:color w:val="auto"/>
              </w:rPr>
            </w:pPr>
          </w:p>
        </w:tc>
      </w:tr>
      <w:tr>
        <w:trPr>
          <w:trHeight w:val="74"/>
        </w:trPr>
        <w:tc>
          <w:tcPr>
            <w:tcW w:w="20" w:type="dxa"/>
            <w:vAlign w:val="bottom"/>
            <w:tcBorders>
              <w:bottom w:val="single" w:sz="8" w:color="auto"/>
            </w:tcBorders>
          </w:tcPr>
          <w:p>
            <w:pPr>
              <w:spacing w:after="0"/>
              <w:rPr>
                <w:sz w:val="6"/>
                <w:szCs w:val="6"/>
                <w:color w:val="auto"/>
              </w:rPr>
            </w:pPr>
          </w:p>
        </w:tc>
        <w:tc>
          <w:tcPr>
            <w:tcW w:w="214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342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vMerge w:val="continue"/>
          </w:tcPr>
          <w:p>
            <w:pPr>
              <w:spacing w:after="0"/>
              <w:rPr>
                <w:sz w:val="6"/>
                <w:szCs w:val="6"/>
                <w:color w:val="auto"/>
              </w:rPr>
            </w:pPr>
          </w:p>
        </w:tc>
        <w:tc>
          <w:tcPr>
            <w:tcW w:w="920" w:type="dxa"/>
            <w:vAlign w:val="bottom"/>
            <w:tcBorders>
              <w:bottom w:val="single" w:sz="8" w:color="auto"/>
            </w:tcBorders>
            <w:vMerge w:val="continue"/>
          </w:tcPr>
          <w:p>
            <w:pPr>
              <w:spacing w:after="0"/>
              <w:rPr>
                <w:sz w:val="6"/>
                <w:szCs w:val="6"/>
                <w:color w:val="auto"/>
              </w:rPr>
            </w:pPr>
          </w:p>
        </w:tc>
        <w:tc>
          <w:tcPr>
            <w:tcW w:w="520" w:type="dxa"/>
            <w:vAlign w:val="bottom"/>
            <w:tcBorders>
              <w:bottom w:val="single" w:sz="8" w:color="auto"/>
            </w:tcBorders>
            <w:vMerge w:val="continue"/>
          </w:tcPr>
          <w:p>
            <w:pPr>
              <w:spacing w:after="0"/>
              <w:rPr>
                <w:sz w:val="6"/>
                <w:szCs w:val="6"/>
                <w:color w:val="auto"/>
              </w:rPr>
            </w:pPr>
          </w:p>
        </w:tc>
        <w:tc>
          <w:tcPr>
            <w:tcW w:w="680" w:type="dxa"/>
            <w:vAlign w:val="bottom"/>
            <w:tcBorders>
              <w:bottom w:val="single" w:sz="8" w:color="auto"/>
            </w:tcBorders>
            <w:vMerge w:val="continue"/>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vMerge w:val="continue"/>
          </w:tcPr>
          <w:p>
            <w:pPr>
              <w:spacing w:after="0"/>
              <w:rPr>
                <w:sz w:val="6"/>
                <w:szCs w:val="6"/>
                <w:color w:val="auto"/>
              </w:rPr>
            </w:pPr>
          </w:p>
        </w:tc>
        <w:tc>
          <w:tcPr>
            <w:tcW w:w="840" w:type="dxa"/>
            <w:vAlign w:val="bottom"/>
            <w:tcBorders>
              <w:bottom w:val="single" w:sz="8" w:color="auto"/>
            </w:tcBorders>
            <w:vMerge w:val="continue"/>
          </w:tcPr>
          <w:p>
            <w:pPr>
              <w:spacing w:after="0"/>
              <w:rPr>
                <w:sz w:val="6"/>
                <w:szCs w:val="6"/>
                <w:color w:val="auto"/>
              </w:rPr>
            </w:pPr>
          </w:p>
        </w:tc>
        <w:tc>
          <w:tcPr>
            <w:tcW w:w="440" w:type="dxa"/>
            <w:vAlign w:val="bottom"/>
            <w:tcBorders>
              <w:bottom w:val="single" w:sz="8" w:color="auto"/>
            </w:tcBorders>
            <w:vMerge w:val="continue"/>
          </w:tcPr>
          <w:p>
            <w:pPr>
              <w:spacing w:after="0"/>
              <w:rPr>
                <w:sz w:val="6"/>
                <w:szCs w:val="6"/>
                <w:color w:val="auto"/>
              </w:rPr>
            </w:pPr>
          </w:p>
        </w:tc>
        <w:tc>
          <w:tcPr>
            <w:tcW w:w="6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4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information regarding our derivative instruments measured at fair value after netting and collateral see Note 4.</w:t>
      </w:r>
    </w:p>
    <w:p>
      <w:pPr>
        <w:spacing w:after="0" w:line="22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table summarizes the gross notional values of our commodity and foreign currency exchange derivative contracts used for risk management purposes that were outstanding as of March 31, 2017 (in millions):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b w:val="1"/>
                <w:bCs w:val="1"/>
                <w:color w:val="auto"/>
              </w:rPr>
              <w:t>As of March 31,</w:t>
            </w:r>
          </w:p>
        </w:tc>
        <w:tc>
          <w:tcPr>
            <w:tcW w:w="0" w:type="dxa"/>
            <w:vAlign w:val="bottom"/>
          </w:tcPr>
          <w:p>
            <w:pPr>
              <w:spacing w:after="0"/>
              <w:rPr>
                <w:sz w:val="1"/>
                <w:szCs w:val="1"/>
                <w:color w:val="auto"/>
              </w:rPr>
            </w:pPr>
          </w:p>
        </w:tc>
      </w:tr>
      <w:tr>
        <w:trPr>
          <w:trHeight w:val="80"/>
        </w:trPr>
        <w:tc>
          <w:tcPr>
            <w:tcW w:w="9480" w:type="dxa"/>
            <w:vAlign w:val="bottom"/>
            <w:vMerge w:val="restart"/>
          </w:tcPr>
          <w:p>
            <w:pPr>
              <w:ind w:left="40"/>
              <w:spacing w:after="0"/>
              <w:rPr>
                <w:sz w:val="20"/>
                <w:szCs w:val="20"/>
                <w:color w:val="auto"/>
              </w:rPr>
            </w:pPr>
            <w:r>
              <w:rPr>
                <w:rFonts w:ascii="Arial" w:cs="Arial" w:eastAsia="Arial" w:hAnsi="Arial"/>
                <w:sz w:val="14"/>
                <w:szCs w:val="14"/>
                <w:b w:val="1"/>
                <w:bCs w:val="1"/>
                <w:color w:val="333333"/>
              </w:rPr>
              <w:t>Derivative Instruments</w:t>
            </w:r>
          </w:p>
        </w:tc>
        <w:tc>
          <w:tcPr>
            <w:tcW w:w="60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9480" w:type="dxa"/>
            <w:vAlign w:val="bottom"/>
            <w:vMerge w:val="continue"/>
          </w:tcPr>
          <w:p>
            <w:pPr>
              <w:spacing w:after="0"/>
              <w:rPr>
                <w:sz w:val="16"/>
                <w:szCs w:val="16"/>
                <w:color w:val="auto"/>
              </w:rPr>
            </w:pPr>
          </w:p>
        </w:tc>
        <w:tc>
          <w:tcPr>
            <w:tcW w:w="600" w:type="dxa"/>
            <w:vAlign w:val="bottom"/>
          </w:tcPr>
          <w:p>
            <w:pPr>
              <w:ind w:left="40"/>
              <w:spacing w:after="0"/>
              <w:rPr>
                <w:sz w:val="20"/>
                <w:szCs w:val="20"/>
                <w:color w:val="auto"/>
              </w:rPr>
            </w:pPr>
            <w:r>
              <w:rPr>
                <w:rFonts w:ascii="Arial" w:cs="Arial" w:eastAsia="Arial" w:hAnsi="Arial"/>
                <w:sz w:val="14"/>
                <w:szCs w:val="14"/>
                <w:b w:val="1"/>
                <w:bCs w:val="1"/>
                <w:color w:val="333333"/>
              </w:rPr>
              <w:t>Units</w:t>
            </w:r>
          </w:p>
        </w:tc>
        <w:tc>
          <w:tcPr>
            <w:tcW w:w="134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74"/>
        </w:trPr>
        <w:tc>
          <w:tcPr>
            <w:tcW w:w="948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94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Commodity contracts</w:t>
            </w:r>
          </w:p>
        </w:tc>
        <w:tc>
          <w:tcPr>
            <w:tcW w:w="6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948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13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64"/>
        </w:trPr>
        <w:tc>
          <w:tcPr>
            <w:tcW w:w="9480" w:type="dxa"/>
            <w:vAlign w:val="bottom"/>
          </w:tcPr>
          <w:p>
            <w:pPr>
              <w:ind w:left="40"/>
              <w:spacing w:after="0"/>
              <w:rPr>
                <w:sz w:val="20"/>
                <w:szCs w:val="20"/>
                <w:color w:val="auto"/>
              </w:rPr>
            </w:pPr>
            <w:r>
              <w:rPr>
                <w:rFonts w:ascii="Arial" w:cs="Arial" w:eastAsia="Arial" w:hAnsi="Arial"/>
                <w:sz w:val="14"/>
                <w:szCs w:val="14"/>
                <w:color w:val="auto"/>
              </w:rPr>
              <w:t>Long</w:t>
            </w:r>
          </w:p>
        </w:tc>
        <w:tc>
          <w:tcPr>
            <w:tcW w:w="600" w:type="dxa"/>
            <w:vAlign w:val="bottom"/>
          </w:tcPr>
          <w:p>
            <w:pPr>
              <w:ind w:left="40"/>
              <w:spacing w:after="0"/>
              <w:rPr>
                <w:sz w:val="20"/>
                <w:szCs w:val="20"/>
                <w:color w:val="auto"/>
              </w:rPr>
            </w:pPr>
            <w:r>
              <w:rPr>
                <w:rFonts w:ascii="Arial" w:cs="Arial" w:eastAsia="Arial" w:hAnsi="Arial"/>
                <w:sz w:val="14"/>
                <w:szCs w:val="14"/>
                <w:color w:val="auto"/>
              </w:rPr>
              <w:t>BBL</w:t>
            </w: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57.0</w:t>
            </w:r>
          </w:p>
        </w:tc>
        <w:tc>
          <w:tcPr>
            <w:tcW w:w="0" w:type="dxa"/>
            <w:vAlign w:val="bottom"/>
          </w:tcPr>
          <w:p>
            <w:pPr>
              <w:spacing w:after="0"/>
              <w:rPr>
                <w:sz w:val="1"/>
                <w:szCs w:val="1"/>
                <w:color w:val="auto"/>
              </w:rPr>
            </w:pPr>
          </w:p>
        </w:tc>
      </w:tr>
      <w:tr>
        <w:trPr>
          <w:trHeight w:val="276"/>
        </w:trPr>
        <w:tc>
          <w:tcPr>
            <w:tcW w:w="948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Short</w:t>
            </w:r>
          </w:p>
        </w:tc>
        <w:tc>
          <w:tcPr>
            <w:tcW w:w="600" w:type="dxa"/>
            <w:vAlign w:val="bottom"/>
            <w:shd w:val="clear" w:color="auto" w:fill="CCEEFF"/>
          </w:tcPr>
          <w:p>
            <w:pPr>
              <w:ind w:left="40"/>
              <w:spacing w:after="0"/>
              <w:rPr>
                <w:sz w:val="20"/>
                <w:szCs w:val="20"/>
                <w:color w:val="auto"/>
              </w:rPr>
            </w:pPr>
            <w:r>
              <w:rPr>
                <w:rFonts w:ascii="Arial" w:cs="Arial" w:eastAsia="Arial" w:hAnsi="Arial"/>
                <w:sz w:val="14"/>
                <w:szCs w:val="14"/>
                <w:color w:val="auto"/>
              </w:rPr>
              <w:t>BBL</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(60.9)</w:t>
            </w:r>
          </w:p>
        </w:tc>
        <w:tc>
          <w:tcPr>
            <w:tcW w:w="0" w:type="dxa"/>
            <w:vAlign w:val="bottom"/>
          </w:tcPr>
          <w:p>
            <w:pPr>
              <w:spacing w:after="0"/>
              <w:rPr>
                <w:sz w:val="1"/>
                <w:szCs w:val="1"/>
                <w:color w:val="auto"/>
              </w:rPr>
            </w:pPr>
          </w:p>
        </w:tc>
      </w:tr>
      <w:tr>
        <w:trPr>
          <w:trHeight w:val="284"/>
        </w:trPr>
        <w:tc>
          <w:tcPr>
            <w:tcW w:w="9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94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Foreign currency exchange contracts</w:t>
            </w:r>
          </w:p>
        </w:tc>
        <w:tc>
          <w:tcPr>
            <w:tcW w:w="6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948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13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64"/>
        </w:trPr>
        <w:tc>
          <w:tcPr>
            <w:tcW w:w="9480" w:type="dxa"/>
            <w:vAlign w:val="bottom"/>
          </w:tcPr>
          <w:p>
            <w:pPr>
              <w:ind w:left="40"/>
              <w:spacing w:after="0"/>
              <w:rPr>
                <w:sz w:val="20"/>
                <w:szCs w:val="20"/>
                <w:color w:val="auto"/>
              </w:rPr>
            </w:pPr>
            <w:r>
              <w:rPr>
                <w:rFonts w:ascii="Arial" w:cs="Arial" w:eastAsia="Arial" w:hAnsi="Arial"/>
                <w:sz w:val="14"/>
                <w:szCs w:val="14"/>
                <w:color w:val="auto"/>
              </w:rPr>
              <w:t>Sell U.S. dollar, buy other currencies</w:t>
            </w:r>
          </w:p>
        </w:tc>
        <w:tc>
          <w:tcPr>
            <w:tcW w:w="600" w:type="dxa"/>
            <w:vAlign w:val="bottom"/>
          </w:tcPr>
          <w:p>
            <w:pPr>
              <w:ind w:left="40"/>
              <w:spacing w:after="0"/>
              <w:rPr>
                <w:sz w:val="20"/>
                <w:szCs w:val="20"/>
                <w:color w:val="auto"/>
              </w:rPr>
            </w:pPr>
            <w:r>
              <w:rPr>
                <w:rFonts w:ascii="Arial" w:cs="Arial" w:eastAsia="Arial" w:hAnsi="Arial"/>
                <w:sz w:val="14"/>
                <w:szCs w:val="14"/>
                <w:color w:val="auto"/>
              </w:rPr>
              <w:t>USD</w:t>
            </w:r>
          </w:p>
        </w:tc>
        <w:tc>
          <w:tcPr>
            <w:tcW w:w="1340" w:type="dxa"/>
            <w:vAlign w:val="bottom"/>
          </w:tcPr>
          <w:p>
            <w:pPr>
              <w:jc w:val="right"/>
              <w:spacing w:after="0"/>
              <w:rPr>
                <w:sz w:val="20"/>
                <w:szCs w:val="20"/>
                <w:color w:val="auto"/>
              </w:rPr>
            </w:pPr>
            <w:r>
              <w:rPr>
                <w:rFonts w:ascii="Arial" w:cs="Arial" w:eastAsia="Arial" w:hAnsi="Arial"/>
                <w:sz w:val="14"/>
                <w:szCs w:val="14"/>
                <w:color w:val="auto"/>
              </w:rPr>
              <w:t>(280.6)</w:t>
            </w:r>
          </w:p>
        </w:tc>
        <w:tc>
          <w:tcPr>
            <w:tcW w:w="0" w:type="dxa"/>
            <w:vAlign w:val="bottom"/>
          </w:tcPr>
          <w:p>
            <w:pPr>
              <w:spacing w:after="0"/>
              <w:rPr>
                <w:sz w:val="1"/>
                <w:szCs w:val="1"/>
                <w:color w:val="auto"/>
              </w:rPr>
            </w:pPr>
          </w:p>
        </w:tc>
      </w:tr>
      <w:tr>
        <w:trPr>
          <w:trHeight w:val="270"/>
        </w:trPr>
        <w:tc>
          <w:tcPr>
            <w:tcW w:w="94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Buy U.S. dollar, sell other currencies</w:t>
            </w:r>
          </w:p>
        </w:tc>
        <w:tc>
          <w:tcPr>
            <w:tcW w:w="6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USD</w:t>
            </w:r>
          </w:p>
        </w:tc>
        <w:tc>
          <w:tcPr>
            <w:tcW w:w="13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414.0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table presents the effect and financial statement location of our derivative instruments and related hedged items in fair value hedging relationships on our consolidated statements of income and comprehensive income (in millions):</w:t>
      </w:r>
    </w:p>
    <w:p>
      <w:pPr>
        <w:sectPr>
          <w:pgSz w:w="11900" w:h="16838" w:orient="portrait"/>
          <w:cols w:equalWidth="0" w:num="1">
            <w:col w:w="11420"/>
          </w:cols>
          <w:pgMar w:left="240" w:top="125" w:right="239" w:bottom="1440" w:gutter="0" w:footer="0" w:header="0"/>
        </w:sectPr>
      </w:pPr>
    </w:p>
    <w:p>
      <w:pPr>
        <w:spacing w:after="0" w:line="324" w:lineRule="exact"/>
        <w:rPr>
          <w:sz w:val="20"/>
          <w:szCs w:val="20"/>
          <w:color w:val="auto"/>
        </w:rPr>
      </w:pPr>
    </w:p>
    <w:p>
      <w:pPr>
        <w:jc w:val="right"/>
        <w:ind w:right="120"/>
        <w:spacing w:after="0"/>
        <w:rPr>
          <w:sz w:val="20"/>
          <w:szCs w:val="20"/>
          <w:color w:val="auto"/>
        </w:rPr>
      </w:pPr>
      <w:r>
        <w:rPr>
          <w:rFonts w:ascii="Arial" w:cs="Arial" w:eastAsia="Arial" w:hAnsi="Arial"/>
          <w:sz w:val="14"/>
          <w:szCs w:val="14"/>
          <w:b w:val="1"/>
          <w:bCs w:val="1"/>
          <w:color w:val="auto"/>
        </w:rPr>
        <w:t>Realized and Unrealized</w:t>
      </w:r>
    </w:p>
    <w:p>
      <w:pPr>
        <w:spacing w:after="0" w:line="4" w:lineRule="exact"/>
        <w:rPr>
          <w:sz w:val="20"/>
          <w:szCs w:val="20"/>
          <w:color w:val="auto"/>
        </w:rPr>
      </w:pPr>
    </w:p>
    <w:p>
      <w:pPr>
        <w:jc w:val="right"/>
        <w:ind w:right="120"/>
        <w:spacing w:after="0"/>
        <w:rPr>
          <w:sz w:val="20"/>
          <w:szCs w:val="20"/>
          <w:color w:val="auto"/>
        </w:rPr>
      </w:pPr>
      <w:r>
        <w:rPr>
          <w:rFonts w:ascii="Arial" w:cs="Arial" w:eastAsia="Arial" w:hAnsi="Arial"/>
          <w:sz w:val="14"/>
          <w:szCs w:val="14"/>
          <w:b w:val="1"/>
          <w:bCs w:val="1"/>
          <w:color w:val="auto"/>
        </w:rPr>
        <w:t>Gain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2432050</wp:posOffset>
            </wp:positionH>
            <wp:positionV relativeFrom="paragraph">
              <wp:posOffset>13335</wp:posOffset>
            </wp:positionV>
            <wp:extent cx="123507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19" w:lineRule="exact"/>
        <w:rPr>
          <w:sz w:val="20"/>
          <w:szCs w:val="20"/>
          <w:color w:val="auto"/>
        </w:rPr>
      </w:pPr>
    </w:p>
    <w:p>
      <w:pPr>
        <w:jc w:val="right"/>
        <w:ind w:right="12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right"/>
        <w:ind w:right="12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100" w:type="dxa"/>
        <w:tblCellMar>
          <w:top w:w="0" w:type="dxa"/>
          <w:left w:w="0" w:type="dxa"/>
          <w:bottom w:w="0" w:type="dxa"/>
          <w:right w:w="0" w:type="dxa"/>
        </w:tblCellMar>
      </w:tblPr>
      <w:tr>
        <w:trPr>
          <w:trHeight w:val="145"/>
        </w:trPr>
        <w:tc>
          <w:tcPr>
            <w:tcW w:w="1860" w:type="dxa"/>
            <w:vAlign w:val="bottom"/>
          </w:tcPr>
          <w:p>
            <w:pPr>
              <w:ind w:left="20"/>
              <w:spacing w:after="0" w:line="145" w:lineRule="exact"/>
              <w:rPr>
                <w:sz w:val="20"/>
                <w:szCs w:val="20"/>
                <w:color w:val="auto"/>
              </w:rPr>
            </w:pPr>
            <w:r>
              <w:rPr>
                <w:rFonts w:ascii="Arial" w:cs="Arial" w:eastAsia="Arial" w:hAnsi="Arial"/>
                <w:sz w:val="14"/>
                <w:szCs w:val="14"/>
                <w:b w:val="1"/>
                <w:bCs w:val="1"/>
                <w:color w:val="auto"/>
              </w:rPr>
              <w:t>Derivative Instruments</w:t>
            </w:r>
          </w:p>
        </w:tc>
        <w:tc>
          <w:tcPr>
            <w:tcW w:w="1880" w:type="dxa"/>
            <w:vAlign w:val="bottom"/>
          </w:tcPr>
          <w:p>
            <w:pPr>
              <w:ind w:left="420"/>
              <w:spacing w:after="0" w:line="145" w:lineRule="exact"/>
              <w:rPr>
                <w:sz w:val="20"/>
                <w:szCs w:val="20"/>
                <w:color w:val="auto"/>
              </w:rPr>
            </w:pPr>
            <w:r>
              <w:rPr>
                <w:rFonts w:ascii="Arial" w:cs="Arial" w:eastAsia="Arial" w:hAnsi="Arial"/>
                <w:sz w:val="14"/>
                <w:szCs w:val="14"/>
                <w:b w:val="1"/>
                <w:bCs w:val="1"/>
                <w:color w:val="auto"/>
              </w:rPr>
              <w:t>Location of</w:t>
            </w:r>
          </w:p>
        </w:tc>
        <w:tc>
          <w:tcPr>
            <w:tcW w:w="3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vMerge w:val="restart"/>
          </w:tcPr>
          <w:p>
            <w:pPr>
              <w:jc w:val="right"/>
              <w:ind w:right="68"/>
              <w:spacing w:after="0"/>
              <w:rPr>
                <w:sz w:val="20"/>
                <w:szCs w:val="20"/>
                <w:color w:val="auto"/>
              </w:rPr>
            </w:pPr>
            <w:r>
              <w:rPr>
                <w:rFonts w:ascii="Arial" w:cs="Arial" w:eastAsia="Arial" w:hAnsi="Arial"/>
                <w:sz w:val="14"/>
                <w:szCs w:val="14"/>
                <w:b w:val="1"/>
                <w:bCs w:val="1"/>
                <w:color w:val="auto"/>
              </w:rPr>
              <w:t>2017</w:t>
            </w:r>
          </w:p>
        </w:tc>
        <w:tc>
          <w:tcPr>
            <w:tcW w:w="4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92"/>
        </w:trPr>
        <w:tc>
          <w:tcPr>
            <w:tcW w:w="18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Gain (Loss)</w:t>
            </w:r>
          </w:p>
        </w:tc>
        <w:tc>
          <w:tcPr>
            <w:tcW w:w="3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860" w:type="dxa"/>
            <w:vAlign w:val="bottom"/>
          </w:tcPr>
          <w:p>
            <w:pPr>
              <w:ind w:left="20"/>
              <w:spacing w:after="0"/>
              <w:rPr>
                <w:sz w:val="20"/>
                <w:szCs w:val="20"/>
                <w:color w:val="auto"/>
              </w:rPr>
            </w:pPr>
            <w:r>
              <w:rPr>
                <w:rFonts w:ascii="Arial" w:cs="Arial" w:eastAsia="Arial" w:hAnsi="Arial"/>
                <w:sz w:val="14"/>
                <w:szCs w:val="14"/>
                <w:color w:val="auto"/>
              </w:rPr>
              <w:t>Commodity contracts</w:t>
            </w:r>
          </w:p>
        </w:tc>
        <w:tc>
          <w:tcPr>
            <w:tcW w:w="1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1860" w:type="dxa"/>
            <w:vAlign w:val="bottom"/>
          </w:tcPr>
          <w:p>
            <w:pPr>
              <w:spacing w:after="0"/>
              <w:rPr>
                <w:sz w:val="23"/>
                <w:szCs w:val="23"/>
                <w:color w:val="auto"/>
              </w:rPr>
            </w:pPr>
          </w:p>
        </w:tc>
        <w:tc>
          <w:tcPr>
            <w:tcW w:w="1880" w:type="dxa"/>
            <w:vAlign w:val="bottom"/>
          </w:tcPr>
          <w:p>
            <w:pPr>
              <w:ind w:left="420"/>
              <w:spacing w:after="0"/>
              <w:rPr>
                <w:sz w:val="20"/>
                <w:szCs w:val="20"/>
                <w:color w:val="auto"/>
              </w:rPr>
            </w:pPr>
            <w:r>
              <w:rPr>
                <w:rFonts w:ascii="Arial" w:cs="Arial" w:eastAsia="Arial" w:hAnsi="Arial"/>
                <w:sz w:val="14"/>
                <w:szCs w:val="14"/>
                <w:color w:val="auto"/>
              </w:rPr>
              <w:t>Revenue</w:t>
            </w:r>
          </w:p>
        </w:tc>
        <w:tc>
          <w:tcPr>
            <w:tcW w:w="3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52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460" w:type="dxa"/>
            <w:vAlign w:val="bottom"/>
            <w:vMerge w:val="restart"/>
          </w:tcPr>
          <w:p>
            <w:pPr>
              <w:jc w:val="right"/>
              <w:ind w:right="188"/>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ind w:right="48"/>
              <w:spacing w:after="0"/>
              <w:rPr>
                <w:sz w:val="20"/>
                <w:szCs w:val="20"/>
                <w:color w:val="auto"/>
              </w:rPr>
            </w:pPr>
            <w:r>
              <w:rPr>
                <w:rFonts w:ascii="Arial" w:cs="Arial" w:eastAsia="Arial" w:hAnsi="Arial"/>
                <w:sz w:val="14"/>
                <w:szCs w:val="14"/>
                <w:color w:val="auto"/>
              </w:rPr>
              <w:t>86.3</w:t>
            </w:r>
          </w:p>
        </w:tc>
        <w:tc>
          <w:tcPr>
            <w:tcW w:w="0" w:type="dxa"/>
            <w:vAlign w:val="bottom"/>
          </w:tcPr>
          <w:p>
            <w:pPr>
              <w:spacing w:after="0"/>
              <w:rPr>
                <w:sz w:val="1"/>
                <w:szCs w:val="1"/>
                <w:color w:val="auto"/>
              </w:rPr>
            </w:pPr>
          </w:p>
        </w:tc>
      </w:tr>
      <w:tr>
        <w:trPr>
          <w:trHeight w:val="68"/>
        </w:trPr>
        <w:tc>
          <w:tcPr>
            <w:tcW w:w="1860" w:type="dxa"/>
            <w:vAlign w:val="bottom"/>
          </w:tcPr>
          <w:p>
            <w:pPr>
              <w:spacing w:after="0"/>
              <w:rPr>
                <w:sz w:val="5"/>
                <w:szCs w:val="5"/>
                <w:color w:val="auto"/>
              </w:rPr>
            </w:pPr>
          </w:p>
        </w:tc>
        <w:tc>
          <w:tcPr>
            <w:tcW w:w="188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46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1860" w:type="dxa"/>
            <w:vAlign w:val="bottom"/>
          </w:tcPr>
          <w:p>
            <w:pPr>
              <w:spacing w:after="0"/>
              <w:rPr>
                <w:sz w:val="17"/>
                <w:szCs w:val="17"/>
                <w:color w:val="auto"/>
              </w:rPr>
            </w:pPr>
          </w:p>
        </w:tc>
        <w:tc>
          <w:tcPr>
            <w:tcW w:w="1880" w:type="dxa"/>
            <w:vAlign w:val="bottom"/>
          </w:tcPr>
          <w:p>
            <w:pPr>
              <w:ind w:left="420"/>
              <w:spacing w:after="0"/>
              <w:rPr>
                <w:sz w:val="20"/>
                <w:szCs w:val="20"/>
                <w:color w:val="auto"/>
              </w:rPr>
            </w:pPr>
            <w:r>
              <w:rPr>
                <w:rFonts w:ascii="Arial" w:cs="Arial" w:eastAsia="Arial" w:hAnsi="Arial"/>
                <w:sz w:val="14"/>
                <w:szCs w:val="14"/>
                <w:color w:val="auto"/>
              </w:rPr>
              <w:t>Cost of revenue</w:t>
            </w:r>
          </w:p>
        </w:tc>
        <w:tc>
          <w:tcPr>
            <w:tcW w:w="300" w:type="dxa"/>
            <w:vAlign w:val="bottom"/>
          </w:tcPr>
          <w:p>
            <w:pPr>
              <w:spacing w:after="0"/>
              <w:rPr>
                <w:sz w:val="17"/>
                <w:szCs w:val="17"/>
                <w:color w:val="auto"/>
              </w:rPr>
            </w:pPr>
          </w:p>
        </w:tc>
        <w:tc>
          <w:tcPr>
            <w:tcW w:w="520" w:type="dxa"/>
            <w:vAlign w:val="bottom"/>
            <w:vMerge w:val="restart"/>
          </w:tcPr>
          <w:p>
            <w:pPr>
              <w:jc w:val="right"/>
              <w:ind w:right="68"/>
              <w:spacing w:after="0"/>
              <w:rPr>
                <w:sz w:val="20"/>
                <w:szCs w:val="20"/>
                <w:color w:val="auto"/>
              </w:rPr>
            </w:pPr>
            <w:r>
              <w:rPr>
                <w:rFonts w:ascii="Arial" w:cs="Arial" w:eastAsia="Arial" w:hAnsi="Arial"/>
                <w:sz w:val="14"/>
                <w:szCs w:val="14"/>
                <w:color w:val="auto"/>
              </w:rPr>
              <w:t>5.3</w:t>
            </w:r>
          </w:p>
        </w:tc>
        <w:tc>
          <w:tcPr>
            <w:tcW w:w="460" w:type="dxa"/>
            <w:vAlign w:val="bottom"/>
          </w:tcPr>
          <w:p>
            <w:pPr>
              <w:spacing w:after="0"/>
              <w:rPr>
                <w:sz w:val="17"/>
                <w:szCs w:val="17"/>
                <w:color w:val="auto"/>
              </w:rPr>
            </w:pPr>
          </w:p>
        </w:tc>
        <w:tc>
          <w:tcPr>
            <w:tcW w:w="660" w:type="dxa"/>
            <w:vAlign w:val="bottom"/>
            <w:vMerge w:val="restart"/>
          </w:tcPr>
          <w:p>
            <w:pPr>
              <w:jc w:val="right"/>
              <w:ind w:right="8"/>
              <w:spacing w:after="0"/>
              <w:rPr>
                <w:sz w:val="20"/>
                <w:szCs w:val="20"/>
                <w:color w:val="auto"/>
              </w:rPr>
            </w:pPr>
            <w:r>
              <w:rPr>
                <w:rFonts w:ascii="Arial" w:cs="Arial" w:eastAsia="Arial" w:hAnsi="Arial"/>
                <w:sz w:val="14"/>
                <w:szCs w:val="14"/>
                <w:color w:val="auto"/>
              </w:rPr>
              <w:t>(82.4)</w:t>
            </w:r>
          </w:p>
        </w:tc>
        <w:tc>
          <w:tcPr>
            <w:tcW w:w="0" w:type="dxa"/>
            <w:vAlign w:val="bottom"/>
          </w:tcPr>
          <w:p>
            <w:pPr>
              <w:spacing w:after="0"/>
              <w:rPr>
                <w:sz w:val="1"/>
                <w:szCs w:val="1"/>
                <w:color w:val="auto"/>
              </w:rPr>
            </w:pPr>
          </w:p>
        </w:tc>
      </w:tr>
      <w:tr>
        <w:trPr>
          <w:trHeight w:val="74"/>
        </w:trPr>
        <w:tc>
          <w:tcPr>
            <w:tcW w:w="1860" w:type="dxa"/>
            <w:vAlign w:val="bottom"/>
            <w:tcBorders>
              <w:bottom w:val="single" w:sz="8" w:color="auto"/>
            </w:tcBorders>
          </w:tcPr>
          <w:p>
            <w:pPr>
              <w:spacing w:after="0"/>
              <w:rPr>
                <w:sz w:val="6"/>
                <w:szCs w:val="6"/>
                <w:color w:val="auto"/>
              </w:rPr>
            </w:pPr>
          </w:p>
        </w:tc>
        <w:tc>
          <w:tcPr>
            <w:tcW w:w="188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vMerge w:val="continue"/>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1860" w:type="dxa"/>
            <w:vAlign w:val="bottom"/>
          </w:tcPr>
          <w:p>
            <w:pPr>
              <w:ind w:left="20"/>
              <w:spacing w:after="0"/>
              <w:rPr>
                <w:sz w:val="20"/>
                <w:szCs w:val="20"/>
                <w:color w:val="auto"/>
              </w:rPr>
            </w:pPr>
            <w:r>
              <w:rPr>
                <w:rFonts w:ascii="Arial" w:cs="Arial" w:eastAsia="Arial" w:hAnsi="Arial"/>
                <w:sz w:val="14"/>
                <w:szCs w:val="14"/>
                <w:color w:val="auto"/>
              </w:rPr>
              <w:t>Total Gain (Loss)</w:t>
            </w:r>
          </w:p>
        </w:tc>
        <w:tc>
          <w:tcPr>
            <w:tcW w:w="1880" w:type="dxa"/>
            <w:vAlign w:val="bottom"/>
          </w:tcPr>
          <w:p>
            <w:pPr>
              <w:spacing w:after="0"/>
              <w:rPr>
                <w:sz w:val="16"/>
                <w:szCs w:val="16"/>
                <w:color w:val="auto"/>
              </w:rPr>
            </w:pPr>
          </w:p>
        </w:tc>
        <w:tc>
          <w:tcPr>
            <w:tcW w:w="3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520" w:type="dxa"/>
            <w:vAlign w:val="bottom"/>
            <w:vMerge w:val="restart"/>
          </w:tcPr>
          <w:p>
            <w:pPr>
              <w:jc w:val="right"/>
              <w:ind w:right="68"/>
              <w:spacing w:after="0"/>
              <w:rPr>
                <w:sz w:val="20"/>
                <w:szCs w:val="20"/>
                <w:color w:val="auto"/>
              </w:rPr>
            </w:pPr>
            <w:r>
              <w:rPr>
                <w:rFonts w:ascii="Arial" w:cs="Arial" w:eastAsia="Arial" w:hAnsi="Arial"/>
                <w:sz w:val="14"/>
                <w:szCs w:val="14"/>
                <w:color w:val="auto"/>
              </w:rPr>
              <w:t>5.3</w:t>
            </w:r>
          </w:p>
        </w:tc>
        <w:tc>
          <w:tcPr>
            <w:tcW w:w="460" w:type="dxa"/>
            <w:vAlign w:val="bottom"/>
            <w:vMerge w:val="restart"/>
          </w:tcPr>
          <w:p>
            <w:pPr>
              <w:jc w:val="right"/>
              <w:ind w:right="188"/>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ind w:right="48"/>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74"/>
        </w:trPr>
        <w:tc>
          <w:tcPr>
            <w:tcW w:w="1860" w:type="dxa"/>
            <w:vAlign w:val="bottom"/>
            <w:tcBorders>
              <w:bottom w:val="single" w:sz="8" w:color="auto"/>
            </w:tcBorders>
          </w:tcPr>
          <w:p>
            <w:pPr>
              <w:spacing w:after="0"/>
              <w:rPr>
                <w:sz w:val="6"/>
                <w:szCs w:val="6"/>
                <w:color w:val="auto"/>
              </w:rPr>
            </w:pPr>
          </w:p>
        </w:tc>
        <w:tc>
          <w:tcPr>
            <w:tcW w:w="188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vMerge w:val="continue"/>
          </w:tcPr>
          <w:p>
            <w:pPr>
              <w:spacing w:after="0"/>
              <w:rPr>
                <w:sz w:val="6"/>
                <w:szCs w:val="6"/>
                <w:color w:val="auto"/>
              </w:rPr>
            </w:pPr>
          </w:p>
        </w:tc>
        <w:tc>
          <w:tcPr>
            <w:tcW w:w="520" w:type="dxa"/>
            <w:vAlign w:val="bottom"/>
            <w:tcBorders>
              <w:bottom w:val="single" w:sz="8" w:color="auto"/>
            </w:tcBorders>
            <w:vMerge w:val="continue"/>
          </w:tcPr>
          <w:p>
            <w:pPr>
              <w:spacing w:after="0"/>
              <w:rPr>
                <w:sz w:val="6"/>
                <w:szCs w:val="6"/>
                <w:color w:val="auto"/>
              </w:rPr>
            </w:pPr>
          </w:p>
        </w:tc>
        <w:tc>
          <w:tcPr>
            <w:tcW w:w="460" w:type="dxa"/>
            <w:vAlign w:val="bottom"/>
            <w:tcBorders>
              <w:bottom w:val="single" w:sz="8" w:color="auto"/>
            </w:tcBorders>
            <w:vMerge w:val="continue"/>
          </w:tcPr>
          <w:p>
            <w:pPr>
              <w:spacing w:after="0"/>
              <w:rPr>
                <w:sz w:val="6"/>
                <w:szCs w:val="6"/>
                <w:color w:val="auto"/>
              </w:rPr>
            </w:pPr>
          </w:p>
        </w:tc>
        <w:tc>
          <w:tcPr>
            <w:tcW w:w="66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18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-728345</wp:posOffset>
            </wp:positionV>
            <wp:extent cx="7134860" cy="1803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4860" cy="180340"/>
                    </a:xfrm>
                    <a:prstGeom prst="rect">
                      <a:avLst/>
                    </a:prstGeom>
                    <a:noFill/>
                  </pic:spPr>
                </pic:pic>
              </a:graphicData>
            </a:graphic>
          </wp:anchor>
        </w:drawing>
        <w:drawing>
          <wp:anchor simplePos="0" relativeHeight="251657728" behindDoc="1" locked="0" layoutInCell="0" allowOverlap="1">
            <wp:simplePos x="0" y="0"/>
            <wp:positionH relativeFrom="column">
              <wp:posOffset>65405</wp:posOffset>
            </wp:positionH>
            <wp:positionV relativeFrom="paragraph">
              <wp:posOffset>-376555</wp:posOffset>
            </wp:positionV>
            <wp:extent cx="713486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486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jc w:val="right"/>
        <w:ind w:right="200"/>
        <w:spacing w:after="0"/>
        <w:rPr>
          <w:sz w:val="20"/>
          <w:szCs w:val="20"/>
          <w:color w:val="auto"/>
        </w:rPr>
      </w:pPr>
      <w:r>
        <w:rPr>
          <w:rFonts w:ascii="Arial" w:cs="Arial" w:eastAsia="Arial" w:hAnsi="Arial"/>
          <w:sz w:val="14"/>
          <w:szCs w:val="14"/>
          <w:b w:val="1"/>
          <w:bCs w:val="1"/>
          <w:color w:val="auto"/>
        </w:rPr>
        <w:t>Realized and Unrealized</w:t>
      </w:r>
    </w:p>
    <w:p>
      <w:pPr>
        <w:spacing w:after="0" w:line="4" w:lineRule="exact"/>
        <w:rPr>
          <w:sz w:val="20"/>
          <w:szCs w:val="20"/>
          <w:color w:val="auto"/>
        </w:rPr>
      </w:pPr>
    </w:p>
    <w:p>
      <w:pPr>
        <w:jc w:val="right"/>
        <w:ind w:right="200"/>
        <w:spacing w:after="0"/>
        <w:rPr>
          <w:sz w:val="20"/>
          <w:szCs w:val="20"/>
          <w:color w:val="auto"/>
        </w:rPr>
      </w:pPr>
      <w:r>
        <w:rPr>
          <w:rFonts w:ascii="Arial" w:cs="Arial" w:eastAsia="Arial" w:hAnsi="Arial"/>
          <w:sz w:val="14"/>
          <w:szCs w:val="14"/>
          <w:b w:val="1"/>
          <w:bCs w:val="1"/>
          <w:color w:val="auto"/>
        </w:rPr>
        <w:t>Gain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2351405</wp:posOffset>
            </wp:positionH>
            <wp:positionV relativeFrom="paragraph">
              <wp:posOffset>13335</wp:posOffset>
            </wp:positionV>
            <wp:extent cx="111506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spacing w:after="0" w:line="19" w:lineRule="exact"/>
        <w:rPr>
          <w:sz w:val="20"/>
          <w:szCs w:val="20"/>
          <w:color w:val="auto"/>
        </w:rPr>
      </w:pPr>
    </w:p>
    <w:p>
      <w:pPr>
        <w:jc w:val="right"/>
        <w:ind w:right="20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right"/>
        <w:ind w:right="20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1660" w:type="dxa"/>
            <w:vAlign w:val="bottom"/>
          </w:tcPr>
          <w:p>
            <w:pPr>
              <w:ind w:left="20"/>
              <w:spacing w:after="0" w:line="145" w:lineRule="exact"/>
              <w:rPr>
                <w:sz w:val="20"/>
                <w:szCs w:val="20"/>
                <w:color w:val="auto"/>
              </w:rPr>
            </w:pPr>
            <w:r>
              <w:rPr>
                <w:rFonts w:ascii="Arial" w:cs="Arial" w:eastAsia="Arial" w:hAnsi="Arial"/>
                <w:sz w:val="14"/>
                <w:szCs w:val="14"/>
                <w:b w:val="1"/>
                <w:bCs w:val="1"/>
                <w:color w:val="auto"/>
              </w:rPr>
              <w:t>Hedged Items</w:t>
            </w:r>
          </w:p>
        </w:tc>
        <w:tc>
          <w:tcPr>
            <w:tcW w:w="2040" w:type="dxa"/>
            <w:vAlign w:val="bottom"/>
          </w:tcPr>
          <w:p>
            <w:pPr>
              <w:ind w:left="600"/>
              <w:spacing w:after="0" w:line="145" w:lineRule="exact"/>
              <w:rPr>
                <w:sz w:val="20"/>
                <w:szCs w:val="20"/>
                <w:color w:val="auto"/>
              </w:rPr>
            </w:pPr>
            <w:r>
              <w:rPr>
                <w:rFonts w:ascii="Arial" w:cs="Arial" w:eastAsia="Arial" w:hAnsi="Arial"/>
                <w:sz w:val="14"/>
                <w:szCs w:val="14"/>
                <w:b w:val="1"/>
                <w:bCs w:val="1"/>
                <w:color w:val="auto"/>
              </w:rPr>
              <w:t>Location of</w:t>
            </w:r>
          </w:p>
        </w:tc>
        <w:tc>
          <w:tcPr>
            <w:tcW w:w="4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vMerge w:val="restart"/>
          </w:tcPr>
          <w:p>
            <w:pPr>
              <w:jc w:val="right"/>
              <w:ind w:right="88"/>
              <w:spacing w:after="0"/>
              <w:rPr>
                <w:sz w:val="20"/>
                <w:szCs w:val="20"/>
                <w:color w:val="auto"/>
              </w:rPr>
            </w:pPr>
            <w:r>
              <w:rPr>
                <w:rFonts w:ascii="Arial" w:cs="Arial" w:eastAsia="Arial" w:hAnsi="Arial"/>
                <w:sz w:val="14"/>
                <w:szCs w:val="14"/>
                <w:b w:val="1"/>
                <w:bCs w:val="1"/>
                <w:color w:val="auto"/>
              </w:rPr>
              <w:t>2017</w:t>
            </w:r>
          </w:p>
        </w:tc>
        <w:tc>
          <w:tcPr>
            <w:tcW w:w="3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92"/>
        </w:trPr>
        <w:tc>
          <w:tcPr>
            <w:tcW w:w="166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tcPr>
          <w:p>
            <w:pPr>
              <w:ind w:left="600"/>
              <w:spacing w:after="0"/>
              <w:rPr>
                <w:sz w:val="20"/>
                <w:szCs w:val="20"/>
                <w:color w:val="auto"/>
              </w:rPr>
            </w:pPr>
            <w:r>
              <w:rPr>
                <w:rFonts w:ascii="Arial" w:cs="Arial" w:eastAsia="Arial" w:hAnsi="Arial"/>
                <w:sz w:val="14"/>
                <w:szCs w:val="14"/>
                <w:b w:val="1"/>
                <w:bCs w:val="1"/>
                <w:color w:val="auto"/>
              </w:rPr>
              <w:t>Gain (Loss)</w:t>
            </w:r>
          </w:p>
        </w:tc>
        <w:tc>
          <w:tcPr>
            <w:tcW w:w="4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660" w:type="dxa"/>
            <w:vAlign w:val="bottom"/>
          </w:tcPr>
          <w:p>
            <w:pPr>
              <w:ind w:left="20"/>
              <w:spacing w:after="0"/>
              <w:rPr>
                <w:sz w:val="20"/>
                <w:szCs w:val="20"/>
                <w:color w:val="auto"/>
              </w:rPr>
            </w:pPr>
            <w:r>
              <w:rPr>
                <w:rFonts w:ascii="Arial" w:cs="Arial" w:eastAsia="Arial" w:hAnsi="Arial"/>
                <w:sz w:val="14"/>
                <w:szCs w:val="14"/>
                <w:color w:val="auto"/>
              </w:rPr>
              <w:t>Inventories</w:t>
            </w:r>
          </w:p>
        </w:tc>
        <w:tc>
          <w:tcPr>
            <w:tcW w:w="20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1660" w:type="dxa"/>
            <w:vAlign w:val="bottom"/>
          </w:tcPr>
          <w:p>
            <w:pPr>
              <w:spacing w:after="0"/>
              <w:rPr>
                <w:sz w:val="23"/>
                <w:szCs w:val="23"/>
                <w:color w:val="auto"/>
              </w:rPr>
            </w:pPr>
          </w:p>
        </w:tc>
        <w:tc>
          <w:tcPr>
            <w:tcW w:w="2040" w:type="dxa"/>
            <w:vAlign w:val="bottom"/>
          </w:tcPr>
          <w:p>
            <w:pPr>
              <w:ind w:left="600"/>
              <w:spacing w:after="0"/>
              <w:rPr>
                <w:sz w:val="20"/>
                <w:szCs w:val="20"/>
                <w:color w:val="auto"/>
              </w:rPr>
            </w:pPr>
            <w:r>
              <w:rPr>
                <w:rFonts w:ascii="Arial" w:cs="Arial" w:eastAsia="Arial" w:hAnsi="Arial"/>
                <w:sz w:val="14"/>
                <w:szCs w:val="14"/>
                <w:color w:val="auto"/>
              </w:rPr>
              <w:t>Revenue</w:t>
            </w:r>
          </w:p>
        </w:tc>
        <w:tc>
          <w:tcPr>
            <w:tcW w:w="40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52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30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54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8"/>
        </w:trPr>
        <w:tc>
          <w:tcPr>
            <w:tcW w:w="1660" w:type="dxa"/>
            <w:vAlign w:val="bottom"/>
          </w:tcPr>
          <w:p>
            <w:pPr>
              <w:spacing w:after="0"/>
              <w:rPr>
                <w:sz w:val="5"/>
                <w:szCs w:val="5"/>
                <w:color w:val="auto"/>
              </w:rPr>
            </w:pPr>
          </w:p>
        </w:tc>
        <w:tc>
          <w:tcPr>
            <w:tcW w:w="204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30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1660" w:type="dxa"/>
            <w:vAlign w:val="bottom"/>
          </w:tcPr>
          <w:p>
            <w:pPr>
              <w:spacing w:after="0"/>
              <w:rPr>
                <w:sz w:val="17"/>
                <w:szCs w:val="17"/>
                <w:color w:val="auto"/>
              </w:rPr>
            </w:pPr>
          </w:p>
        </w:tc>
        <w:tc>
          <w:tcPr>
            <w:tcW w:w="2040" w:type="dxa"/>
            <w:vAlign w:val="bottom"/>
          </w:tcPr>
          <w:p>
            <w:pPr>
              <w:ind w:left="600"/>
              <w:spacing w:after="0"/>
              <w:rPr>
                <w:sz w:val="20"/>
                <w:szCs w:val="20"/>
                <w:color w:val="auto"/>
              </w:rPr>
            </w:pPr>
            <w:r>
              <w:rPr>
                <w:rFonts w:ascii="Arial" w:cs="Arial" w:eastAsia="Arial" w:hAnsi="Arial"/>
                <w:sz w:val="14"/>
                <w:szCs w:val="14"/>
                <w:color w:val="auto"/>
              </w:rPr>
              <w:t>Cost of revenue</w:t>
            </w:r>
          </w:p>
        </w:tc>
        <w:tc>
          <w:tcPr>
            <w:tcW w:w="400" w:type="dxa"/>
            <w:vAlign w:val="bottom"/>
          </w:tcPr>
          <w:p>
            <w:pPr>
              <w:spacing w:after="0"/>
              <w:rPr>
                <w:sz w:val="17"/>
                <w:szCs w:val="17"/>
                <w:color w:val="auto"/>
              </w:rPr>
            </w:pPr>
          </w:p>
        </w:tc>
        <w:tc>
          <w:tcPr>
            <w:tcW w:w="520" w:type="dxa"/>
            <w:vAlign w:val="bottom"/>
            <w:vMerge w:val="restart"/>
          </w:tcPr>
          <w:p>
            <w:pPr>
              <w:jc w:val="right"/>
              <w:ind w:right="28"/>
              <w:spacing w:after="0"/>
              <w:rPr>
                <w:sz w:val="20"/>
                <w:szCs w:val="20"/>
                <w:color w:val="auto"/>
              </w:rPr>
            </w:pPr>
            <w:r>
              <w:rPr>
                <w:rFonts w:ascii="Arial" w:cs="Arial" w:eastAsia="Arial" w:hAnsi="Arial"/>
                <w:sz w:val="14"/>
                <w:szCs w:val="14"/>
                <w:color w:val="auto"/>
              </w:rPr>
              <w:t>(3.6)</w:t>
            </w:r>
          </w:p>
        </w:tc>
        <w:tc>
          <w:tcPr>
            <w:tcW w:w="300" w:type="dxa"/>
            <w:vAlign w:val="bottom"/>
          </w:tcPr>
          <w:p>
            <w:pPr>
              <w:spacing w:after="0"/>
              <w:rPr>
                <w:sz w:val="17"/>
                <w:szCs w:val="17"/>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74"/>
        </w:trPr>
        <w:tc>
          <w:tcPr>
            <w:tcW w:w="1660" w:type="dxa"/>
            <w:vAlign w:val="bottom"/>
            <w:tcBorders>
              <w:bottom w:val="single" w:sz="8" w:color="auto"/>
            </w:tcBorders>
          </w:tcPr>
          <w:p>
            <w:pPr>
              <w:spacing w:after="0"/>
              <w:rPr>
                <w:sz w:val="6"/>
                <w:szCs w:val="6"/>
                <w:color w:val="auto"/>
              </w:rPr>
            </w:pPr>
          </w:p>
        </w:tc>
        <w:tc>
          <w:tcPr>
            <w:tcW w:w="204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vMerge w:val="continue"/>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1660" w:type="dxa"/>
            <w:vAlign w:val="bottom"/>
          </w:tcPr>
          <w:p>
            <w:pPr>
              <w:ind w:left="20"/>
              <w:spacing w:after="0"/>
              <w:rPr>
                <w:sz w:val="20"/>
                <w:szCs w:val="20"/>
                <w:color w:val="auto"/>
              </w:rPr>
            </w:pPr>
            <w:r>
              <w:rPr>
                <w:rFonts w:ascii="Arial" w:cs="Arial" w:eastAsia="Arial" w:hAnsi="Arial"/>
                <w:sz w:val="14"/>
                <w:szCs w:val="14"/>
                <w:color w:val="auto"/>
              </w:rPr>
              <w:t>Total Gain (Loss)</w:t>
            </w:r>
          </w:p>
        </w:tc>
        <w:tc>
          <w:tcPr>
            <w:tcW w:w="2040" w:type="dxa"/>
            <w:vAlign w:val="bottom"/>
          </w:tcPr>
          <w:p>
            <w:pPr>
              <w:spacing w:after="0"/>
              <w:rPr>
                <w:sz w:val="16"/>
                <w:szCs w:val="16"/>
                <w:color w:val="auto"/>
              </w:rPr>
            </w:pPr>
          </w:p>
        </w:tc>
        <w:tc>
          <w:tcPr>
            <w:tcW w:w="40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520" w:type="dxa"/>
            <w:vAlign w:val="bottom"/>
            <w:vMerge w:val="restart"/>
          </w:tcPr>
          <w:p>
            <w:pPr>
              <w:jc w:val="right"/>
              <w:ind w:right="28"/>
              <w:spacing w:after="0"/>
              <w:rPr>
                <w:sz w:val="20"/>
                <w:szCs w:val="20"/>
                <w:color w:val="auto"/>
              </w:rPr>
            </w:pPr>
            <w:r>
              <w:rPr>
                <w:rFonts w:ascii="Arial" w:cs="Arial" w:eastAsia="Arial" w:hAnsi="Arial"/>
                <w:sz w:val="14"/>
                <w:szCs w:val="14"/>
                <w:color w:val="auto"/>
              </w:rPr>
              <w:t>(3.6)</w:t>
            </w:r>
          </w:p>
        </w:tc>
        <w:tc>
          <w:tcPr>
            <w:tcW w:w="30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74"/>
        </w:trPr>
        <w:tc>
          <w:tcPr>
            <w:tcW w:w="1660" w:type="dxa"/>
            <w:vAlign w:val="bottom"/>
            <w:tcBorders>
              <w:bottom w:val="single" w:sz="8" w:color="auto"/>
            </w:tcBorders>
          </w:tcPr>
          <w:p>
            <w:pPr>
              <w:spacing w:after="0"/>
              <w:rPr>
                <w:sz w:val="6"/>
                <w:szCs w:val="6"/>
                <w:color w:val="auto"/>
              </w:rPr>
            </w:pPr>
          </w:p>
        </w:tc>
        <w:tc>
          <w:tcPr>
            <w:tcW w:w="204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vMerge w:val="continue"/>
          </w:tcPr>
          <w:p>
            <w:pPr>
              <w:spacing w:after="0"/>
              <w:rPr>
                <w:sz w:val="6"/>
                <w:szCs w:val="6"/>
                <w:color w:val="auto"/>
              </w:rPr>
            </w:pPr>
          </w:p>
        </w:tc>
        <w:tc>
          <w:tcPr>
            <w:tcW w:w="520" w:type="dxa"/>
            <w:vAlign w:val="bottom"/>
            <w:tcBorders>
              <w:bottom w:val="single" w:sz="8" w:color="auto"/>
            </w:tcBorders>
            <w:vMerge w:val="continue"/>
          </w:tcPr>
          <w:p>
            <w:pPr>
              <w:spacing w:after="0"/>
              <w:rPr>
                <w:sz w:val="6"/>
                <w:szCs w:val="6"/>
                <w:color w:val="auto"/>
              </w:rPr>
            </w:pPr>
          </w:p>
        </w:tc>
        <w:tc>
          <w:tcPr>
            <w:tcW w:w="300" w:type="dxa"/>
            <w:vAlign w:val="bottom"/>
            <w:tcBorders>
              <w:bottom w:val="single" w:sz="8" w:color="auto"/>
            </w:tcBorders>
            <w:vMerge w:val="continue"/>
          </w:tcPr>
          <w:p>
            <w:pPr>
              <w:spacing w:after="0"/>
              <w:rPr>
                <w:sz w:val="6"/>
                <w:szCs w:val="6"/>
                <w:color w:val="auto"/>
              </w:rPr>
            </w:pPr>
          </w:p>
        </w:tc>
        <w:tc>
          <w:tcPr>
            <w:tcW w:w="5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166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780" w:space="100"/>
            <w:col w:w="5540"/>
          </w:cols>
          <w:pgMar w:left="240" w:top="125" w:right="239" w:bottom="1440" w:gutter="0" w:footer="0" w:header="0"/>
          <w:type w:val="continuous"/>
        </w:sectPr>
      </w:pPr>
    </w:p>
    <w:p>
      <w:pPr>
        <w:spacing w:after="0" w:line="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net gains or losses recognized in income for the three months ended March 31, 2017, and 2016, representing hedge ineffectiveness were $1.7 million, and $0.7 million respectively, there were no gains or losses for the three months ended March 31, 2017, and 2016, that were excluded from the assessment of the effectiveness of our fair value hedges.</w:t>
      </w:r>
    </w:p>
    <w:p>
      <w:pPr>
        <w:spacing w:after="0" w:line="1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presents the effect and financial statement location of our derivative instruments in cash flow hedging relationships on our accumulated other comprehensive income and consolidated statements of income and comprehensive income (in millions):</w:t>
      </w:r>
    </w:p>
    <w:p>
      <w:pPr>
        <w:sectPr>
          <w:pgSz w:w="11900" w:h="16838" w:orient="portrait"/>
          <w:cols w:equalWidth="0" w:num="1">
            <w:col w:w="11420"/>
          </w:cols>
          <w:pgMar w:left="240" w:top="125" w:right="239" w:bottom="1440" w:gutter="0" w:footer="0" w:header="0"/>
          <w:type w:val="continuous"/>
        </w:sectPr>
      </w:pPr>
    </w:p>
    <w:p>
      <w:pPr>
        <w:spacing w:after="0" w:line="324" w:lineRule="exact"/>
        <w:rPr>
          <w:sz w:val="20"/>
          <w:szCs w:val="20"/>
          <w:color w:val="auto"/>
        </w:rPr>
      </w:pPr>
    </w:p>
    <w:p>
      <w:pPr>
        <w:jc w:val="right"/>
        <w:ind w:right="120"/>
        <w:spacing w:after="0"/>
        <w:rPr>
          <w:sz w:val="20"/>
          <w:szCs w:val="20"/>
          <w:color w:val="auto"/>
        </w:rPr>
      </w:pPr>
      <w:r>
        <w:rPr>
          <w:rFonts w:ascii="Arial" w:cs="Arial" w:eastAsia="Arial" w:hAnsi="Arial"/>
          <w:sz w:val="14"/>
          <w:szCs w:val="14"/>
          <w:b w:val="1"/>
          <w:bCs w:val="1"/>
          <w:color w:val="auto"/>
        </w:rPr>
        <w:t>Amount of Gain (Loss) Recognized in</w:t>
      </w:r>
    </w:p>
    <w:p>
      <w:pPr>
        <w:jc w:val="right"/>
        <w:ind w:right="120"/>
        <w:spacing w:after="0" w:line="226" w:lineRule="auto"/>
        <w:rPr>
          <w:sz w:val="20"/>
          <w:szCs w:val="20"/>
          <w:color w:val="auto"/>
        </w:rPr>
      </w:pPr>
      <w:r>
        <w:rPr>
          <w:rFonts w:ascii="Arial" w:cs="Arial" w:eastAsia="Arial" w:hAnsi="Arial"/>
          <w:sz w:val="14"/>
          <w:szCs w:val="14"/>
          <w:b w:val="1"/>
          <w:bCs w:val="1"/>
          <w:color w:val="auto"/>
        </w:rPr>
        <w:t>Accumulated Other Comprehensive</w:t>
      </w:r>
    </w:p>
    <w:p>
      <w:pPr>
        <w:spacing w:after="0" w:line="1" w:lineRule="exact"/>
        <w:rPr>
          <w:sz w:val="20"/>
          <w:szCs w:val="20"/>
          <w:color w:val="auto"/>
        </w:rPr>
      </w:pPr>
    </w:p>
    <w:p>
      <w:pPr>
        <w:jc w:val="right"/>
        <w:ind w:right="120"/>
        <w:spacing w:after="0"/>
        <w:rPr>
          <w:sz w:val="20"/>
          <w:szCs w:val="20"/>
          <w:color w:val="auto"/>
        </w:rPr>
      </w:pPr>
      <w:r>
        <w:rPr>
          <w:rFonts w:ascii="Arial" w:cs="Arial" w:eastAsia="Arial" w:hAnsi="Arial"/>
          <w:sz w:val="14"/>
          <w:szCs w:val="14"/>
          <w:b w:val="1"/>
          <w:bCs w:val="1"/>
          <w:color w:val="auto"/>
        </w:rPr>
        <w:t>Income (Effective Portion)</w:t>
      </w:r>
    </w:p>
    <w:p>
      <w:pPr>
        <w:spacing w:after="0" w:line="9" w:lineRule="exact"/>
        <w:rPr>
          <w:sz w:val="20"/>
          <w:szCs w:val="20"/>
          <w:color w:val="auto"/>
        </w:rPr>
      </w:pPr>
    </w:p>
    <w:tbl>
      <w:tblPr>
        <w:tblLayout w:type="fixed"/>
        <w:tblInd w:w="20" w:type="dxa"/>
        <w:tblCellMar>
          <w:top w:w="0" w:type="dxa"/>
          <w:left w:w="0" w:type="dxa"/>
          <w:bottom w:w="0" w:type="dxa"/>
          <w:right w:w="0" w:type="dxa"/>
        </w:tblCellMar>
      </w:tblPr>
      <w:tr>
        <w:trPr>
          <w:trHeight w:val="206"/>
        </w:trPr>
        <w:tc>
          <w:tcPr>
            <w:tcW w:w="1600" w:type="dxa"/>
            <w:vAlign w:val="bottom"/>
          </w:tcPr>
          <w:p>
            <w:pPr>
              <w:ind w:left="20"/>
              <w:spacing w:after="0"/>
              <w:rPr>
                <w:sz w:val="20"/>
                <w:szCs w:val="20"/>
                <w:color w:val="auto"/>
              </w:rPr>
            </w:pPr>
            <w:r>
              <w:rPr>
                <w:rFonts w:ascii="Arial" w:cs="Arial" w:eastAsia="Arial" w:hAnsi="Arial"/>
                <w:sz w:val="14"/>
                <w:szCs w:val="14"/>
                <w:b w:val="1"/>
                <w:bCs w:val="1"/>
                <w:color w:val="auto"/>
              </w:rPr>
              <w:t>Derivative</w:t>
            </w:r>
          </w:p>
        </w:tc>
        <w:tc>
          <w:tcPr>
            <w:tcW w:w="9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080" w:type="dxa"/>
            <w:vAlign w:val="bottom"/>
            <w:tcBorders>
              <w:top w:val="single" w:sz="8" w:color="auto"/>
            </w:tcBorders>
            <w:gridSpan w:val="2"/>
          </w:tcPr>
          <w:p>
            <w:pPr>
              <w:jc w:val="right"/>
              <w:ind w:right="48"/>
              <w:spacing w:after="0"/>
              <w:rPr>
                <w:sz w:val="20"/>
                <w:szCs w:val="20"/>
                <w:color w:val="auto"/>
              </w:rPr>
            </w:pPr>
            <w:r>
              <w:rPr>
                <w:rFonts w:ascii="Arial" w:cs="Arial" w:eastAsia="Arial" w:hAnsi="Arial"/>
                <w:sz w:val="14"/>
                <w:szCs w:val="14"/>
                <w:b w:val="1"/>
                <w:bCs w:val="1"/>
                <w:color w:val="auto"/>
                <w:w w:val="94"/>
              </w:rPr>
              <w:t>Three Months ended March 31,</w:t>
            </w:r>
          </w:p>
        </w:tc>
        <w:tc>
          <w:tcPr>
            <w:tcW w:w="0" w:type="dxa"/>
            <w:vAlign w:val="bottom"/>
          </w:tcPr>
          <w:p>
            <w:pPr>
              <w:spacing w:after="0"/>
              <w:rPr>
                <w:sz w:val="1"/>
                <w:szCs w:val="1"/>
                <w:color w:val="auto"/>
              </w:rPr>
            </w:pPr>
          </w:p>
        </w:tc>
      </w:tr>
      <w:tr>
        <w:trPr>
          <w:trHeight w:val="56"/>
        </w:trPr>
        <w:tc>
          <w:tcPr>
            <w:tcW w:w="16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Instruments</w:t>
            </w:r>
          </w:p>
        </w:tc>
        <w:tc>
          <w:tcPr>
            <w:tcW w:w="9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1600" w:type="dxa"/>
            <w:vAlign w:val="bottom"/>
            <w:vMerge w:val="continue"/>
          </w:tcPr>
          <w:p>
            <w:pPr>
              <w:spacing w:after="0"/>
              <w:rPr>
                <w:sz w:val="14"/>
                <w:szCs w:val="14"/>
                <w:color w:val="auto"/>
              </w:rPr>
            </w:pPr>
          </w:p>
        </w:tc>
        <w:tc>
          <w:tcPr>
            <w:tcW w:w="94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2017</w:t>
            </w:r>
          </w:p>
        </w:tc>
        <w:tc>
          <w:tcPr>
            <w:tcW w:w="1060" w:type="dxa"/>
            <w:vAlign w:val="bottom"/>
          </w:tcPr>
          <w:p>
            <w:pPr>
              <w:spacing w:after="0"/>
              <w:rPr>
                <w:sz w:val="14"/>
                <w:szCs w:val="14"/>
                <w:color w:val="auto"/>
              </w:rPr>
            </w:pPr>
          </w:p>
        </w:tc>
        <w:tc>
          <w:tcPr>
            <w:tcW w:w="102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87"/>
        </w:trPr>
        <w:tc>
          <w:tcPr>
            <w:tcW w:w="160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vMerge w:val="continue"/>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74"/>
        </w:trPr>
        <w:tc>
          <w:tcPr>
            <w:tcW w:w="1600" w:type="dxa"/>
            <w:vAlign w:val="bottom"/>
          </w:tcPr>
          <w:p>
            <w:pPr>
              <w:ind w:left="20"/>
              <w:spacing w:after="0"/>
              <w:rPr>
                <w:sz w:val="20"/>
                <w:szCs w:val="20"/>
                <w:color w:val="auto"/>
              </w:rPr>
            </w:pPr>
            <w:r>
              <w:rPr>
                <w:rFonts w:ascii="Arial" w:cs="Arial" w:eastAsia="Arial" w:hAnsi="Arial"/>
                <w:sz w:val="14"/>
                <w:szCs w:val="14"/>
                <w:color w:val="auto"/>
              </w:rPr>
              <w:t>Commodity contracts</w:t>
            </w:r>
          </w:p>
        </w:tc>
        <w:tc>
          <w:tcPr>
            <w:tcW w:w="940" w:type="dxa"/>
            <w:vAlign w:val="bottom"/>
            <w:vMerge w:val="restart"/>
          </w:tcPr>
          <w:p>
            <w:pPr>
              <w:jc w:val="right"/>
              <w:ind w:right="528"/>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57.1</w:t>
            </w:r>
          </w:p>
        </w:tc>
        <w:tc>
          <w:tcPr>
            <w:tcW w:w="1060" w:type="dxa"/>
            <w:vAlign w:val="bottom"/>
            <w:vMerge w:val="restart"/>
          </w:tcPr>
          <w:p>
            <w:pPr>
              <w:jc w:val="right"/>
              <w:ind w:right="548"/>
              <w:spacing w:after="0"/>
              <w:rPr>
                <w:sz w:val="20"/>
                <w:szCs w:val="20"/>
                <w:color w:val="auto"/>
              </w:rPr>
            </w:pPr>
            <w:r>
              <w:rPr>
                <w:rFonts w:ascii="Arial" w:cs="Arial" w:eastAsia="Arial" w:hAnsi="Arial"/>
                <w:sz w:val="14"/>
                <w:szCs w:val="14"/>
                <w:color w:val="auto"/>
              </w:rPr>
              <w:t>$</w:t>
            </w:r>
          </w:p>
        </w:tc>
        <w:tc>
          <w:tcPr>
            <w:tcW w:w="1020" w:type="dxa"/>
            <w:vAlign w:val="bottom"/>
            <w:vMerge w:val="restart"/>
          </w:tcPr>
          <w:p>
            <w:pPr>
              <w:jc w:val="right"/>
              <w:ind w:right="8"/>
              <w:spacing w:after="0"/>
              <w:rPr>
                <w:sz w:val="20"/>
                <w:szCs w:val="20"/>
                <w:color w:val="auto"/>
              </w:rPr>
            </w:pPr>
            <w:r>
              <w:rPr>
                <w:rFonts w:ascii="Arial" w:cs="Arial" w:eastAsia="Arial" w:hAnsi="Arial"/>
                <w:sz w:val="14"/>
                <w:szCs w:val="14"/>
                <w:color w:val="auto"/>
              </w:rPr>
              <w:t>(46.5)</w:t>
            </w:r>
          </w:p>
        </w:tc>
        <w:tc>
          <w:tcPr>
            <w:tcW w:w="0" w:type="dxa"/>
            <w:vAlign w:val="bottom"/>
          </w:tcPr>
          <w:p>
            <w:pPr>
              <w:spacing w:after="0"/>
              <w:rPr>
                <w:sz w:val="1"/>
                <w:szCs w:val="1"/>
                <w:color w:val="auto"/>
              </w:rPr>
            </w:pPr>
          </w:p>
        </w:tc>
      </w:tr>
      <w:tr>
        <w:trPr>
          <w:trHeight w:val="68"/>
        </w:trPr>
        <w:tc>
          <w:tcPr>
            <w:tcW w:w="160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1600" w:type="dxa"/>
            <w:vAlign w:val="bottom"/>
          </w:tcPr>
          <w:p>
            <w:pPr>
              <w:ind w:left="20"/>
              <w:spacing w:after="0"/>
              <w:rPr>
                <w:sz w:val="20"/>
                <w:szCs w:val="20"/>
                <w:color w:val="auto"/>
              </w:rPr>
            </w:pPr>
            <w:r>
              <w:rPr>
                <w:rFonts w:ascii="Arial" w:cs="Arial" w:eastAsia="Arial" w:hAnsi="Arial"/>
                <w:sz w:val="14"/>
                <w:szCs w:val="14"/>
                <w:color w:val="auto"/>
              </w:rPr>
              <w:t>Commodity contracts</w:t>
            </w:r>
          </w:p>
        </w:tc>
        <w:tc>
          <w:tcPr>
            <w:tcW w:w="940" w:type="dxa"/>
            <w:vAlign w:val="bottom"/>
          </w:tcPr>
          <w:p>
            <w:pPr>
              <w:spacing w:after="0"/>
              <w:rPr>
                <w:sz w:val="17"/>
                <w:szCs w:val="17"/>
                <w:color w:val="auto"/>
              </w:rPr>
            </w:pPr>
          </w:p>
        </w:tc>
        <w:tc>
          <w:tcPr>
            <w:tcW w:w="1960" w:type="dxa"/>
            <w:vAlign w:val="bottom"/>
            <w:gridSpan w:val="2"/>
            <w:vMerge w:val="restart"/>
          </w:tcPr>
          <w:p>
            <w:pPr>
              <w:jc w:val="right"/>
              <w:ind w:right="948"/>
              <w:spacing w:after="0"/>
              <w:rPr>
                <w:sz w:val="20"/>
                <w:szCs w:val="20"/>
                <w:color w:val="auto"/>
              </w:rPr>
            </w:pPr>
            <w:r>
              <w:rPr>
                <w:rFonts w:ascii="Arial" w:cs="Arial" w:eastAsia="Arial" w:hAnsi="Arial"/>
                <w:sz w:val="14"/>
                <w:szCs w:val="14"/>
                <w:color w:val="auto"/>
              </w:rPr>
              <w:t>(50.0)</w:t>
            </w:r>
          </w:p>
        </w:tc>
        <w:tc>
          <w:tcPr>
            <w:tcW w:w="1020" w:type="dxa"/>
            <w:vAlign w:val="bottom"/>
            <w:vMerge w:val="restart"/>
          </w:tcPr>
          <w:p>
            <w:pPr>
              <w:jc w:val="right"/>
              <w:ind w:right="48"/>
              <w:spacing w:after="0"/>
              <w:rPr>
                <w:sz w:val="20"/>
                <w:szCs w:val="20"/>
                <w:color w:val="auto"/>
              </w:rPr>
            </w:pPr>
            <w:r>
              <w:rPr>
                <w:rFonts w:ascii="Arial" w:cs="Arial" w:eastAsia="Arial" w:hAnsi="Arial"/>
                <w:sz w:val="14"/>
                <w:szCs w:val="14"/>
                <w:color w:val="auto"/>
              </w:rPr>
              <w:t>44.2</w:t>
            </w:r>
          </w:p>
        </w:tc>
        <w:tc>
          <w:tcPr>
            <w:tcW w:w="0" w:type="dxa"/>
            <w:vAlign w:val="bottom"/>
          </w:tcPr>
          <w:p>
            <w:pPr>
              <w:spacing w:after="0"/>
              <w:rPr>
                <w:sz w:val="1"/>
                <w:szCs w:val="1"/>
                <w:color w:val="auto"/>
              </w:rPr>
            </w:pPr>
          </w:p>
        </w:tc>
      </w:tr>
      <w:tr>
        <w:trPr>
          <w:trHeight w:val="74"/>
        </w:trPr>
        <w:tc>
          <w:tcPr>
            <w:tcW w:w="160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960" w:type="dxa"/>
            <w:vAlign w:val="bottom"/>
            <w:tcBorders>
              <w:bottom w:val="single" w:sz="8" w:color="auto"/>
            </w:tcBorders>
            <w:gridSpan w:val="2"/>
            <w:vMerge w:val="continue"/>
          </w:tcPr>
          <w:p>
            <w:pPr>
              <w:spacing w:after="0"/>
              <w:rPr>
                <w:sz w:val="6"/>
                <w:szCs w:val="6"/>
                <w:color w:val="auto"/>
              </w:rPr>
            </w:pPr>
          </w:p>
        </w:tc>
        <w:tc>
          <w:tcPr>
            <w:tcW w:w="102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1600" w:type="dxa"/>
            <w:vAlign w:val="bottom"/>
          </w:tcPr>
          <w:p>
            <w:pPr>
              <w:ind w:left="20"/>
              <w:spacing w:after="0"/>
              <w:rPr>
                <w:sz w:val="20"/>
                <w:szCs w:val="20"/>
                <w:color w:val="auto"/>
              </w:rPr>
            </w:pPr>
            <w:r>
              <w:rPr>
                <w:rFonts w:ascii="Arial" w:cs="Arial" w:eastAsia="Arial" w:hAnsi="Arial"/>
                <w:sz w:val="14"/>
                <w:szCs w:val="14"/>
                <w:color w:val="auto"/>
              </w:rPr>
              <w:t>Total Gain (Loss)</w:t>
            </w:r>
          </w:p>
        </w:tc>
        <w:tc>
          <w:tcPr>
            <w:tcW w:w="940" w:type="dxa"/>
            <w:vAlign w:val="bottom"/>
            <w:vMerge w:val="restart"/>
          </w:tcPr>
          <w:p>
            <w:pPr>
              <w:jc w:val="right"/>
              <w:ind w:right="528"/>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7.1</w:t>
            </w:r>
          </w:p>
        </w:tc>
        <w:tc>
          <w:tcPr>
            <w:tcW w:w="1060" w:type="dxa"/>
            <w:vAlign w:val="bottom"/>
            <w:vMerge w:val="restart"/>
          </w:tcPr>
          <w:p>
            <w:pPr>
              <w:jc w:val="right"/>
              <w:ind w:right="548"/>
              <w:spacing w:after="0"/>
              <w:rPr>
                <w:sz w:val="20"/>
                <w:szCs w:val="20"/>
                <w:color w:val="auto"/>
              </w:rPr>
            </w:pPr>
            <w:r>
              <w:rPr>
                <w:rFonts w:ascii="Arial" w:cs="Arial" w:eastAsia="Arial" w:hAnsi="Arial"/>
                <w:sz w:val="14"/>
                <w:szCs w:val="14"/>
                <w:color w:val="auto"/>
              </w:rPr>
              <w:t>$</w:t>
            </w:r>
          </w:p>
        </w:tc>
        <w:tc>
          <w:tcPr>
            <w:tcW w:w="1020" w:type="dxa"/>
            <w:vAlign w:val="bottom"/>
            <w:vMerge w:val="restart"/>
          </w:tcPr>
          <w:p>
            <w:pPr>
              <w:jc w:val="right"/>
              <w:ind w:right="8"/>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74"/>
        </w:trPr>
        <w:tc>
          <w:tcPr>
            <w:tcW w:w="160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vMerge w:val="continue"/>
          </w:tcPr>
          <w:p>
            <w:pPr>
              <w:spacing w:after="0"/>
              <w:rPr>
                <w:sz w:val="6"/>
                <w:szCs w:val="6"/>
                <w:color w:val="auto"/>
              </w:rPr>
            </w:pPr>
          </w:p>
        </w:tc>
        <w:tc>
          <w:tcPr>
            <w:tcW w:w="900" w:type="dxa"/>
            <w:vAlign w:val="bottom"/>
            <w:tcBorders>
              <w:bottom w:val="single" w:sz="8" w:color="auto"/>
            </w:tcBorders>
            <w:vMerge w:val="continue"/>
          </w:tcPr>
          <w:p>
            <w:pPr>
              <w:spacing w:after="0"/>
              <w:rPr>
                <w:sz w:val="6"/>
                <w:szCs w:val="6"/>
                <w:color w:val="auto"/>
              </w:rPr>
            </w:pPr>
          </w:p>
        </w:tc>
        <w:tc>
          <w:tcPr>
            <w:tcW w:w="1060" w:type="dxa"/>
            <w:vAlign w:val="bottom"/>
            <w:tcBorders>
              <w:bottom w:val="single" w:sz="8" w:color="auto"/>
            </w:tcBorders>
            <w:vMerge w:val="continue"/>
          </w:tcPr>
          <w:p>
            <w:pPr>
              <w:spacing w:after="0"/>
              <w:rPr>
                <w:sz w:val="6"/>
                <w:szCs w:val="6"/>
                <w:color w:val="auto"/>
              </w:rPr>
            </w:pPr>
          </w:p>
        </w:tc>
        <w:tc>
          <w:tcPr>
            <w:tcW w:w="102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16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jc w:val="right"/>
        <w:ind w:left="2160" w:right="120"/>
        <w:spacing w:after="0"/>
        <w:rPr>
          <w:sz w:val="20"/>
          <w:szCs w:val="20"/>
          <w:color w:val="auto"/>
        </w:rPr>
      </w:pPr>
      <w:r>
        <w:rPr>
          <w:rFonts w:ascii="Arial" w:cs="Arial" w:eastAsia="Arial" w:hAnsi="Arial"/>
          <w:sz w:val="14"/>
          <w:szCs w:val="14"/>
          <w:b w:val="1"/>
          <w:bCs w:val="1"/>
          <w:color w:val="auto"/>
        </w:rPr>
        <w:t>Amount of Gain (Loss) Reclassified from Accumulated Other Comprehensive Income into Income (Effective Portion)</w:t>
      </w:r>
    </w:p>
    <w:tbl>
      <w:tblPr>
        <w:tblLayout w:type="fixed"/>
        <w:tblInd w:w="0" w:type="dxa"/>
        <w:tblCellMar>
          <w:top w:w="0" w:type="dxa"/>
          <w:left w:w="0" w:type="dxa"/>
          <w:bottom w:w="0" w:type="dxa"/>
          <w:right w:w="0" w:type="dxa"/>
        </w:tblCellMar>
      </w:tblPr>
      <w:tr>
        <w:trPr>
          <w:trHeight w:val="206"/>
        </w:trPr>
        <w:tc>
          <w:tcPr>
            <w:tcW w:w="1840" w:type="dxa"/>
            <w:vAlign w:val="bottom"/>
          </w:tcPr>
          <w:p>
            <w:pPr>
              <w:ind w:left="20"/>
              <w:spacing w:after="0"/>
              <w:rPr>
                <w:sz w:val="20"/>
                <w:szCs w:val="20"/>
                <w:color w:val="auto"/>
              </w:rPr>
            </w:pPr>
            <w:r>
              <w:rPr>
                <w:rFonts w:ascii="Arial" w:cs="Arial" w:eastAsia="Arial" w:hAnsi="Arial"/>
                <w:sz w:val="14"/>
                <w:szCs w:val="14"/>
                <w:b w:val="1"/>
                <w:bCs w:val="1"/>
                <w:color w:val="auto"/>
              </w:rPr>
              <w:t>Location of</w:t>
            </w:r>
          </w:p>
        </w:tc>
        <w:tc>
          <w:tcPr>
            <w:tcW w:w="900" w:type="dxa"/>
            <w:vAlign w:val="bottom"/>
            <w:tcBorders>
              <w:top w:val="single" w:sz="8" w:color="auto"/>
            </w:tcBorders>
          </w:tcPr>
          <w:p>
            <w:pPr>
              <w:spacing w:after="0"/>
              <w:rPr>
                <w:sz w:val="17"/>
                <w:szCs w:val="17"/>
                <w:color w:val="auto"/>
              </w:rPr>
            </w:pPr>
          </w:p>
        </w:tc>
        <w:tc>
          <w:tcPr>
            <w:tcW w:w="2900" w:type="dxa"/>
            <w:vAlign w:val="bottom"/>
            <w:tcBorders>
              <w:top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56"/>
        </w:trPr>
        <w:tc>
          <w:tcPr>
            <w:tcW w:w="18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Gain (Loss)</w:t>
            </w:r>
          </w:p>
        </w:tc>
        <w:tc>
          <w:tcPr>
            <w:tcW w:w="90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1840" w:type="dxa"/>
            <w:vAlign w:val="bottom"/>
            <w:vMerge w:val="continue"/>
          </w:tcPr>
          <w:p>
            <w:pPr>
              <w:spacing w:after="0"/>
              <w:rPr>
                <w:sz w:val="14"/>
                <w:szCs w:val="14"/>
                <w:color w:val="auto"/>
              </w:rPr>
            </w:pPr>
          </w:p>
        </w:tc>
        <w:tc>
          <w:tcPr>
            <w:tcW w:w="900" w:type="dxa"/>
            <w:vAlign w:val="bottom"/>
          </w:tcPr>
          <w:p>
            <w:pPr>
              <w:spacing w:after="0"/>
              <w:rPr>
                <w:sz w:val="14"/>
                <w:szCs w:val="14"/>
                <w:color w:val="auto"/>
              </w:rPr>
            </w:pPr>
          </w:p>
        </w:tc>
        <w:tc>
          <w:tcPr>
            <w:tcW w:w="108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2017</w:t>
            </w:r>
          </w:p>
        </w:tc>
        <w:tc>
          <w:tcPr>
            <w:tcW w:w="820" w:type="dxa"/>
            <w:vAlign w:val="bottom"/>
          </w:tcPr>
          <w:p>
            <w:pPr>
              <w:spacing w:after="0"/>
              <w:rPr>
                <w:sz w:val="14"/>
                <w:szCs w:val="14"/>
                <w:color w:val="auto"/>
              </w:rPr>
            </w:pP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87"/>
        </w:trPr>
        <w:tc>
          <w:tcPr>
            <w:tcW w:w="184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vMerge w:val="continue"/>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41"/>
        </w:trPr>
        <w:tc>
          <w:tcPr>
            <w:tcW w:w="1840" w:type="dxa"/>
            <w:vAlign w:val="bottom"/>
          </w:tcPr>
          <w:p>
            <w:pPr>
              <w:ind w:left="20"/>
              <w:spacing w:after="0"/>
              <w:rPr>
                <w:sz w:val="20"/>
                <w:szCs w:val="20"/>
                <w:color w:val="auto"/>
              </w:rPr>
            </w:pPr>
            <w:r>
              <w:rPr>
                <w:rFonts w:ascii="Arial" w:cs="Arial" w:eastAsia="Arial" w:hAnsi="Arial"/>
                <w:sz w:val="14"/>
                <w:szCs w:val="14"/>
                <w:color w:val="auto"/>
              </w:rPr>
              <w:t>Revenue</w:t>
            </w:r>
          </w:p>
        </w:tc>
        <w:tc>
          <w:tcPr>
            <w:tcW w:w="900" w:type="dxa"/>
            <w:vAlign w:val="bottom"/>
          </w:tcPr>
          <w:p>
            <w:pPr>
              <w:jc w:val="right"/>
              <w:ind w:right="52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(10.1)</w:t>
            </w:r>
          </w:p>
        </w:tc>
        <w:tc>
          <w:tcPr>
            <w:tcW w:w="820" w:type="dxa"/>
            <w:vAlign w:val="bottom"/>
          </w:tcPr>
          <w:p>
            <w:pPr>
              <w:jc w:val="right"/>
              <w:ind w:right="52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52.7</w:t>
            </w:r>
          </w:p>
        </w:tc>
        <w:tc>
          <w:tcPr>
            <w:tcW w:w="0" w:type="dxa"/>
            <w:vAlign w:val="bottom"/>
          </w:tcPr>
          <w:p>
            <w:pPr>
              <w:spacing w:after="0"/>
              <w:rPr>
                <w:sz w:val="1"/>
                <w:szCs w:val="1"/>
                <w:color w:val="auto"/>
              </w:rPr>
            </w:pPr>
          </w:p>
        </w:tc>
      </w:tr>
      <w:tr>
        <w:trPr>
          <w:trHeight w:val="276"/>
        </w:trPr>
        <w:tc>
          <w:tcPr>
            <w:tcW w:w="18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Cost of Revenue</w:t>
            </w:r>
          </w:p>
        </w:tc>
        <w:tc>
          <w:tcPr>
            <w:tcW w:w="9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6.8</w:t>
            </w:r>
          </w:p>
        </w:tc>
        <w:tc>
          <w:tcPr>
            <w:tcW w:w="8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(54.7)</w:t>
            </w:r>
          </w:p>
        </w:tc>
        <w:tc>
          <w:tcPr>
            <w:tcW w:w="0" w:type="dxa"/>
            <w:vAlign w:val="bottom"/>
          </w:tcPr>
          <w:p>
            <w:pPr>
              <w:spacing w:after="0"/>
              <w:rPr>
                <w:sz w:val="1"/>
                <w:szCs w:val="1"/>
                <w:color w:val="auto"/>
              </w:rPr>
            </w:pPr>
          </w:p>
        </w:tc>
      </w:tr>
      <w:tr>
        <w:trPr>
          <w:trHeight w:val="190"/>
        </w:trPr>
        <w:tc>
          <w:tcPr>
            <w:tcW w:w="1840" w:type="dxa"/>
            <w:vAlign w:val="bottom"/>
          </w:tcPr>
          <w:p>
            <w:pPr>
              <w:ind w:left="20"/>
              <w:spacing w:after="0"/>
              <w:rPr>
                <w:sz w:val="20"/>
                <w:szCs w:val="20"/>
                <w:color w:val="auto"/>
              </w:rPr>
            </w:pPr>
            <w:r>
              <w:rPr>
                <w:rFonts w:ascii="Arial" w:cs="Arial" w:eastAsia="Arial" w:hAnsi="Arial"/>
                <w:sz w:val="14"/>
                <w:szCs w:val="14"/>
                <w:color w:val="auto"/>
              </w:rPr>
              <w:t>Total Gain (Loss)</w:t>
            </w:r>
          </w:p>
        </w:tc>
        <w:tc>
          <w:tcPr>
            <w:tcW w:w="900" w:type="dxa"/>
            <w:vAlign w:val="bottom"/>
            <w:vMerge w:val="restart"/>
          </w:tcPr>
          <w:p>
            <w:pPr>
              <w:jc w:val="right"/>
              <w:ind w:right="528"/>
              <w:spacing w:after="0"/>
              <w:rPr>
                <w:sz w:val="20"/>
                <w:szCs w:val="20"/>
                <w:color w:val="auto"/>
              </w:rPr>
            </w:pPr>
            <w:r>
              <w:rPr>
                <w:rFonts w:ascii="Arial" w:cs="Arial" w:eastAsia="Arial" w:hAnsi="Arial"/>
                <w:sz w:val="14"/>
                <w:szCs w:val="14"/>
                <w:color w:val="auto"/>
              </w:rPr>
              <w:t>$</w:t>
            </w:r>
          </w:p>
        </w:tc>
        <w:tc>
          <w:tcPr>
            <w:tcW w:w="1080" w:type="dxa"/>
            <w:vAlign w:val="bottom"/>
            <w:vMerge w:val="restart"/>
          </w:tcPr>
          <w:p>
            <w:pPr>
              <w:jc w:val="right"/>
              <w:ind w:right="88"/>
              <w:spacing w:after="0"/>
              <w:rPr>
                <w:sz w:val="20"/>
                <w:szCs w:val="20"/>
                <w:color w:val="auto"/>
              </w:rPr>
            </w:pPr>
            <w:r>
              <w:rPr>
                <w:rFonts w:ascii="Arial" w:cs="Arial" w:eastAsia="Arial" w:hAnsi="Arial"/>
                <w:sz w:val="14"/>
                <w:szCs w:val="14"/>
                <w:color w:val="auto"/>
              </w:rPr>
              <w:t>(3.4)</w:t>
            </w:r>
          </w:p>
        </w:tc>
        <w:tc>
          <w:tcPr>
            <w:tcW w:w="820" w:type="dxa"/>
            <w:vAlign w:val="bottom"/>
            <w:vMerge w:val="restart"/>
          </w:tcPr>
          <w:p>
            <w:pPr>
              <w:jc w:val="right"/>
              <w:ind w:right="528"/>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74"/>
        </w:trPr>
        <w:tc>
          <w:tcPr>
            <w:tcW w:w="184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vMerge w:val="continue"/>
          </w:tcPr>
          <w:p>
            <w:pPr>
              <w:spacing w:after="0"/>
              <w:rPr>
                <w:sz w:val="6"/>
                <w:szCs w:val="6"/>
                <w:color w:val="auto"/>
              </w:rPr>
            </w:pPr>
          </w:p>
        </w:tc>
        <w:tc>
          <w:tcPr>
            <w:tcW w:w="1080" w:type="dxa"/>
            <w:vAlign w:val="bottom"/>
            <w:tcBorders>
              <w:bottom w:val="single" w:sz="8" w:color="auto"/>
            </w:tcBorders>
            <w:vMerge w:val="continue"/>
          </w:tcPr>
          <w:p>
            <w:pPr>
              <w:spacing w:after="0"/>
              <w:rPr>
                <w:sz w:val="6"/>
                <w:szCs w:val="6"/>
                <w:color w:val="auto"/>
              </w:rPr>
            </w:pPr>
          </w:p>
        </w:tc>
        <w:tc>
          <w:tcPr>
            <w:tcW w:w="820" w:type="dxa"/>
            <w:vAlign w:val="bottom"/>
            <w:tcBorders>
              <w:bottom w:val="single" w:sz="8" w:color="auto"/>
            </w:tcBorders>
            <w:vMerge w:val="continue"/>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18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-3655695</wp:posOffset>
            </wp:positionH>
            <wp:positionV relativeFrom="paragraph">
              <wp:posOffset>-736600</wp:posOffset>
            </wp:positionV>
            <wp:extent cx="7237730" cy="1885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37730" cy="188595"/>
                    </a:xfrm>
                    <a:prstGeom prst="rect">
                      <a:avLst/>
                    </a:prstGeom>
                    <a:noFill/>
                  </pic:spPr>
                </pic:pic>
              </a:graphicData>
            </a:graphic>
          </wp:anchor>
        </w:drawing>
        <w:drawing>
          <wp:anchor simplePos="0" relativeHeight="251657728" behindDoc="1" locked="0" layoutInCell="0" allowOverlap="1">
            <wp:simplePos x="0" y="0"/>
            <wp:positionH relativeFrom="column">
              <wp:posOffset>-3655695</wp:posOffset>
            </wp:positionH>
            <wp:positionV relativeFrom="paragraph">
              <wp:posOffset>-376555</wp:posOffset>
            </wp:positionV>
            <wp:extent cx="723773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335" w:lineRule="exact"/>
        <w:rPr>
          <w:sz w:val="20"/>
          <w:szCs w:val="20"/>
          <w:color w:val="auto"/>
        </w:rPr>
      </w:pPr>
    </w:p>
    <w:p>
      <w:pPr>
        <w:jc w:val="right"/>
        <w:ind w:right="120"/>
        <w:spacing w:after="0"/>
        <w:rPr>
          <w:sz w:val="20"/>
          <w:szCs w:val="20"/>
          <w:color w:val="auto"/>
        </w:rPr>
      </w:pPr>
      <w:r>
        <w:rPr>
          <w:rFonts w:ascii="Arial" w:cs="Arial" w:eastAsia="Arial" w:hAnsi="Arial"/>
          <w:sz w:val="14"/>
          <w:szCs w:val="14"/>
          <w:b w:val="1"/>
          <w:bCs w:val="1"/>
          <w:color w:val="auto"/>
        </w:rPr>
        <w:t>Amount of Gain (Loss) Recognized in</w:t>
      </w:r>
    </w:p>
    <w:p>
      <w:pPr>
        <w:jc w:val="right"/>
        <w:ind w:right="120"/>
        <w:spacing w:after="0" w:line="226" w:lineRule="auto"/>
        <w:rPr>
          <w:sz w:val="20"/>
          <w:szCs w:val="20"/>
          <w:color w:val="auto"/>
        </w:rPr>
      </w:pPr>
      <w:r>
        <w:rPr>
          <w:rFonts w:ascii="Arial" w:cs="Arial" w:eastAsia="Arial" w:hAnsi="Arial"/>
          <w:sz w:val="14"/>
          <w:szCs w:val="14"/>
          <w:b w:val="1"/>
          <w:bCs w:val="1"/>
          <w:color w:val="auto"/>
        </w:rPr>
        <w:t>Income (Ineffective Portion and Amount</w:t>
      </w:r>
    </w:p>
    <w:p>
      <w:pPr>
        <w:spacing w:after="0" w:line="1" w:lineRule="exact"/>
        <w:rPr>
          <w:sz w:val="20"/>
          <w:szCs w:val="20"/>
          <w:color w:val="auto"/>
        </w:rPr>
      </w:pPr>
    </w:p>
    <w:p>
      <w:pPr>
        <w:jc w:val="right"/>
        <w:ind w:right="120"/>
        <w:spacing w:after="0"/>
        <w:rPr>
          <w:sz w:val="20"/>
          <w:szCs w:val="20"/>
          <w:color w:val="auto"/>
        </w:rPr>
      </w:pPr>
      <w:r>
        <w:rPr>
          <w:rFonts w:ascii="Arial" w:cs="Arial" w:eastAsia="Arial" w:hAnsi="Arial"/>
          <w:sz w:val="14"/>
          <w:szCs w:val="14"/>
          <w:b w:val="1"/>
          <w:bCs w:val="1"/>
          <w:color w:val="auto"/>
        </w:rPr>
        <w:t>Excluded from Effectiveness Testing)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1128395</wp:posOffset>
            </wp:positionH>
            <wp:positionV relativeFrom="paragraph">
              <wp:posOffset>13335</wp:posOffset>
            </wp:positionV>
            <wp:extent cx="245237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452370" cy="8890"/>
                    </a:xfrm>
                    <a:prstGeom prst="rect">
                      <a:avLst/>
                    </a:prstGeom>
                    <a:noFill/>
                  </pic:spPr>
                </pic:pic>
              </a:graphicData>
            </a:graphic>
          </wp:anchor>
        </w:drawing>
      </w:r>
    </w:p>
    <w:p>
      <w:pPr>
        <w:spacing w:after="0" w:line="19" w:lineRule="exact"/>
        <w:rPr>
          <w:sz w:val="20"/>
          <w:szCs w:val="20"/>
          <w:color w:val="auto"/>
        </w:rPr>
      </w:pPr>
    </w:p>
    <w:p>
      <w:pPr>
        <w:ind w:left="3580"/>
        <w:spacing w:after="0"/>
        <w:rPr>
          <w:sz w:val="20"/>
          <w:szCs w:val="20"/>
          <w:color w:val="auto"/>
        </w:rPr>
      </w:pPr>
      <w:r>
        <w:rPr>
          <w:rFonts w:ascii="Arial" w:cs="Arial" w:eastAsia="Arial" w:hAnsi="Arial"/>
          <w:sz w:val="14"/>
          <w:szCs w:val="14"/>
          <w:b w:val="1"/>
          <w:bCs w:val="1"/>
          <w:color w:val="auto"/>
        </w:rPr>
        <w:t>Three Months ended March 31,</w:t>
      </w:r>
    </w:p>
    <w:p>
      <w:pPr>
        <w:spacing w:after="0" w:line="71" w:lineRule="exact"/>
        <w:rPr>
          <w:sz w:val="20"/>
          <w:szCs w:val="20"/>
          <w:color w:val="auto"/>
        </w:rPr>
      </w:pPr>
    </w:p>
    <w:p>
      <w:pPr>
        <w:sectPr>
          <w:pgSz w:w="11900" w:h="16838" w:orient="portrait"/>
          <w:cols w:equalWidth="0" w:num="2">
            <w:col w:w="5540" w:space="240"/>
            <w:col w:w="5640"/>
          </w:cols>
          <w:pgMar w:left="240" w:top="125" w:right="239" w:bottom="1440" w:gutter="0" w:footer="0" w:header="0"/>
          <w:type w:val="continuous"/>
        </w:sectPr>
      </w:pPr>
    </w:p>
    <w:tbl>
      <w:tblPr>
        <w:tblLayout w:type="fixed"/>
        <w:tblInd w:w="20" w:type="dxa"/>
        <w:tblCellMar>
          <w:top w:w="0" w:type="dxa"/>
          <w:left w:w="0" w:type="dxa"/>
          <w:bottom w:w="0" w:type="dxa"/>
          <w:right w:w="0" w:type="dxa"/>
        </w:tblCellMar>
      </w:tblPr>
      <w:tr>
        <w:trPr>
          <w:trHeight w:val="206"/>
        </w:trPr>
        <w:tc>
          <w:tcPr>
            <w:tcW w:w="7540" w:type="dxa"/>
            <w:vAlign w:val="bottom"/>
          </w:tcPr>
          <w:p>
            <w:pPr>
              <w:ind w:left="20"/>
              <w:spacing w:after="0"/>
              <w:rPr>
                <w:sz w:val="20"/>
                <w:szCs w:val="20"/>
                <w:color w:val="auto"/>
              </w:rPr>
            </w:pPr>
            <w:r>
              <w:rPr>
                <w:rFonts w:ascii="Arial" w:cs="Arial" w:eastAsia="Arial" w:hAnsi="Arial"/>
                <w:sz w:val="14"/>
                <w:szCs w:val="14"/>
                <w:b w:val="1"/>
                <w:bCs w:val="1"/>
                <w:color w:val="auto"/>
              </w:rPr>
              <w:t>Location of Gain (Loss)</w:t>
            </w:r>
          </w:p>
        </w:tc>
        <w:tc>
          <w:tcPr>
            <w:tcW w:w="9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vMerge w:val="restart"/>
          </w:tcPr>
          <w:p>
            <w:pPr>
              <w:jc w:val="right"/>
              <w:ind w:right="148"/>
              <w:spacing w:after="0"/>
              <w:rPr>
                <w:sz w:val="20"/>
                <w:szCs w:val="20"/>
                <w:color w:val="auto"/>
              </w:rPr>
            </w:pPr>
            <w:r>
              <w:rPr>
                <w:rFonts w:ascii="Arial" w:cs="Arial" w:eastAsia="Arial" w:hAnsi="Arial"/>
                <w:sz w:val="14"/>
                <w:szCs w:val="14"/>
                <w:b w:val="1"/>
                <w:bCs w:val="1"/>
                <w:color w:val="auto"/>
              </w:rPr>
              <w:t>2017</w:t>
            </w:r>
          </w:p>
        </w:tc>
        <w:tc>
          <w:tcPr>
            <w:tcW w:w="8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71"/>
        </w:trPr>
        <w:tc>
          <w:tcPr>
            <w:tcW w:w="754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vMerge w:val="continue"/>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7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920" w:type="dxa"/>
            <w:vAlign w:val="bottom"/>
            <w:vMerge w:val="restart"/>
            <w:shd w:val="clear" w:color="auto" w:fill="CCEEFF"/>
          </w:tcPr>
          <w:p>
            <w:pPr>
              <w:jc w:val="right"/>
              <w:ind w:right="528"/>
              <w:spacing w:after="0"/>
              <w:rPr>
                <w:sz w:val="20"/>
                <w:szCs w:val="20"/>
                <w:color w:val="auto"/>
              </w:rPr>
            </w:pPr>
            <w:r>
              <w:rPr>
                <w:rFonts w:ascii="Arial" w:cs="Arial" w:eastAsia="Arial" w:hAnsi="Arial"/>
                <w:sz w:val="14"/>
                <w:szCs w:val="14"/>
                <w:color w:val="auto"/>
              </w:rPr>
              <w:t>$</w:t>
            </w:r>
          </w:p>
        </w:tc>
        <w:tc>
          <w:tcPr>
            <w:tcW w:w="1120" w:type="dxa"/>
            <w:vAlign w:val="bottom"/>
            <w:vMerge w:val="restart"/>
            <w:shd w:val="clear" w:color="auto" w:fill="CCEEFF"/>
          </w:tcPr>
          <w:p>
            <w:pPr>
              <w:jc w:val="right"/>
              <w:ind w:right="148"/>
              <w:spacing w:after="0"/>
              <w:rPr>
                <w:sz w:val="20"/>
                <w:szCs w:val="20"/>
                <w:color w:val="auto"/>
              </w:rPr>
            </w:pPr>
            <w:r>
              <w:rPr>
                <w:rFonts w:ascii="Arial" w:cs="Arial" w:eastAsia="Arial" w:hAnsi="Arial"/>
                <w:sz w:val="14"/>
                <w:szCs w:val="14"/>
                <w:color w:val="auto"/>
              </w:rPr>
              <w:t>18.2</w:t>
            </w:r>
          </w:p>
        </w:tc>
        <w:tc>
          <w:tcPr>
            <w:tcW w:w="820" w:type="dxa"/>
            <w:vAlign w:val="bottom"/>
            <w:vMerge w:val="restart"/>
            <w:shd w:val="clear" w:color="auto" w:fill="CCEEFF"/>
          </w:tcPr>
          <w:p>
            <w:pPr>
              <w:jc w:val="right"/>
              <w:ind w:right="528"/>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80"/>
        </w:trPr>
        <w:tc>
          <w:tcPr>
            <w:tcW w:w="7540" w:type="dxa"/>
            <w:vAlign w:val="bottom"/>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540" w:type="dxa"/>
            <w:vAlign w:val="bottom"/>
          </w:tcPr>
          <w:p>
            <w:pPr>
              <w:ind w:left="20"/>
              <w:spacing w:after="0"/>
              <w:rPr>
                <w:sz w:val="20"/>
                <w:szCs w:val="20"/>
                <w:color w:val="auto"/>
              </w:rPr>
            </w:pPr>
            <w:r>
              <w:rPr>
                <w:rFonts w:ascii="Arial" w:cs="Arial" w:eastAsia="Arial" w:hAnsi="Arial"/>
                <w:sz w:val="14"/>
                <w:szCs w:val="14"/>
                <w:color w:val="auto"/>
              </w:rPr>
              <w:t>Cost of Revenue</w:t>
            </w:r>
          </w:p>
        </w:tc>
        <w:tc>
          <w:tcPr>
            <w:tcW w:w="920" w:type="dxa"/>
            <w:vAlign w:val="bottom"/>
          </w:tcPr>
          <w:p>
            <w:pPr>
              <w:spacing w:after="0"/>
              <w:rPr>
                <w:sz w:val="16"/>
                <w:szCs w:val="16"/>
                <w:color w:val="auto"/>
              </w:rPr>
            </w:pPr>
          </w:p>
        </w:tc>
        <w:tc>
          <w:tcPr>
            <w:tcW w:w="1120" w:type="dxa"/>
            <w:vAlign w:val="bottom"/>
            <w:vMerge w:val="restart"/>
          </w:tcPr>
          <w:p>
            <w:pPr>
              <w:jc w:val="right"/>
              <w:ind w:right="88"/>
              <w:spacing w:after="0"/>
              <w:rPr>
                <w:sz w:val="20"/>
                <w:szCs w:val="20"/>
                <w:color w:val="auto"/>
              </w:rPr>
            </w:pPr>
            <w:r>
              <w:rPr>
                <w:rFonts w:ascii="Arial" w:cs="Arial" w:eastAsia="Arial" w:hAnsi="Arial"/>
                <w:sz w:val="14"/>
                <w:szCs w:val="14"/>
                <w:color w:val="auto"/>
              </w:rPr>
              <w:t>(20.2)</w:t>
            </w:r>
          </w:p>
        </w:tc>
        <w:tc>
          <w:tcPr>
            <w:tcW w:w="820" w:type="dxa"/>
            <w:vAlign w:val="bottom"/>
          </w:tcPr>
          <w:p>
            <w:pPr>
              <w:spacing w:after="0"/>
              <w:rPr>
                <w:sz w:val="16"/>
                <w:szCs w:val="16"/>
                <w:color w:val="auto"/>
              </w:rPr>
            </w:pP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74"/>
        </w:trPr>
        <w:tc>
          <w:tcPr>
            <w:tcW w:w="754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vMerge w:val="continue"/>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7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Gain (Loss)</w:t>
            </w:r>
          </w:p>
        </w:tc>
        <w:tc>
          <w:tcPr>
            <w:tcW w:w="920" w:type="dxa"/>
            <w:vAlign w:val="bottom"/>
            <w:vMerge w:val="restart"/>
            <w:shd w:val="clear" w:color="auto" w:fill="CCEEFF"/>
          </w:tcPr>
          <w:p>
            <w:pPr>
              <w:jc w:val="right"/>
              <w:ind w:right="528"/>
              <w:spacing w:after="0"/>
              <w:rPr>
                <w:sz w:val="20"/>
                <w:szCs w:val="20"/>
                <w:color w:val="auto"/>
              </w:rPr>
            </w:pPr>
            <w:r>
              <w:rPr>
                <w:rFonts w:ascii="Arial" w:cs="Arial" w:eastAsia="Arial" w:hAnsi="Arial"/>
                <w:sz w:val="14"/>
                <w:szCs w:val="14"/>
                <w:color w:val="auto"/>
              </w:rPr>
              <w:t>$</w:t>
            </w:r>
          </w:p>
        </w:tc>
        <w:tc>
          <w:tcPr>
            <w:tcW w:w="112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(2.0)</w:t>
            </w:r>
          </w:p>
        </w:tc>
        <w:tc>
          <w:tcPr>
            <w:tcW w:w="820" w:type="dxa"/>
            <w:vAlign w:val="bottom"/>
            <w:vMerge w:val="restart"/>
            <w:shd w:val="clear" w:color="auto" w:fill="CCEEFF"/>
          </w:tcPr>
          <w:p>
            <w:pPr>
              <w:jc w:val="right"/>
              <w:ind w:right="528"/>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74"/>
        </w:trPr>
        <w:tc>
          <w:tcPr>
            <w:tcW w:w="7540" w:type="dxa"/>
            <w:vAlign w:val="bottom"/>
            <w:tcBorders>
              <w:bottom w:val="single" w:sz="8" w:color="auto"/>
            </w:tcBorders>
            <w:shd w:val="clear" w:color="auto" w:fill="CCEEFF"/>
          </w:tcPr>
          <w:p>
            <w:pPr>
              <w:spacing w:after="0"/>
              <w:rPr>
                <w:sz w:val="6"/>
                <w:szCs w:val="6"/>
                <w:color w:val="auto"/>
              </w:rPr>
            </w:pPr>
          </w:p>
        </w:tc>
        <w:tc>
          <w:tcPr>
            <w:tcW w:w="920" w:type="dxa"/>
            <w:vAlign w:val="bottom"/>
            <w:tcBorders>
              <w:bottom w:val="single" w:sz="8" w:color="auto"/>
            </w:tcBorders>
            <w:vMerge w:val="continue"/>
            <w:shd w:val="clear" w:color="auto" w:fill="CCEEFF"/>
          </w:tcPr>
          <w:p>
            <w:pPr>
              <w:spacing w:after="0"/>
              <w:rPr>
                <w:sz w:val="6"/>
                <w:szCs w:val="6"/>
                <w:color w:val="auto"/>
              </w:rPr>
            </w:pPr>
          </w:p>
        </w:tc>
        <w:tc>
          <w:tcPr>
            <w:tcW w:w="1120" w:type="dxa"/>
            <w:vAlign w:val="bottom"/>
            <w:tcBorders>
              <w:bottom w:val="single" w:sz="8" w:color="auto"/>
            </w:tcBorders>
            <w:vMerge w:val="continue"/>
            <w:shd w:val="clear" w:color="auto" w:fill="CCEEFF"/>
          </w:tcPr>
          <w:p>
            <w:pPr>
              <w:spacing w:after="0"/>
              <w:rPr>
                <w:sz w:val="6"/>
                <w:szCs w:val="6"/>
                <w:color w:val="auto"/>
              </w:rPr>
            </w:pPr>
          </w:p>
        </w:tc>
        <w:tc>
          <w:tcPr>
            <w:tcW w:w="820" w:type="dxa"/>
            <w:vAlign w:val="bottom"/>
            <w:tcBorders>
              <w:bottom w:val="single" w:sz="8" w:color="auto"/>
            </w:tcBorders>
            <w:vMerge w:val="continue"/>
            <w:shd w:val="clear" w:color="auto" w:fill="CCEEFF"/>
          </w:tcPr>
          <w:p>
            <w:pPr>
              <w:spacing w:after="0"/>
              <w:rPr>
                <w:sz w:val="6"/>
                <w:szCs w:val="6"/>
                <w:color w:val="auto"/>
              </w:rPr>
            </w:pPr>
          </w:p>
        </w:tc>
        <w:tc>
          <w:tcPr>
            <w:tcW w:w="10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7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The effective portion of the gains or losses on derivative instruments designated as cash flow hedges of forecasted transactions are initially reported as a component of accumulated other comprehensive income and subsequently reclassified into earnings once the future transactions affects earnings.</w:t>
      </w:r>
    </w:p>
    <w:p>
      <w:pPr>
        <w:sectPr>
          <w:pgSz w:w="11900" w:h="16838" w:orient="portrait"/>
          <w:cols w:equalWidth="0" w:num="1">
            <w:col w:w="11420"/>
          </w:cols>
          <w:pgMar w:left="240" w:top="125" w:right="239" w:bottom="1440" w:gutter="0" w:footer="0" w:header="0"/>
          <w:type w:val="continuous"/>
        </w:sectPr>
      </w:pP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25" w:right="23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presents the effect and financial statement location of our derivative instruments not designated as hedging instruments on our consolidated statements of income and comprehensive income (in millions):</w:t>
      </w:r>
    </w:p>
    <w:p>
      <w:pPr>
        <w:spacing w:after="0" w:line="324" w:lineRule="exact"/>
        <w:rPr>
          <w:sz w:val="20"/>
          <w:szCs w:val="20"/>
          <w:color w:val="auto"/>
        </w:rPr>
      </w:pPr>
    </w:p>
    <w:p>
      <w:pPr>
        <w:jc w:val="right"/>
        <w:ind w:right="100"/>
        <w:spacing w:after="0"/>
        <w:rPr>
          <w:sz w:val="20"/>
          <w:szCs w:val="20"/>
          <w:color w:val="auto"/>
        </w:rPr>
      </w:pPr>
      <w:r>
        <w:rPr>
          <w:rFonts w:ascii="Arial" w:cs="Arial" w:eastAsia="Arial" w:hAnsi="Arial"/>
          <w:sz w:val="14"/>
          <w:szCs w:val="14"/>
          <w:b w:val="1"/>
          <w:bCs w:val="1"/>
          <w:color w:val="auto"/>
        </w:rPr>
        <w:t>Amount of Realized and</w:t>
      </w:r>
    </w:p>
    <w:p>
      <w:pPr>
        <w:spacing w:after="0" w:line="4" w:lineRule="exact"/>
        <w:rPr>
          <w:sz w:val="20"/>
          <w:szCs w:val="20"/>
          <w:color w:val="auto"/>
        </w:rPr>
      </w:pPr>
    </w:p>
    <w:p>
      <w:pPr>
        <w:jc w:val="right"/>
        <w:ind w:right="100"/>
        <w:spacing w:after="0"/>
        <w:rPr>
          <w:sz w:val="20"/>
          <w:szCs w:val="20"/>
          <w:color w:val="auto"/>
        </w:rPr>
      </w:pPr>
      <w:r>
        <w:rPr>
          <w:rFonts w:ascii="Arial" w:cs="Arial" w:eastAsia="Arial" w:hAnsi="Arial"/>
          <w:sz w:val="14"/>
          <w:szCs w:val="14"/>
          <w:b w:val="1"/>
          <w:bCs w:val="1"/>
          <w:color w:val="auto"/>
        </w:rPr>
        <w:t>Unrealized Gain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5090795</wp:posOffset>
            </wp:positionH>
            <wp:positionV relativeFrom="paragraph">
              <wp:posOffset>13335</wp:posOffset>
            </wp:positionV>
            <wp:extent cx="216090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160905" cy="8890"/>
                    </a:xfrm>
                    <a:prstGeom prst="rect">
                      <a:avLst/>
                    </a:prstGeom>
                    <a:noFill/>
                  </pic:spPr>
                </pic:pic>
              </a:graphicData>
            </a:graphic>
          </wp:anchor>
        </w:drawing>
      </w:r>
    </w:p>
    <w:p>
      <w:pPr>
        <w:spacing w:after="0" w:line="19" w:lineRule="exact"/>
        <w:rPr>
          <w:sz w:val="20"/>
          <w:szCs w:val="20"/>
          <w:color w:val="auto"/>
        </w:rPr>
      </w:pPr>
    </w:p>
    <w:p>
      <w:pPr>
        <w:ind w:left="9380"/>
        <w:spacing w:after="0"/>
        <w:rPr>
          <w:sz w:val="20"/>
          <w:szCs w:val="20"/>
          <w:color w:val="auto"/>
        </w:rPr>
      </w:pPr>
      <w:r>
        <w:rPr>
          <w:rFonts w:ascii="Arial" w:cs="Arial" w:eastAsia="Arial" w:hAnsi="Arial"/>
          <w:sz w:val="13"/>
          <w:szCs w:val="13"/>
          <w:b w:val="1"/>
          <w:bCs w:val="1"/>
          <w:color w:val="auto"/>
        </w:rPr>
        <w:t>Three Months ended March 31,</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140" w:type="dxa"/>
            <w:vAlign w:val="bottom"/>
          </w:tcPr>
          <w:p>
            <w:pPr>
              <w:ind w:left="40"/>
              <w:spacing w:after="0"/>
              <w:rPr>
                <w:sz w:val="20"/>
                <w:szCs w:val="20"/>
                <w:color w:val="auto"/>
              </w:rPr>
            </w:pPr>
            <w:r>
              <w:rPr>
                <w:rFonts w:ascii="Arial" w:cs="Arial" w:eastAsia="Arial" w:hAnsi="Arial"/>
                <w:sz w:val="14"/>
                <w:szCs w:val="14"/>
                <w:b w:val="1"/>
                <w:bCs w:val="1"/>
                <w:color w:val="auto"/>
              </w:rPr>
              <w:t>Derivative Instruments - Non-designated</w:t>
            </w:r>
          </w:p>
        </w:tc>
        <w:tc>
          <w:tcPr>
            <w:tcW w:w="3880" w:type="dxa"/>
            <w:vAlign w:val="bottom"/>
          </w:tcPr>
          <w:p>
            <w:pPr>
              <w:ind w:left="1600"/>
              <w:spacing w:after="0"/>
              <w:rPr>
                <w:sz w:val="20"/>
                <w:szCs w:val="20"/>
                <w:color w:val="auto"/>
              </w:rPr>
            </w:pPr>
            <w:r>
              <w:rPr>
                <w:rFonts w:ascii="Arial" w:cs="Arial" w:eastAsia="Arial" w:hAnsi="Arial"/>
                <w:sz w:val="14"/>
                <w:szCs w:val="14"/>
                <w:b w:val="1"/>
                <w:bCs w:val="1"/>
                <w:color w:val="auto"/>
              </w:rPr>
              <w:t>Location of Gain (Loss)</w:t>
            </w:r>
          </w:p>
        </w:tc>
        <w:tc>
          <w:tcPr>
            <w:tcW w:w="7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vMerge w:val="restart"/>
          </w:tcPr>
          <w:p>
            <w:pPr>
              <w:jc w:val="right"/>
              <w:ind w:right="68"/>
              <w:spacing w:after="0"/>
              <w:rPr>
                <w:sz w:val="20"/>
                <w:szCs w:val="20"/>
                <w:color w:val="auto"/>
              </w:rPr>
            </w:pPr>
            <w:r>
              <w:rPr>
                <w:rFonts w:ascii="Arial" w:cs="Arial" w:eastAsia="Arial" w:hAnsi="Arial"/>
                <w:sz w:val="14"/>
                <w:szCs w:val="14"/>
                <w:b w:val="1"/>
                <w:bCs w:val="1"/>
                <w:color w:val="auto"/>
              </w:rPr>
              <w:t>2017</w:t>
            </w:r>
          </w:p>
        </w:tc>
        <w:tc>
          <w:tcPr>
            <w:tcW w:w="7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71"/>
        </w:trPr>
        <w:tc>
          <w:tcPr>
            <w:tcW w:w="4140" w:type="dxa"/>
            <w:vAlign w:val="bottom"/>
            <w:tcBorders>
              <w:bottom w:val="single" w:sz="8" w:color="auto"/>
            </w:tcBorders>
          </w:tcPr>
          <w:p>
            <w:pPr>
              <w:spacing w:after="0"/>
              <w:rPr>
                <w:sz w:val="6"/>
                <w:szCs w:val="6"/>
                <w:color w:val="auto"/>
              </w:rPr>
            </w:pPr>
          </w:p>
        </w:tc>
        <w:tc>
          <w:tcPr>
            <w:tcW w:w="388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vMerge w:val="continue"/>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4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Commodity contracts</w:t>
            </w:r>
          </w:p>
        </w:tc>
        <w:tc>
          <w:tcPr>
            <w:tcW w:w="38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4140" w:type="dxa"/>
            <w:vAlign w:val="bottom"/>
            <w:shd w:val="clear" w:color="auto" w:fill="CCEEFF"/>
          </w:tcPr>
          <w:p>
            <w:pPr>
              <w:spacing w:after="0"/>
              <w:rPr>
                <w:sz w:val="6"/>
                <w:szCs w:val="6"/>
                <w:color w:val="auto"/>
              </w:rPr>
            </w:pPr>
          </w:p>
        </w:tc>
        <w:tc>
          <w:tcPr>
            <w:tcW w:w="388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140" w:type="dxa"/>
            <w:vAlign w:val="bottom"/>
          </w:tcPr>
          <w:p>
            <w:pPr>
              <w:spacing w:after="0"/>
              <w:rPr>
                <w:sz w:val="16"/>
                <w:szCs w:val="16"/>
                <w:color w:val="auto"/>
              </w:rPr>
            </w:pPr>
          </w:p>
        </w:tc>
        <w:tc>
          <w:tcPr>
            <w:tcW w:w="3880" w:type="dxa"/>
            <w:vAlign w:val="bottom"/>
          </w:tcPr>
          <w:p>
            <w:pPr>
              <w:ind w:left="1600"/>
              <w:spacing w:after="0"/>
              <w:rPr>
                <w:sz w:val="20"/>
                <w:szCs w:val="20"/>
                <w:color w:val="auto"/>
              </w:rPr>
            </w:pPr>
            <w:r>
              <w:rPr>
                <w:rFonts w:ascii="Arial" w:cs="Arial" w:eastAsia="Arial" w:hAnsi="Arial"/>
                <w:sz w:val="14"/>
                <w:szCs w:val="14"/>
                <w:color w:val="auto"/>
              </w:rPr>
              <w:t>Revenue</w:t>
            </w:r>
          </w:p>
        </w:tc>
        <w:tc>
          <w:tcPr>
            <w:tcW w:w="760" w:type="dxa"/>
            <w:vAlign w:val="bottom"/>
            <w:vMerge w:val="restart"/>
          </w:tcPr>
          <w:p>
            <w:pPr>
              <w:jc w:val="right"/>
              <w:ind w:right="468"/>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ind w:right="68"/>
              <w:spacing w:after="0"/>
              <w:rPr>
                <w:sz w:val="20"/>
                <w:szCs w:val="20"/>
                <w:color w:val="auto"/>
              </w:rPr>
            </w:pPr>
            <w:r>
              <w:rPr>
                <w:rFonts w:ascii="Arial" w:cs="Arial" w:eastAsia="Arial" w:hAnsi="Arial"/>
                <w:sz w:val="14"/>
                <w:szCs w:val="14"/>
                <w:color w:val="auto"/>
              </w:rPr>
              <w:t>49.2</w:t>
            </w:r>
          </w:p>
        </w:tc>
        <w:tc>
          <w:tcPr>
            <w:tcW w:w="720" w:type="dxa"/>
            <w:vAlign w:val="bottom"/>
            <w:vMerge w:val="restart"/>
          </w:tcPr>
          <w:p>
            <w:pPr>
              <w:jc w:val="right"/>
              <w:ind w:right="468"/>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jc w:val="right"/>
              <w:ind w:right="28"/>
              <w:spacing w:after="0"/>
              <w:rPr>
                <w:sz w:val="20"/>
                <w:szCs w:val="20"/>
                <w:color w:val="auto"/>
              </w:rPr>
            </w:pPr>
            <w:r>
              <w:rPr>
                <w:rFonts w:ascii="Arial" w:cs="Arial" w:eastAsia="Arial" w:hAnsi="Arial"/>
                <w:sz w:val="14"/>
                <w:szCs w:val="14"/>
                <w:color w:val="auto"/>
              </w:rPr>
              <w:t>38.9</w:t>
            </w:r>
          </w:p>
        </w:tc>
        <w:tc>
          <w:tcPr>
            <w:tcW w:w="0" w:type="dxa"/>
            <w:vAlign w:val="bottom"/>
          </w:tcPr>
          <w:p>
            <w:pPr>
              <w:spacing w:after="0"/>
              <w:rPr>
                <w:sz w:val="1"/>
                <w:szCs w:val="1"/>
                <w:color w:val="auto"/>
              </w:rPr>
            </w:pPr>
          </w:p>
        </w:tc>
      </w:tr>
      <w:tr>
        <w:trPr>
          <w:trHeight w:val="74"/>
        </w:trPr>
        <w:tc>
          <w:tcPr>
            <w:tcW w:w="4140" w:type="dxa"/>
            <w:vAlign w:val="bottom"/>
          </w:tcPr>
          <w:p>
            <w:pPr>
              <w:spacing w:after="0"/>
              <w:rPr>
                <w:sz w:val="6"/>
                <w:szCs w:val="6"/>
                <w:color w:val="auto"/>
              </w:rPr>
            </w:pPr>
          </w:p>
        </w:tc>
        <w:tc>
          <w:tcPr>
            <w:tcW w:w="388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140" w:type="dxa"/>
            <w:vAlign w:val="bottom"/>
            <w:shd w:val="clear" w:color="auto" w:fill="CCEEFF"/>
          </w:tcPr>
          <w:p>
            <w:pPr>
              <w:spacing w:after="0"/>
              <w:rPr>
                <w:sz w:val="17"/>
                <w:szCs w:val="17"/>
                <w:color w:val="auto"/>
              </w:rPr>
            </w:pPr>
          </w:p>
        </w:tc>
        <w:tc>
          <w:tcPr>
            <w:tcW w:w="3880" w:type="dxa"/>
            <w:vAlign w:val="bottom"/>
            <w:shd w:val="clear" w:color="auto" w:fill="CCEEFF"/>
          </w:tcPr>
          <w:p>
            <w:pPr>
              <w:ind w:left="1600"/>
              <w:spacing w:after="0"/>
              <w:rPr>
                <w:sz w:val="20"/>
                <w:szCs w:val="20"/>
                <w:color w:val="auto"/>
              </w:rPr>
            </w:pPr>
            <w:r>
              <w:rPr>
                <w:rFonts w:ascii="Arial" w:cs="Arial" w:eastAsia="Arial" w:hAnsi="Arial"/>
                <w:sz w:val="14"/>
                <w:szCs w:val="14"/>
                <w:color w:val="auto"/>
              </w:rPr>
              <w:t>Cost of revenue</w:t>
            </w:r>
          </w:p>
        </w:tc>
        <w:tc>
          <w:tcPr>
            <w:tcW w:w="76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(38.8)</w:t>
            </w:r>
          </w:p>
        </w:tc>
        <w:tc>
          <w:tcPr>
            <w:tcW w:w="72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(47.5)</w:t>
            </w:r>
          </w:p>
        </w:tc>
        <w:tc>
          <w:tcPr>
            <w:tcW w:w="0" w:type="dxa"/>
            <w:vAlign w:val="bottom"/>
          </w:tcPr>
          <w:p>
            <w:pPr>
              <w:spacing w:after="0"/>
              <w:rPr>
                <w:sz w:val="1"/>
                <w:szCs w:val="1"/>
                <w:color w:val="auto"/>
              </w:rPr>
            </w:pPr>
          </w:p>
        </w:tc>
      </w:tr>
      <w:tr>
        <w:trPr>
          <w:trHeight w:val="74"/>
        </w:trPr>
        <w:tc>
          <w:tcPr>
            <w:tcW w:w="4140" w:type="dxa"/>
            <w:vAlign w:val="bottom"/>
            <w:shd w:val="clear" w:color="auto" w:fill="CCEEFF"/>
          </w:tcPr>
          <w:p>
            <w:pPr>
              <w:spacing w:after="0"/>
              <w:rPr>
                <w:sz w:val="6"/>
                <w:szCs w:val="6"/>
                <w:color w:val="auto"/>
              </w:rPr>
            </w:pPr>
          </w:p>
        </w:tc>
        <w:tc>
          <w:tcPr>
            <w:tcW w:w="3880" w:type="dxa"/>
            <w:vAlign w:val="bottom"/>
            <w:shd w:val="clear" w:color="auto" w:fill="CCEEFF"/>
          </w:tcPr>
          <w:p>
            <w:pPr>
              <w:spacing w:after="0"/>
              <w:rPr>
                <w:sz w:val="6"/>
                <w:szCs w:val="6"/>
                <w:color w:val="auto"/>
              </w:rPr>
            </w:pPr>
          </w:p>
        </w:tc>
        <w:tc>
          <w:tcPr>
            <w:tcW w:w="760" w:type="dxa"/>
            <w:vAlign w:val="bottom"/>
            <w:tcBorders>
              <w:bottom w:val="single" w:sz="8" w:color="auto"/>
            </w:tcBorders>
            <w:shd w:val="clear" w:color="auto" w:fill="CCEEFF"/>
          </w:tcPr>
          <w:p>
            <w:pPr>
              <w:spacing w:after="0"/>
              <w:rPr>
                <w:sz w:val="6"/>
                <w:szCs w:val="6"/>
                <w:color w:val="auto"/>
              </w:rPr>
            </w:pPr>
          </w:p>
        </w:tc>
        <w:tc>
          <w:tcPr>
            <w:tcW w:w="980" w:type="dxa"/>
            <w:vAlign w:val="bottom"/>
            <w:tcBorders>
              <w:bottom w:val="single" w:sz="8" w:color="auto"/>
            </w:tcBorders>
            <w:vMerge w:val="continue"/>
            <w:shd w:val="clear" w:color="auto" w:fill="CCEEFF"/>
          </w:tcPr>
          <w:p>
            <w:pPr>
              <w:spacing w:after="0"/>
              <w:rPr>
                <w:sz w:val="6"/>
                <w:szCs w:val="6"/>
                <w:color w:val="auto"/>
              </w:rPr>
            </w:pPr>
          </w:p>
        </w:tc>
        <w:tc>
          <w:tcPr>
            <w:tcW w:w="720" w:type="dxa"/>
            <w:vAlign w:val="bottom"/>
            <w:tcBorders>
              <w:bottom w:val="single" w:sz="8" w:color="auto"/>
            </w:tcBorders>
            <w:shd w:val="clear" w:color="auto" w:fill="CCEEFF"/>
          </w:tcPr>
          <w:p>
            <w:pPr>
              <w:spacing w:after="0"/>
              <w:rPr>
                <w:sz w:val="6"/>
                <w:szCs w:val="6"/>
                <w:color w:val="auto"/>
              </w:rPr>
            </w:pPr>
          </w:p>
        </w:tc>
        <w:tc>
          <w:tcPr>
            <w:tcW w:w="94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64"/>
        </w:trPr>
        <w:tc>
          <w:tcPr>
            <w:tcW w:w="4140" w:type="dxa"/>
            <w:vAlign w:val="bottom"/>
          </w:tcPr>
          <w:p>
            <w:pPr>
              <w:spacing w:after="0"/>
              <w:rPr>
                <w:sz w:val="22"/>
                <w:szCs w:val="22"/>
                <w:color w:val="auto"/>
              </w:rPr>
            </w:pPr>
          </w:p>
        </w:tc>
        <w:tc>
          <w:tcPr>
            <w:tcW w:w="3880" w:type="dxa"/>
            <w:vAlign w:val="bottom"/>
          </w:tcPr>
          <w:p>
            <w:pPr>
              <w:spacing w:after="0"/>
              <w:rPr>
                <w:sz w:val="22"/>
                <w:szCs w:val="22"/>
                <w:color w:val="auto"/>
              </w:rPr>
            </w:pPr>
          </w:p>
        </w:tc>
        <w:tc>
          <w:tcPr>
            <w:tcW w:w="760" w:type="dxa"/>
            <w:vAlign w:val="bottom"/>
          </w:tcPr>
          <w:p>
            <w:pPr>
              <w:jc w:val="right"/>
              <w:ind w:right="46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10.4</w:t>
            </w:r>
          </w:p>
        </w:tc>
        <w:tc>
          <w:tcPr>
            <w:tcW w:w="720" w:type="dxa"/>
            <w:vAlign w:val="bottom"/>
          </w:tcPr>
          <w:p>
            <w:pPr>
              <w:jc w:val="right"/>
              <w:ind w:right="46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197"/>
        </w:trPr>
        <w:tc>
          <w:tcPr>
            <w:tcW w:w="4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Foreign currency contracts</w:t>
            </w:r>
          </w:p>
        </w:tc>
        <w:tc>
          <w:tcPr>
            <w:tcW w:w="38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4140" w:type="dxa"/>
            <w:vAlign w:val="bottom"/>
            <w:shd w:val="clear" w:color="auto" w:fill="CCEEFF"/>
          </w:tcPr>
          <w:p>
            <w:pPr>
              <w:spacing w:after="0"/>
              <w:rPr>
                <w:sz w:val="6"/>
                <w:szCs w:val="6"/>
                <w:color w:val="auto"/>
              </w:rPr>
            </w:pPr>
          </w:p>
        </w:tc>
        <w:tc>
          <w:tcPr>
            <w:tcW w:w="388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140" w:type="dxa"/>
            <w:vAlign w:val="bottom"/>
          </w:tcPr>
          <w:p>
            <w:pPr>
              <w:spacing w:after="0"/>
              <w:rPr>
                <w:sz w:val="16"/>
                <w:szCs w:val="16"/>
                <w:color w:val="auto"/>
              </w:rPr>
            </w:pPr>
          </w:p>
        </w:tc>
        <w:tc>
          <w:tcPr>
            <w:tcW w:w="3880" w:type="dxa"/>
            <w:vAlign w:val="bottom"/>
          </w:tcPr>
          <w:p>
            <w:pPr>
              <w:ind w:left="1600"/>
              <w:spacing w:after="0"/>
              <w:rPr>
                <w:sz w:val="20"/>
                <w:szCs w:val="20"/>
                <w:color w:val="auto"/>
              </w:rPr>
            </w:pPr>
            <w:r>
              <w:rPr>
                <w:rFonts w:ascii="Arial" w:cs="Arial" w:eastAsia="Arial" w:hAnsi="Arial"/>
                <w:sz w:val="14"/>
                <w:szCs w:val="14"/>
                <w:color w:val="auto"/>
              </w:rPr>
              <w:t>Revenue</w:t>
            </w:r>
          </w:p>
        </w:tc>
        <w:tc>
          <w:tcPr>
            <w:tcW w:w="760" w:type="dxa"/>
            <w:vAlign w:val="bottom"/>
            <w:vMerge w:val="restart"/>
          </w:tcPr>
          <w:p>
            <w:pPr>
              <w:jc w:val="right"/>
              <w:ind w:right="468"/>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ind w:right="8"/>
              <w:spacing w:after="0"/>
              <w:rPr>
                <w:sz w:val="20"/>
                <w:szCs w:val="20"/>
                <w:color w:val="auto"/>
              </w:rPr>
            </w:pPr>
            <w:r>
              <w:rPr>
                <w:rFonts w:ascii="Arial" w:cs="Arial" w:eastAsia="Arial" w:hAnsi="Arial"/>
                <w:sz w:val="14"/>
                <w:szCs w:val="14"/>
                <w:color w:val="auto"/>
              </w:rPr>
              <w:t>(0.5)</w:t>
            </w:r>
          </w:p>
        </w:tc>
        <w:tc>
          <w:tcPr>
            <w:tcW w:w="720" w:type="dxa"/>
            <w:vAlign w:val="bottom"/>
            <w:vMerge w:val="restart"/>
          </w:tcPr>
          <w:p>
            <w:pPr>
              <w:jc w:val="right"/>
              <w:ind w:right="468"/>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jc w:val="right"/>
              <w:ind w:right="28"/>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74"/>
        </w:trPr>
        <w:tc>
          <w:tcPr>
            <w:tcW w:w="4140" w:type="dxa"/>
            <w:vAlign w:val="bottom"/>
          </w:tcPr>
          <w:p>
            <w:pPr>
              <w:spacing w:after="0"/>
              <w:rPr>
                <w:sz w:val="6"/>
                <w:szCs w:val="6"/>
                <w:color w:val="auto"/>
              </w:rPr>
            </w:pPr>
          </w:p>
        </w:tc>
        <w:tc>
          <w:tcPr>
            <w:tcW w:w="388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140" w:type="dxa"/>
            <w:vAlign w:val="bottom"/>
            <w:shd w:val="clear" w:color="auto" w:fill="CCEEFF"/>
          </w:tcPr>
          <w:p>
            <w:pPr>
              <w:spacing w:after="0"/>
              <w:rPr>
                <w:sz w:val="17"/>
                <w:szCs w:val="17"/>
                <w:color w:val="auto"/>
              </w:rPr>
            </w:pPr>
          </w:p>
        </w:tc>
        <w:tc>
          <w:tcPr>
            <w:tcW w:w="3880" w:type="dxa"/>
            <w:vAlign w:val="bottom"/>
            <w:shd w:val="clear" w:color="auto" w:fill="CCEEFF"/>
          </w:tcPr>
          <w:p>
            <w:pPr>
              <w:ind w:left="1600"/>
              <w:spacing w:after="0"/>
              <w:rPr>
                <w:sz w:val="20"/>
                <w:szCs w:val="20"/>
                <w:color w:val="auto"/>
              </w:rPr>
            </w:pPr>
            <w:r>
              <w:rPr>
                <w:rFonts w:ascii="Arial" w:cs="Arial" w:eastAsia="Arial" w:hAnsi="Arial"/>
                <w:sz w:val="14"/>
                <w:szCs w:val="14"/>
                <w:color w:val="auto"/>
              </w:rPr>
              <w:t>Other (expense), income, net</w:t>
            </w:r>
          </w:p>
        </w:tc>
        <w:tc>
          <w:tcPr>
            <w:tcW w:w="76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(1.6)</w:t>
            </w:r>
          </w:p>
        </w:tc>
        <w:tc>
          <w:tcPr>
            <w:tcW w:w="72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74"/>
        </w:trPr>
        <w:tc>
          <w:tcPr>
            <w:tcW w:w="4140" w:type="dxa"/>
            <w:vAlign w:val="bottom"/>
            <w:shd w:val="clear" w:color="auto" w:fill="CCEEFF"/>
          </w:tcPr>
          <w:p>
            <w:pPr>
              <w:spacing w:after="0"/>
              <w:rPr>
                <w:sz w:val="6"/>
                <w:szCs w:val="6"/>
                <w:color w:val="auto"/>
              </w:rPr>
            </w:pPr>
          </w:p>
        </w:tc>
        <w:tc>
          <w:tcPr>
            <w:tcW w:w="3880" w:type="dxa"/>
            <w:vAlign w:val="bottom"/>
            <w:shd w:val="clear" w:color="auto" w:fill="CCEEFF"/>
          </w:tcPr>
          <w:p>
            <w:pPr>
              <w:spacing w:after="0"/>
              <w:rPr>
                <w:sz w:val="6"/>
                <w:szCs w:val="6"/>
                <w:color w:val="auto"/>
              </w:rPr>
            </w:pPr>
          </w:p>
        </w:tc>
        <w:tc>
          <w:tcPr>
            <w:tcW w:w="760" w:type="dxa"/>
            <w:vAlign w:val="bottom"/>
            <w:tcBorders>
              <w:bottom w:val="single" w:sz="8" w:color="auto"/>
            </w:tcBorders>
            <w:shd w:val="clear" w:color="auto" w:fill="CCEEFF"/>
          </w:tcPr>
          <w:p>
            <w:pPr>
              <w:spacing w:after="0"/>
              <w:rPr>
                <w:sz w:val="6"/>
                <w:szCs w:val="6"/>
                <w:color w:val="auto"/>
              </w:rPr>
            </w:pPr>
          </w:p>
        </w:tc>
        <w:tc>
          <w:tcPr>
            <w:tcW w:w="980" w:type="dxa"/>
            <w:vAlign w:val="bottom"/>
            <w:tcBorders>
              <w:bottom w:val="single" w:sz="8" w:color="auto"/>
            </w:tcBorders>
            <w:vMerge w:val="continue"/>
            <w:shd w:val="clear" w:color="auto" w:fill="CCEEFF"/>
          </w:tcPr>
          <w:p>
            <w:pPr>
              <w:spacing w:after="0"/>
              <w:rPr>
                <w:sz w:val="6"/>
                <w:szCs w:val="6"/>
                <w:color w:val="auto"/>
              </w:rPr>
            </w:pPr>
          </w:p>
        </w:tc>
        <w:tc>
          <w:tcPr>
            <w:tcW w:w="720" w:type="dxa"/>
            <w:vAlign w:val="bottom"/>
            <w:tcBorders>
              <w:bottom w:val="single" w:sz="8" w:color="auto"/>
            </w:tcBorders>
            <w:shd w:val="clear" w:color="auto" w:fill="CCEEFF"/>
          </w:tcPr>
          <w:p>
            <w:pPr>
              <w:spacing w:after="0"/>
              <w:rPr>
                <w:sz w:val="6"/>
                <w:szCs w:val="6"/>
                <w:color w:val="auto"/>
              </w:rPr>
            </w:pPr>
          </w:p>
        </w:tc>
        <w:tc>
          <w:tcPr>
            <w:tcW w:w="94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64"/>
        </w:trPr>
        <w:tc>
          <w:tcPr>
            <w:tcW w:w="4140" w:type="dxa"/>
            <w:vAlign w:val="bottom"/>
            <w:tcBorders>
              <w:bottom w:val="single" w:sz="8" w:color="auto"/>
            </w:tcBorders>
          </w:tcPr>
          <w:p>
            <w:pPr>
              <w:spacing w:after="0"/>
              <w:rPr>
                <w:sz w:val="22"/>
                <w:szCs w:val="22"/>
                <w:color w:val="auto"/>
              </w:rPr>
            </w:pPr>
          </w:p>
        </w:tc>
        <w:tc>
          <w:tcPr>
            <w:tcW w:w="38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w:t>
            </w:r>
          </w:p>
        </w:tc>
        <w:tc>
          <w:tcPr>
            <w:tcW w:w="72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90"/>
        </w:trPr>
        <w:tc>
          <w:tcPr>
            <w:tcW w:w="4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Gain (Loss)</w:t>
            </w:r>
          </w:p>
        </w:tc>
        <w:tc>
          <w:tcPr>
            <w:tcW w:w="3880" w:type="dxa"/>
            <w:vAlign w:val="bottom"/>
            <w:shd w:val="clear" w:color="auto" w:fill="CCEEFF"/>
          </w:tcPr>
          <w:p>
            <w:pPr>
              <w:spacing w:after="0"/>
              <w:rPr>
                <w:sz w:val="16"/>
                <w:szCs w:val="16"/>
                <w:color w:val="auto"/>
              </w:rPr>
            </w:pPr>
          </w:p>
        </w:tc>
        <w:tc>
          <w:tcPr>
            <w:tcW w:w="760" w:type="dxa"/>
            <w:vAlign w:val="bottom"/>
            <w:vMerge w:val="restart"/>
            <w:shd w:val="clear" w:color="auto" w:fill="CCEEFF"/>
          </w:tcPr>
          <w:p>
            <w:pPr>
              <w:jc w:val="right"/>
              <w:ind w:right="468"/>
              <w:spacing w:after="0"/>
              <w:rPr>
                <w:sz w:val="20"/>
                <w:szCs w:val="20"/>
                <w:color w:val="auto"/>
              </w:rPr>
            </w:pPr>
            <w:r>
              <w:rPr>
                <w:rFonts w:ascii="Arial" w:cs="Arial" w:eastAsia="Arial" w:hAnsi="Arial"/>
                <w:sz w:val="14"/>
                <w:szCs w:val="14"/>
                <w:color w:val="auto"/>
              </w:rPr>
              <w:t>$</w:t>
            </w:r>
          </w:p>
        </w:tc>
        <w:tc>
          <w:tcPr>
            <w:tcW w:w="98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8.3</w:t>
            </w:r>
          </w:p>
        </w:tc>
        <w:tc>
          <w:tcPr>
            <w:tcW w:w="720" w:type="dxa"/>
            <w:vAlign w:val="bottom"/>
            <w:vMerge w:val="restart"/>
            <w:shd w:val="clear" w:color="auto" w:fill="CCEEFF"/>
          </w:tcPr>
          <w:p>
            <w:pPr>
              <w:jc w:val="right"/>
              <w:ind w:right="468"/>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(11.9)</w:t>
            </w:r>
          </w:p>
        </w:tc>
        <w:tc>
          <w:tcPr>
            <w:tcW w:w="0" w:type="dxa"/>
            <w:vAlign w:val="bottom"/>
          </w:tcPr>
          <w:p>
            <w:pPr>
              <w:spacing w:after="0"/>
              <w:rPr>
                <w:sz w:val="1"/>
                <w:szCs w:val="1"/>
                <w:color w:val="auto"/>
              </w:rPr>
            </w:pPr>
          </w:p>
        </w:tc>
      </w:tr>
      <w:tr>
        <w:trPr>
          <w:trHeight w:val="74"/>
        </w:trPr>
        <w:tc>
          <w:tcPr>
            <w:tcW w:w="4140" w:type="dxa"/>
            <w:vAlign w:val="bottom"/>
            <w:tcBorders>
              <w:bottom w:val="single" w:sz="8" w:color="auto"/>
            </w:tcBorders>
            <w:shd w:val="clear" w:color="auto" w:fill="CCEEFF"/>
          </w:tcPr>
          <w:p>
            <w:pPr>
              <w:spacing w:after="0"/>
              <w:rPr>
                <w:sz w:val="6"/>
                <w:szCs w:val="6"/>
                <w:color w:val="auto"/>
              </w:rPr>
            </w:pPr>
          </w:p>
        </w:tc>
        <w:tc>
          <w:tcPr>
            <w:tcW w:w="3880" w:type="dxa"/>
            <w:vAlign w:val="bottom"/>
            <w:tcBorders>
              <w:bottom w:val="single" w:sz="8" w:color="auto"/>
            </w:tcBorders>
            <w:shd w:val="clear" w:color="auto" w:fill="CCEEFF"/>
          </w:tcPr>
          <w:p>
            <w:pPr>
              <w:spacing w:after="0"/>
              <w:rPr>
                <w:sz w:val="6"/>
                <w:szCs w:val="6"/>
                <w:color w:val="auto"/>
              </w:rPr>
            </w:pPr>
          </w:p>
        </w:tc>
        <w:tc>
          <w:tcPr>
            <w:tcW w:w="760" w:type="dxa"/>
            <w:vAlign w:val="bottom"/>
            <w:tcBorders>
              <w:bottom w:val="single" w:sz="8" w:color="auto"/>
            </w:tcBorders>
            <w:vMerge w:val="continue"/>
            <w:shd w:val="clear" w:color="auto" w:fill="CCEEFF"/>
          </w:tcPr>
          <w:p>
            <w:pPr>
              <w:spacing w:after="0"/>
              <w:rPr>
                <w:sz w:val="6"/>
                <w:szCs w:val="6"/>
                <w:color w:val="auto"/>
              </w:rPr>
            </w:pPr>
          </w:p>
        </w:tc>
        <w:tc>
          <w:tcPr>
            <w:tcW w:w="980" w:type="dxa"/>
            <w:vAlign w:val="bottom"/>
            <w:tcBorders>
              <w:bottom w:val="single" w:sz="8" w:color="auto"/>
            </w:tcBorders>
            <w:vMerge w:val="continue"/>
            <w:shd w:val="clear" w:color="auto" w:fill="CCEEFF"/>
          </w:tcPr>
          <w:p>
            <w:pPr>
              <w:spacing w:after="0"/>
              <w:rPr>
                <w:sz w:val="6"/>
                <w:szCs w:val="6"/>
                <w:color w:val="auto"/>
              </w:rPr>
            </w:pPr>
          </w:p>
        </w:tc>
        <w:tc>
          <w:tcPr>
            <w:tcW w:w="720" w:type="dxa"/>
            <w:vAlign w:val="bottom"/>
            <w:tcBorders>
              <w:bottom w:val="single" w:sz="8" w:color="auto"/>
            </w:tcBorders>
            <w:vMerge w:val="continue"/>
            <w:shd w:val="clear" w:color="auto" w:fill="CCEEFF"/>
          </w:tcPr>
          <w:p>
            <w:pPr>
              <w:spacing w:after="0"/>
              <w:rPr>
                <w:sz w:val="6"/>
                <w:szCs w:val="6"/>
                <w:color w:val="auto"/>
              </w:rPr>
            </w:pPr>
          </w:p>
        </w:tc>
        <w:tc>
          <w:tcPr>
            <w:tcW w:w="94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4140" w:type="dxa"/>
            <w:vAlign w:val="bottom"/>
            <w:tcBorders>
              <w:bottom w:val="single" w:sz="8" w:color="auto"/>
            </w:tcBorders>
          </w:tcPr>
          <w:p>
            <w:pPr>
              <w:spacing w:after="0" w:line="20" w:lineRule="exact"/>
              <w:rPr>
                <w:sz w:val="1"/>
                <w:szCs w:val="1"/>
                <w:color w:val="auto"/>
              </w:rPr>
            </w:pPr>
          </w:p>
        </w:tc>
        <w:tc>
          <w:tcPr>
            <w:tcW w:w="38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Credit-Risk-Related Contingent Features</w:t>
      </w:r>
    </w:p>
    <w:p>
      <w:pPr>
        <w:spacing w:after="0" w:line="229"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We enter into derivative instrument contracts which may require us to periodically post collateral. Certain of these derivative contracts contain credit-risk-related contingent clauses which are triggered by credit events. These credit events may include the requirement to post additional collateral or the immediate settlement of the derivative instruments upon the occurrence of a credit downgrade or if certain defined financial ratios fall below an established threshold. The following table presents the potential collateral requirements for derivative liabilities with credit-risk-contingent features (in millions):</w:t>
      </w:r>
    </w:p>
    <w:p>
      <w:pPr>
        <w:spacing w:after="0" w:line="8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640" w:type="dxa"/>
            <w:vAlign w:val="bottom"/>
            <w:gridSpan w:val="2"/>
          </w:tcPr>
          <w:p>
            <w:pPr>
              <w:jc w:val="right"/>
              <w:ind w:right="48"/>
              <w:spacing w:after="0"/>
              <w:rPr>
                <w:sz w:val="20"/>
                <w:szCs w:val="20"/>
                <w:color w:val="auto"/>
              </w:rPr>
            </w:pPr>
            <w:r>
              <w:rPr>
                <w:rFonts w:ascii="Arial" w:cs="Arial" w:eastAsia="Arial" w:hAnsi="Arial"/>
                <w:sz w:val="14"/>
                <w:szCs w:val="14"/>
                <w:b w:val="1"/>
                <w:bCs w:val="1"/>
                <w:color w:val="333333"/>
              </w:rPr>
              <w:t>Potential Collateral Requirements for</w:t>
            </w:r>
          </w:p>
        </w:tc>
      </w:tr>
      <w:tr>
        <w:trPr>
          <w:trHeight w:val="149"/>
        </w:trPr>
        <w:tc>
          <w:tcPr>
            <w:tcW w:w="59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160" w:type="dxa"/>
            <w:vAlign w:val="bottom"/>
          </w:tcPr>
          <w:p>
            <w:pPr>
              <w:jc w:val="right"/>
              <w:ind w:right="48"/>
              <w:spacing w:after="0" w:line="149" w:lineRule="exact"/>
              <w:rPr>
                <w:sz w:val="20"/>
                <w:szCs w:val="20"/>
                <w:color w:val="auto"/>
              </w:rPr>
            </w:pPr>
            <w:r>
              <w:rPr>
                <w:rFonts w:ascii="Arial" w:cs="Arial" w:eastAsia="Arial" w:hAnsi="Arial"/>
                <w:sz w:val="14"/>
                <w:szCs w:val="14"/>
                <w:b w:val="1"/>
                <w:bCs w:val="1"/>
                <w:color w:val="333333"/>
              </w:rPr>
              <w:t>Derivative Liabilities with</w:t>
            </w:r>
          </w:p>
        </w:tc>
      </w:tr>
      <w:tr>
        <w:trPr>
          <w:trHeight w:val="192"/>
        </w:trPr>
        <w:tc>
          <w:tcPr>
            <w:tcW w:w="594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333333"/>
                <w:w w:val="93"/>
              </w:rPr>
              <w:t>Credit-Risk-Contingent Features</w:t>
            </w:r>
          </w:p>
        </w:tc>
      </w:tr>
      <w:tr>
        <w:trPr>
          <w:trHeight w:val="190"/>
        </w:trPr>
        <w:tc>
          <w:tcPr>
            <w:tcW w:w="59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900" w:type="dxa"/>
            <w:vAlign w:val="bottom"/>
          </w:tcPr>
          <w:p>
            <w:pPr>
              <w:jc w:val="right"/>
              <w:ind w:right="128"/>
              <w:spacing w:after="0"/>
              <w:rPr>
                <w:sz w:val="20"/>
                <w:szCs w:val="20"/>
                <w:color w:val="auto"/>
              </w:rPr>
            </w:pPr>
            <w:r>
              <w:rPr>
                <w:rFonts w:ascii="Arial" w:cs="Arial" w:eastAsia="Arial" w:hAnsi="Arial"/>
                <w:sz w:val="14"/>
                <w:szCs w:val="14"/>
                <w:b w:val="1"/>
                <w:bCs w:val="1"/>
                <w:color w:val="333333"/>
              </w:rPr>
              <w:t>As of March 31, 2017</w:t>
            </w:r>
          </w:p>
        </w:tc>
        <w:tc>
          <w:tcPr>
            <w:tcW w:w="480" w:type="dxa"/>
            <w:vAlign w:val="bottom"/>
          </w:tcPr>
          <w:p>
            <w:pPr>
              <w:spacing w:after="0"/>
              <w:rPr>
                <w:sz w:val="16"/>
                <w:szCs w:val="16"/>
                <w:color w:val="auto"/>
              </w:rPr>
            </w:pPr>
          </w:p>
        </w:tc>
        <w:tc>
          <w:tcPr>
            <w:tcW w:w="2160" w:type="dxa"/>
            <w:vAlign w:val="bottom"/>
          </w:tcPr>
          <w:p>
            <w:pPr>
              <w:jc w:val="right"/>
              <w:ind w:right="48"/>
              <w:spacing w:after="0"/>
              <w:rPr>
                <w:sz w:val="20"/>
                <w:szCs w:val="20"/>
                <w:color w:val="auto"/>
              </w:rPr>
            </w:pPr>
            <w:r>
              <w:rPr>
                <w:rFonts w:ascii="Arial" w:cs="Arial" w:eastAsia="Arial" w:hAnsi="Arial"/>
                <w:sz w:val="14"/>
                <w:szCs w:val="14"/>
                <w:b w:val="1"/>
                <w:bCs w:val="1"/>
                <w:color w:val="333333"/>
              </w:rPr>
              <w:t>As of December 31, 2016</w:t>
            </w:r>
          </w:p>
        </w:tc>
      </w:tr>
      <w:tr>
        <w:trPr>
          <w:trHeight w:val="80"/>
        </w:trPr>
        <w:tc>
          <w:tcPr>
            <w:tcW w:w="594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90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2160" w:type="dxa"/>
            <w:vAlign w:val="bottom"/>
            <w:tcBorders>
              <w:bottom w:val="single" w:sz="8" w:color="auto"/>
            </w:tcBorders>
          </w:tcPr>
          <w:p>
            <w:pPr>
              <w:spacing w:after="0"/>
              <w:rPr>
                <w:sz w:val="6"/>
                <w:szCs w:val="6"/>
                <w:color w:val="auto"/>
              </w:rPr>
            </w:pPr>
          </w:p>
        </w:tc>
      </w:tr>
      <w:tr>
        <w:trPr>
          <w:trHeight w:val="264"/>
        </w:trPr>
        <w:tc>
          <w:tcPr>
            <w:tcW w:w="5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derivatives liability positions with credit contingent features</w:t>
            </w:r>
          </w:p>
        </w:tc>
        <w:tc>
          <w:tcPr>
            <w:tcW w:w="92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19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5.0</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15.2</w:t>
            </w:r>
          </w:p>
        </w:tc>
      </w:tr>
      <w:tr>
        <w:trPr>
          <w:trHeight w:val="264"/>
        </w:trPr>
        <w:tc>
          <w:tcPr>
            <w:tcW w:w="59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Maximum potential collateral requirements</w:t>
            </w:r>
          </w:p>
        </w:tc>
        <w:tc>
          <w:tcPr>
            <w:tcW w:w="9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19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5.0</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15.2</w:t>
            </w:r>
          </w:p>
        </w:tc>
      </w:tr>
    </w:tbl>
    <w:p>
      <w:pPr>
        <w:spacing w:after="0" w:line="202"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At December 31, 2016 and March 31, 2017, there was no collateral held or posted by our counterparties on these derivative contracts with credit-risk-contingent features.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Measurements</w:t>
      </w:r>
    </w:p>
    <w:p>
      <w:pPr>
        <w:spacing w:after="0" w:line="229"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The carrying amounts of cash and cash equivalents, accounts receivable, net, accounts payable and accrued expenses and other current liabilities approximate fair value based on the short-term maturities of these instruments. The carrying values of our debt and notes receivables approximate fair value since these instruments bear interest either at variable rates or fixed rates which are not significantly different than market rates. Based on the fair value hierarchy, our debt of $1.1 billion and $1.2 billion as of March 31, 2017 and December 31, 2016, respectively, and our notes receivable of $19.1 million and $16.9 million as of March 31, 2017 and December 31, 2016, respectively, are categorized in Level 3.</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presents information about our gross assets and liabilities that are measured at fair value on a recurring basis (in millions):</w:t>
      </w:r>
    </w:p>
    <w:p>
      <w:pPr>
        <w:spacing w:after="0" w:line="242" w:lineRule="exact"/>
        <w:rPr>
          <w:sz w:val="20"/>
          <w:szCs w:val="20"/>
          <w:color w:val="auto"/>
        </w:rPr>
      </w:pPr>
    </w:p>
    <w:p>
      <w:pPr>
        <w:ind w:left="8420"/>
        <w:spacing w:after="0"/>
        <w:rPr>
          <w:sz w:val="20"/>
          <w:szCs w:val="20"/>
          <w:color w:val="auto"/>
        </w:rPr>
      </w:pPr>
      <w:r>
        <w:rPr>
          <w:rFonts w:ascii="Arial" w:cs="Arial" w:eastAsia="Arial" w:hAnsi="Arial"/>
          <w:sz w:val="13"/>
          <w:szCs w:val="13"/>
          <w:b w:val="1"/>
          <w:bCs w:val="1"/>
          <w:color w:val="auto"/>
        </w:rPr>
        <w:t>Fair Value Measurements as of March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Level 1 Inputs</w:t>
            </w:r>
          </w:p>
        </w:tc>
        <w:tc>
          <w:tcPr>
            <w:tcW w:w="3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2 Inputs</w:t>
            </w:r>
          </w:p>
        </w:tc>
        <w:tc>
          <w:tcPr>
            <w:tcW w:w="5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Level 3 Inputs</w:t>
            </w:r>
          </w:p>
        </w:tc>
        <w:tc>
          <w:tcPr>
            <w:tcW w:w="3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Total Fair Value</w:t>
            </w:r>
          </w:p>
        </w:tc>
      </w:tr>
      <w:tr>
        <w:trPr>
          <w:trHeight w:val="270"/>
        </w:trPr>
        <w:tc>
          <w:tcPr>
            <w:tcW w:w="39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Assets:</w:t>
            </w:r>
          </w:p>
        </w:tc>
        <w:tc>
          <w:tcPr>
            <w:tcW w:w="17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64"/>
        </w:trPr>
        <w:tc>
          <w:tcPr>
            <w:tcW w:w="3940" w:type="dxa"/>
            <w:vAlign w:val="bottom"/>
          </w:tcPr>
          <w:p>
            <w:pPr>
              <w:ind w:left="180"/>
              <w:spacing w:after="0"/>
              <w:rPr>
                <w:sz w:val="20"/>
                <w:szCs w:val="20"/>
                <w:color w:val="auto"/>
              </w:rPr>
            </w:pPr>
            <w:r>
              <w:rPr>
                <w:rFonts w:ascii="Arial" w:cs="Arial" w:eastAsia="Arial" w:hAnsi="Arial"/>
                <w:sz w:val="14"/>
                <w:szCs w:val="14"/>
                <w:color w:val="auto"/>
              </w:rPr>
              <w:t>Commodities contracts</w:t>
            </w:r>
          </w:p>
        </w:tc>
        <w:tc>
          <w:tcPr>
            <w:tcW w:w="1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108"/>
              <w:spacing w:after="0"/>
              <w:rPr>
                <w:sz w:val="20"/>
                <w:szCs w:val="20"/>
                <w:color w:val="auto"/>
              </w:rPr>
            </w:pPr>
            <w:r>
              <w:rPr>
                <w:rFonts w:ascii="Arial" w:cs="Arial" w:eastAsia="Arial" w:hAnsi="Arial"/>
                <w:sz w:val="14"/>
                <w:szCs w:val="14"/>
                <w:color w:val="auto"/>
              </w:rPr>
              <w:t>132.0</w:t>
            </w:r>
          </w:p>
        </w:tc>
        <w:tc>
          <w:tcPr>
            <w:tcW w:w="3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42.7</w:t>
            </w: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1.5</w:t>
            </w:r>
          </w:p>
        </w:tc>
        <w:tc>
          <w:tcPr>
            <w:tcW w:w="3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176.3</w:t>
            </w:r>
          </w:p>
        </w:tc>
      </w:tr>
      <w:tr>
        <w:trPr>
          <w:trHeight w:val="276"/>
        </w:trPr>
        <w:tc>
          <w:tcPr>
            <w:tcW w:w="39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Foreign currency contracts</w:t>
            </w:r>
          </w:p>
        </w:tc>
        <w:tc>
          <w:tcPr>
            <w:tcW w:w="17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w:t>
            </w:r>
          </w:p>
        </w:tc>
        <w:tc>
          <w:tcPr>
            <w:tcW w:w="5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14.8</w:t>
            </w:r>
          </w:p>
        </w:tc>
      </w:tr>
      <w:tr>
        <w:trPr>
          <w:trHeight w:val="264"/>
        </w:trPr>
        <w:tc>
          <w:tcPr>
            <w:tcW w:w="394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Cash surrender value of life insurance</w:t>
            </w:r>
          </w:p>
        </w:tc>
        <w:tc>
          <w:tcPr>
            <w:tcW w:w="17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w:t>
            </w:r>
          </w:p>
        </w:tc>
        <w:tc>
          <w:tcPr>
            <w:tcW w:w="5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4.4</w:t>
            </w:r>
          </w:p>
        </w:tc>
      </w:tr>
      <w:tr>
        <w:trPr>
          <w:trHeight w:val="264"/>
        </w:trPr>
        <w:tc>
          <w:tcPr>
            <w:tcW w:w="394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4"/>
                <w:szCs w:val="14"/>
                <w:color w:val="auto"/>
              </w:rPr>
              <w:t>Total assets at fair value</w:t>
            </w:r>
          </w:p>
        </w:tc>
        <w:tc>
          <w:tcPr>
            <w:tcW w:w="17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132.0</w:t>
            </w:r>
          </w:p>
        </w:tc>
        <w:tc>
          <w:tcPr>
            <w:tcW w:w="3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61.9</w:t>
            </w:r>
          </w:p>
        </w:tc>
        <w:tc>
          <w:tcPr>
            <w:tcW w:w="5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1.5</w:t>
            </w:r>
          </w:p>
        </w:tc>
        <w:tc>
          <w:tcPr>
            <w:tcW w:w="3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195.4</w:t>
            </w:r>
          </w:p>
        </w:tc>
      </w:tr>
      <w:tr>
        <w:trPr>
          <w:trHeight w:val="20"/>
        </w:trPr>
        <w:tc>
          <w:tcPr>
            <w:tcW w:w="39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84"/>
        </w:trPr>
        <w:tc>
          <w:tcPr>
            <w:tcW w:w="39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70"/>
        </w:trPr>
        <w:tc>
          <w:tcPr>
            <w:tcW w:w="39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Liabilities:</w:t>
            </w:r>
          </w:p>
        </w:tc>
        <w:tc>
          <w:tcPr>
            <w:tcW w:w="17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64"/>
        </w:trPr>
        <w:tc>
          <w:tcPr>
            <w:tcW w:w="3940" w:type="dxa"/>
            <w:vAlign w:val="bottom"/>
          </w:tcPr>
          <w:p>
            <w:pPr>
              <w:ind w:left="180"/>
              <w:spacing w:after="0"/>
              <w:rPr>
                <w:sz w:val="20"/>
                <w:szCs w:val="20"/>
                <w:color w:val="auto"/>
              </w:rPr>
            </w:pPr>
            <w:r>
              <w:rPr>
                <w:rFonts w:ascii="Arial" w:cs="Arial" w:eastAsia="Arial" w:hAnsi="Arial"/>
                <w:sz w:val="14"/>
                <w:szCs w:val="14"/>
                <w:color w:val="auto"/>
              </w:rPr>
              <w:t>Commodities contracts</w:t>
            </w:r>
          </w:p>
        </w:tc>
        <w:tc>
          <w:tcPr>
            <w:tcW w:w="1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108"/>
              <w:spacing w:after="0"/>
              <w:rPr>
                <w:sz w:val="20"/>
                <w:szCs w:val="20"/>
                <w:color w:val="auto"/>
              </w:rPr>
            </w:pPr>
            <w:r>
              <w:rPr>
                <w:rFonts w:ascii="Arial" w:cs="Arial" w:eastAsia="Arial" w:hAnsi="Arial"/>
                <w:sz w:val="14"/>
                <w:szCs w:val="14"/>
                <w:color w:val="auto"/>
              </w:rPr>
              <w:t>104.4</w:t>
            </w:r>
          </w:p>
        </w:tc>
        <w:tc>
          <w:tcPr>
            <w:tcW w:w="3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40.3</w:t>
            </w: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0.3</w:t>
            </w:r>
          </w:p>
        </w:tc>
        <w:tc>
          <w:tcPr>
            <w:tcW w:w="3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145.0</w:t>
            </w:r>
          </w:p>
        </w:tc>
      </w:tr>
      <w:tr>
        <w:trPr>
          <w:trHeight w:val="270"/>
        </w:trPr>
        <w:tc>
          <w:tcPr>
            <w:tcW w:w="394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Foreign currency contracts</w:t>
            </w:r>
          </w:p>
        </w:tc>
        <w:tc>
          <w:tcPr>
            <w:tcW w:w="174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10.8</w:t>
            </w:r>
          </w:p>
        </w:tc>
        <w:tc>
          <w:tcPr>
            <w:tcW w:w="5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10.8</w:t>
            </w:r>
          </w:p>
        </w:tc>
      </w:tr>
      <w:tr>
        <w:trPr>
          <w:trHeight w:val="264"/>
        </w:trPr>
        <w:tc>
          <w:tcPr>
            <w:tcW w:w="394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Total liabilities at fair value</w:t>
            </w:r>
          </w:p>
        </w:tc>
        <w:tc>
          <w:tcPr>
            <w:tcW w:w="1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104.4</w:t>
            </w:r>
          </w:p>
        </w:tc>
        <w:tc>
          <w:tcPr>
            <w:tcW w:w="3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51.2</w:t>
            </w:r>
          </w:p>
        </w:tc>
        <w:tc>
          <w:tcPr>
            <w:tcW w:w="5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0.3</w:t>
            </w:r>
          </w:p>
        </w:tc>
        <w:tc>
          <w:tcPr>
            <w:tcW w:w="3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155.8</w:t>
            </w:r>
          </w:p>
        </w:tc>
      </w:tr>
      <w:tr>
        <w:trPr>
          <w:trHeight w:val="20"/>
        </w:trPr>
        <w:tc>
          <w:tcPr>
            <w:tcW w:w="39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40" w:type="dxa"/>
            <w:vAlign w:val="bottom"/>
            <w:tcBorders>
              <w:bottom w:val="single" w:sz="8" w:color="auto"/>
            </w:tcBorders>
            <w:gridSpan w:val="4"/>
          </w:tcPr>
          <w:p>
            <w:pPr>
              <w:spacing w:after="0" w:line="20" w:lineRule="exact"/>
              <w:rPr>
                <w:sz w:val="1"/>
                <w:szCs w:val="1"/>
                <w:color w:val="auto"/>
              </w:rPr>
            </w:pPr>
          </w:p>
        </w:tc>
      </w:tr>
      <w:tr>
        <w:trPr>
          <w:trHeight w:val="548"/>
        </w:trPr>
        <w:tc>
          <w:tcPr>
            <w:tcW w:w="39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4"/>
          </w:tcPr>
          <w:p>
            <w:pPr>
              <w:jc w:val="right"/>
              <w:ind w:right="28"/>
              <w:spacing w:after="0"/>
              <w:rPr>
                <w:sz w:val="20"/>
                <w:szCs w:val="20"/>
                <w:color w:val="auto"/>
              </w:rPr>
            </w:pPr>
            <w:r>
              <w:rPr>
                <w:rFonts w:ascii="Arial" w:cs="Arial" w:eastAsia="Arial" w:hAnsi="Arial"/>
                <w:sz w:val="14"/>
                <w:szCs w:val="14"/>
                <w:b w:val="1"/>
                <w:bCs w:val="1"/>
                <w:color w:val="auto"/>
                <w:w w:val="93"/>
              </w:rPr>
              <w:t>Fair Value Measurements as of December 31, 2016</w:t>
            </w:r>
          </w:p>
        </w:tc>
      </w:tr>
      <w:tr>
        <w:trPr>
          <w:trHeight w:val="264"/>
        </w:trPr>
        <w:tc>
          <w:tcPr>
            <w:tcW w:w="394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Level 1 Inputs</w:t>
            </w:r>
          </w:p>
        </w:tc>
        <w:tc>
          <w:tcPr>
            <w:tcW w:w="3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2 Inputs</w:t>
            </w:r>
          </w:p>
        </w:tc>
        <w:tc>
          <w:tcPr>
            <w:tcW w:w="5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Level 3 Inputs</w:t>
            </w: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Total Fair Value</w:t>
            </w:r>
          </w:p>
        </w:tc>
      </w:tr>
      <w:tr>
        <w:trPr>
          <w:trHeight w:val="264"/>
        </w:trPr>
        <w:tc>
          <w:tcPr>
            <w:tcW w:w="3940" w:type="dxa"/>
            <w:vAlign w:val="bottom"/>
          </w:tcPr>
          <w:p>
            <w:pPr>
              <w:ind w:left="40"/>
              <w:spacing w:after="0"/>
              <w:rPr>
                <w:sz w:val="20"/>
                <w:szCs w:val="20"/>
                <w:color w:val="auto"/>
              </w:rPr>
            </w:pPr>
            <w:r>
              <w:rPr>
                <w:rFonts w:ascii="Arial" w:cs="Arial" w:eastAsia="Arial" w:hAnsi="Arial"/>
                <w:sz w:val="14"/>
                <w:szCs w:val="14"/>
                <w:color w:val="auto"/>
              </w:rPr>
              <w:t>Assets:</w:t>
            </w:r>
          </w:p>
        </w:tc>
        <w:tc>
          <w:tcPr>
            <w:tcW w:w="17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76"/>
        </w:trPr>
        <w:tc>
          <w:tcPr>
            <w:tcW w:w="39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Commodities contracts</w:t>
            </w:r>
          </w:p>
        </w:tc>
        <w:tc>
          <w:tcPr>
            <w:tcW w:w="1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273.6</w:t>
            </w:r>
          </w:p>
        </w:tc>
        <w:tc>
          <w:tcPr>
            <w:tcW w:w="3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55.3</w:t>
            </w:r>
          </w:p>
        </w:tc>
        <w:tc>
          <w:tcPr>
            <w:tcW w:w="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2.3</w:t>
            </w:r>
          </w:p>
        </w:tc>
        <w:tc>
          <w:tcPr>
            <w:tcW w:w="3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331.2</w:t>
            </w:r>
          </w:p>
        </w:tc>
      </w:tr>
      <w:tr>
        <w:trPr>
          <w:trHeight w:val="264"/>
        </w:trPr>
        <w:tc>
          <w:tcPr>
            <w:tcW w:w="3940" w:type="dxa"/>
            <w:vAlign w:val="bottom"/>
          </w:tcPr>
          <w:p>
            <w:pPr>
              <w:ind w:left="180"/>
              <w:spacing w:after="0"/>
              <w:rPr>
                <w:sz w:val="20"/>
                <w:szCs w:val="20"/>
                <w:color w:val="auto"/>
              </w:rPr>
            </w:pPr>
            <w:r>
              <w:rPr>
                <w:rFonts w:ascii="Arial" w:cs="Arial" w:eastAsia="Arial" w:hAnsi="Arial"/>
                <w:sz w:val="14"/>
                <w:szCs w:val="14"/>
                <w:color w:val="auto"/>
              </w:rPr>
              <w:t>Foreign currency contracts</w:t>
            </w:r>
          </w:p>
        </w:tc>
        <w:tc>
          <w:tcPr>
            <w:tcW w:w="1740" w:type="dxa"/>
            <w:vAlign w:val="bottom"/>
          </w:tcPr>
          <w:p>
            <w:pPr>
              <w:spacing w:after="0"/>
              <w:rPr>
                <w:sz w:val="22"/>
                <w:szCs w:val="22"/>
                <w:color w:val="auto"/>
              </w:rPr>
            </w:pPr>
          </w:p>
        </w:tc>
        <w:tc>
          <w:tcPr>
            <w:tcW w:w="11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16.0</w:t>
            </w:r>
          </w:p>
        </w:tc>
        <w:tc>
          <w:tcPr>
            <w:tcW w:w="500" w:type="dxa"/>
            <w:vAlign w:val="bottom"/>
          </w:tcPr>
          <w:p>
            <w:pPr>
              <w:spacing w:after="0"/>
              <w:rPr>
                <w:sz w:val="22"/>
                <w:szCs w:val="22"/>
                <w:color w:val="auto"/>
              </w:rPr>
            </w:pP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2"/>
                <w:szCs w:val="22"/>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16.0</w:t>
            </w:r>
          </w:p>
        </w:tc>
      </w:tr>
      <w:tr>
        <w:trPr>
          <w:trHeight w:val="270"/>
        </w:trPr>
        <w:tc>
          <w:tcPr>
            <w:tcW w:w="394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Cash surrender value of life insurance</w:t>
            </w:r>
          </w:p>
        </w:tc>
        <w:tc>
          <w:tcPr>
            <w:tcW w:w="174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5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4.0</w:t>
            </w:r>
          </w:p>
        </w:tc>
      </w:tr>
      <w:tr>
        <w:trPr>
          <w:trHeight w:val="304"/>
        </w:trPr>
        <w:tc>
          <w:tcPr>
            <w:tcW w:w="394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Total assets at fair value</w:t>
            </w:r>
          </w:p>
        </w:tc>
        <w:tc>
          <w:tcPr>
            <w:tcW w:w="1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273.6</w:t>
            </w:r>
          </w:p>
        </w:tc>
        <w:tc>
          <w:tcPr>
            <w:tcW w:w="3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75.3</w:t>
            </w:r>
          </w:p>
        </w:tc>
        <w:tc>
          <w:tcPr>
            <w:tcW w:w="5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2.3</w:t>
            </w:r>
          </w:p>
        </w:tc>
        <w:tc>
          <w:tcPr>
            <w:tcW w:w="3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351.2</w:t>
            </w:r>
          </w:p>
        </w:tc>
      </w:tr>
      <w:tr>
        <w:trPr>
          <w:trHeight w:val="284"/>
        </w:trPr>
        <w:tc>
          <w:tcPr>
            <w:tcW w:w="3940" w:type="dxa"/>
            <w:vAlign w:val="bottom"/>
            <w:shd w:val="clear" w:color="auto" w:fill="CCEEFF"/>
          </w:tcPr>
          <w:p>
            <w:pPr>
              <w:spacing w:after="0"/>
              <w:rPr>
                <w:sz w:val="24"/>
                <w:szCs w:val="24"/>
                <w:color w:val="auto"/>
              </w:rPr>
            </w:pPr>
          </w:p>
        </w:tc>
        <w:tc>
          <w:tcPr>
            <w:tcW w:w="17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64"/>
        </w:trPr>
        <w:tc>
          <w:tcPr>
            <w:tcW w:w="3940" w:type="dxa"/>
            <w:vAlign w:val="bottom"/>
          </w:tcPr>
          <w:p>
            <w:pPr>
              <w:ind w:left="40"/>
              <w:spacing w:after="0"/>
              <w:rPr>
                <w:sz w:val="20"/>
                <w:szCs w:val="20"/>
                <w:color w:val="auto"/>
              </w:rPr>
            </w:pPr>
            <w:r>
              <w:rPr>
                <w:rFonts w:ascii="Arial" w:cs="Arial" w:eastAsia="Arial" w:hAnsi="Arial"/>
                <w:sz w:val="14"/>
                <w:szCs w:val="14"/>
                <w:color w:val="auto"/>
              </w:rPr>
              <w:t>Liabilities:</w:t>
            </w:r>
          </w:p>
        </w:tc>
        <w:tc>
          <w:tcPr>
            <w:tcW w:w="17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76"/>
        </w:trPr>
        <w:tc>
          <w:tcPr>
            <w:tcW w:w="39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Commodities contracts</w:t>
            </w:r>
          </w:p>
        </w:tc>
        <w:tc>
          <w:tcPr>
            <w:tcW w:w="1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236.6</w:t>
            </w:r>
          </w:p>
        </w:tc>
        <w:tc>
          <w:tcPr>
            <w:tcW w:w="3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88.8</w:t>
            </w:r>
          </w:p>
        </w:tc>
        <w:tc>
          <w:tcPr>
            <w:tcW w:w="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0.7</w:t>
            </w:r>
          </w:p>
        </w:tc>
        <w:tc>
          <w:tcPr>
            <w:tcW w:w="3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326.1</w:t>
            </w:r>
          </w:p>
        </w:tc>
      </w:tr>
      <w:tr>
        <w:trPr>
          <w:trHeight w:val="264"/>
        </w:trPr>
        <w:tc>
          <w:tcPr>
            <w:tcW w:w="394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Foreign currency contracts</w:t>
            </w:r>
          </w:p>
        </w:tc>
        <w:tc>
          <w:tcPr>
            <w:tcW w:w="17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w:t>
            </w:r>
          </w:p>
        </w:tc>
        <w:tc>
          <w:tcPr>
            <w:tcW w:w="5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6.4</w:t>
            </w:r>
          </w:p>
        </w:tc>
      </w:tr>
      <w:tr>
        <w:trPr>
          <w:trHeight w:val="264"/>
        </w:trPr>
        <w:tc>
          <w:tcPr>
            <w:tcW w:w="394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4"/>
                <w:szCs w:val="14"/>
                <w:color w:val="auto"/>
              </w:rPr>
              <w:t>Total liabilities at fair value</w:t>
            </w:r>
          </w:p>
        </w:tc>
        <w:tc>
          <w:tcPr>
            <w:tcW w:w="17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236.6</w:t>
            </w:r>
          </w:p>
        </w:tc>
        <w:tc>
          <w:tcPr>
            <w:tcW w:w="3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95.2</w:t>
            </w:r>
          </w:p>
        </w:tc>
        <w:tc>
          <w:tcPr>
            <w:tcW w:w="5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0.7</w:t>
            </w:r>
          </w:p>
        </w:tc>
        <w:tc>
          <w:tcPr>
            <w:tcW w:w="3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332.5</w:t>
            </w:r>
          </w:p>
        </w:tc>
      </w:tr>
      <w:tr>
        <w:trPr>
          <w:trHeight w:val="20"/>
        </w:trPr>
        <w:tc>
          <w:tcPr>
            <w:tcW w:w="39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There were no transfers between Level 1 and Level 2 during the periods presented. The fair values of our commodity contracts measured using Level 3 inputs were not material at March 31, 2017 and December 31, 2016.</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our derivative contracts, we may enter into master netting, collateral and offset agreements with counterparties. These agreements provide us the ability to offset a counterparty’s rights and obligations, request additional collateral when necessary or liquidate the collateral in the event of counterparty default. We net fair value of cash collateral paid or received against fair value amounts recognized for net derivative positions executed with the same counterparty under the same master netting or offset agreement.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following tables summarize those commodity derivative balances subject to the right of setoff as presented on our consolidated balance sheet. We have elected to offset the recognized fair value amounts for multiple derivative instruments executed with the same counterparty in our financial statements when a legal right of offset exists.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20" w:type="dxa"/>
            <w:vAlign w:val="bottom"/>
            <w:gridSpan w:val="3"/>
          </w:tcPr>
          <w:p>
            <w:pPr>
              <w:jc w:val="right"/>
              <w:ind w:right="28"/>
              <w:spacing w:after="0"/>
              <w:rPr>
                <w:sz w:val="20"/>
                <w:szCs w:val="20"/>
                <w:color w:val="auto"/>
              </w:rPr>
            </w:pPr>
            <w:r>
              <w:rPr>
                <w:rFonts w:ascii="Arial" w:cs="Arial" w:eastAsia="Arial" w:hAnsi="Arial"/>
                <w:sz w:val="14"/>
                <w:szCs w:val="14"/>
                <w:b w:val="1"/>
                <w:bCs w:val="1"/>
                <w:color w:val="auto"/>
              </w:rPr>
              <w:t>Fair Value as of March 31, 2017</w:t>
            </w:r>
          </w:p>
        </w:tc>
        <w:tc>
          <w:tcPr>
            <w:tcW w:w="0" w:type="dxa"/>
            <w:vAlign w:val="bottom"/>
          </w:tcPr>
          <w:p>
            <w:pPr>
              <w:spacing w:after="0"/>
              <w:rPr>
                <w:sz w:val="1"/>
                <w:szCs w:val="1"/>
                <w:color w:val="auto"/>
              </w:rPr>
            </w:pPr>
          </w:p>
        </w:tc>
      </w:tr>
      <w:tr>
        <w:trPr>
          <w:trHeight w:val="80"/>
        </w:trPr>
        <w:tc>
          <w:tcPr>
            <w:tcW w:w="2080" w:type="dxa"/>
            <w:vAlign w:val="bottom"/>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20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jc w:val="right"/>
              <w:ind w:right="88"/>
              <w:spacing w:after="0"/>
              <w:rPr>
                <w:sz w:val="20"/>
                <w:szCs w:val="20"/>
                <w:color w:val="auto"/>
              </w:rPr>
            </w:pPr>
            <w:r>
              <w:rPr>
                <w:rFonts w:ascii="Arial" w:cs="Arial" w:eastAsia="Arial" w:hAnsi="Arial"/>
                <w:sz w:val="14"/>
                <w:szCs w:val="14"/>
                <w:b w:val="1"/>
                <w:bCs w:val="1"/>
                <w:color w:val="auto"/>
                <w:w w:val="98"/>
              </w:rPr>
              <w:t>Gross Amounts</w:t>
            </w:r>
          </w:p>
        </w:tc>
        <w:tc>
          <w:tcPr>
            <w:tcW w:w="3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20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40" w:type="dxa"/>
            <w:vAlign w:val="bottom"/>
          </w:tcPr>
          <w:p>
            <w:pPr>
              <w:jc w:val="right"/>
              <w:ind w:right="108"/>
              <w:spacing w:after="0"/>
              <w:rPr>
                <w:sz w:val="20"/>
                <w:szCs w:val="20"/>
                <w:color w:val="auto"/>
              </w:rPr>
            </w:pPr>
            <w:r>
              <w:rPr>
                <w:rFonts w:ascii="Arial" w:cs="Arial" w:eastAsia="Arial" w:hAnsi="Arial"/>
                <w:sz w:val="14"/>
                <w:szCs w:val="14"/>
                <w:b w:val="1"/>
                <w:bCs w:val="1"/>
                <w:color w:val="auto"/>
                <w:w w:val="98"/>
              </w:rPr>
              <w:t>Gross Amounts</w:t>
            </w:r>
          </w:p>
        </w:tc>
        <w:tc>
          <w:tcPr>
            <w:tcW w:w="380" w:type="dxa"/>
            <w:vAlign w:val="bottom"/>
          </w:tcPr>
          <w:p>
            <w:pPr>
              <w:spacing w:after="0"/>
              <w:rPr>
                <w:sz w:val="23"/>
                <w:szCs w:val="23"/>
                <w:color w:val="auto"/>
              </w:rPr>
            </w:pPr>
          </w:p>
        </w:tc>
        <w:tc>
          <w:tcPr>
            <w:tcW w:w="1240" w:type="dxa"/>
            <w:vAlign w:val="bottom"/>
          </w:tcPr>
          <w:p>
            <w:pPr>
              <w:jc w:val="right"/>
              <w:ind w:right="108"/>
              <w:spacing w:after="0"/>
              <w:rPr>
                <w:sz w:val="20"/>
                <w:szCs w:val="20"/>
                <w:color w:val="auto"/>
              </w:rPr>
            </w:pPr>
            <w:r>
              <w:rPr>
                <w:rFonts w:ascii="Arial" w:cs="Arial" w:eastAsia="Arial" w:hAnsi="Arial"/>
                <w:sz w:val="14"/>
                <w:szCs w:val="14"/>
                <w:b w:val="1"/>
                <w:bCs w:val="1"/>
                <w:color w:val="auto"/>
                <w:w w:val="98"/>
              </w:rPr>
              <w:t>Gross Amounts</w:t>
            </w:r>
          </w:p>
        </w:tc>
        <w:tc>
          <w:tcPr>
            <w:tcW w:w="380" w:type="dxa"/>
            <w:vAlign w:val="bottom"/>
          </w:tcPr>
          <w:p>
            <w:pPr>
              <w:spacing w:after="0"/>
              <w:rPr>
                <w:sz w:val="23"/>
                <w:szCs w:val="23"/>
                <w:color w:val="auto"/>
              </w:rPr>
            </w:pPr>
          </w:p>
        </w:tc>
        <w:tc>
          <w:tcPr>
            <w:tcW w:w="1120" w:type="dxa"/>
            <w:vAlign w:val="bottom"/>
          </w:tcPr>
          <w:p>
            <w:pPr>
              <w:jc w:val="right"/>
              <w:ind w:right="108"/>
              <w:spacing w:after="0"/>
              <w:rPr>
                <w:sz w:val="20"/>
                <w:szCs w:val="20"/>
                <w:color w:val="auto"/>
              </w:rPr>
            </w:pPr>
            <w:r>
              <w:rPr>
                <w:rFonts w:ascii="Arial" w:cs="Arial" w:eastAsia="Arial" w:hAnsi="Arial"/>
                <w:sz w:val="14"/>
                <w:szCs w:val="14"/>
                <w:b w:val="1"/>
                <w:bCs w:val="1"/>
                <w:color w:val="auto"/>
              </w:rPr>
              <w:t>Net Amounts</w:t>
            </w:r>
          </w:p>
        </w:tc>
        <w:tc>
          <w:tcPr>
            <w:tcW w:w="520" w:type="dxa"/>
            <w:vAlign w:val="bottom"/>
          </w:tcPr>
          <w:p>
            <w:pPr>
              <w:spacing w:after="0"/>
              <w:rPr>
                <w:sz w:val="23"/>
                <w:szCs w:val="23"/>
                <w:color w:val="auto"/>
              </w:rPr>
            </w:pPr>
          </w:p>
        </w:tc>
        <w:tc>
          <w:tcPr>
            <w:tcW w:w="1060" w:type="dxa"/>
            <w:vAlign w:val="bottom"/>
          </w:tcPr>
          <w:p>
            <w:pPr>
              <w:jc w:val="right"/>
              <w:ind w:right="108"/>
              <w:spacing w:after="0"/>
              <w:rPr>
                <w:sz w:val="20"/>
                <w:szCs w:val="20"/>
                <w:color w:val="auto"/>
              </w:rPr>
            </w:pPr>
            <w:r>
              <w:rPr>
                <w:rFonts w:ascii="Arial" w:cs="Arial" w:eastAsia="Arial" w:hAnsi="Arial"/>
                <w:sz w:val="14"/>
                <w:szCs w:val="14"/>
                <w:b w:val="1"/>
                <w:bCs w:val="1"/>
                <w:color w:val="auto"/>
              </w:rPr>
              <w:t>Cash</w:t>
            </w:r>
          </w:p>
        </w:tc>
        <w:tc>
          <w:tcPr>
            <w:tcW w:w="340" w:type="dxa"/>
            <w:vAlign w:val="bottom"/>
          </w:tcPr>
          <w:p>
            <w:pPr>
              <w:spacing w:after="0"/>
              <w:rPr>
                <w:sz w:val="23"/>
                <w:szCs w:val="23"/>
                <w:color w:val="auto"/>
              </w:rPr>
            </w:pPr>
          </w:p>
        </w:tc>
        <w:tc>
          <w:tcPr>
            <w:tcW w:w="1220" w:type="dxa"/>
            <w:vAlign w:val="bottom"/>
          </w:tcPr>
          <w:p>
            <w:pPr>
              <w:jc w:val="right"/>
              <w:ind w:right="88"/>
              <w:spacing w:after="0"/>
              <w:rPr>
                <w:sz w:val="20"/>
                <w:szCs w:val="20"/>
                <w:color w:val="auto"/>
              </w:rPr>
            </w:pPr>
            <w:r>
              <w:rPr>
                <w:rFonts w:ascii="Arial" w:cs="Arial" w:eastAsia="Arial" w:hAnsi="Arial"/>
                <w:sz w:val="14"/>
                <w:szCs w:val="14"/>
                <w:b w:val="1"/>
                <w:bCs w:val="1"/>
                <w:color w:val="auto"/>
              </w:rPr>
              <w:t>without</w:t>
            </w:r>
          </w:p>
        </w:tc>
        <w:tc>
          <w:tcPr>
            <w:tcW w:w="3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40" w:type="dxa"/>
            <w:vAlign w:val="bottom"/>
          </w:tcPr>
          <w:p>
            <w:pPr>
              <w:jc w:val="right"/>
              <w:ind w:right="108"/>
              <w:spacing w:after="0"/>
              <w:rPr>
                <w:sz w:val="20"/>
                <w:szCs w:val="20"/>
                <w:color w:val="auto"/>
              </w:rPr>
            </w:pPr>
            <w:r>
              <w:rPr>
                <w:rFonts w:ascii="Arial" w:cs="Arial" w:eastAsia="Arial" w:hAnsi="Arial"/>
                <w:sz w:val="14"/>
                <w:szCs w:val="14"/>
                <w:b w:val="1"/>
                <w:bCs w:val="1"/>
                <w:color w:val="auto"/>
              </w:rPr>
              <w:t>Recognized</w:t>
            </w:r>
          </w:p>
        </w:tc>
        <w:tc>
          <w:tcPr>
            <w:tcW w:w="380" w:type="dxa"/>
            <w:vAlign w:val="bottom"/>
          </w:tcPr>
          <w:p>
            <w:pPr>
              <w:spacing w:after="0"/>
              <w:rPr>
                <w:sz w:val="23"/>
                <w:szCs w:val="23"/>
                <w:color w:val="auto"/>
              </w:rPr>
            </w:pPr>
          </w:p>
        </w:tc>
        <w:tc>
          <w:tcPr>
            <w:tcW w:w="1240" w:type="dxa"/>
            <w:vAlign w:val="bottom"/>
          </w:tcPr>
          <w:p>
            <w:pPr>
              <w:jc w:val="right"/>
              <w:ind w:right="108"/>
              <w:spacing w:after="0"/>
              <w:rPr>
                <w:sz w:val="20"/>
                <w:szCs w:val="20"/>
                <w:color w:val="auto"/>
              </w:rPr>
            </w:pPr>
            <w:r>
              <w:rPr>
                <w:rFonts w:ascii="Arial" w:cs="Arial" w:eastAsia="Arial" w:hAnsi="Arial"/>
                <w:sz w:val="14"/>
                <w:szCs w:val="14"/>
                <w:b w:val="1"/>
                <w:bCs w:val="1"/>
                <w:color w:val="auto"/>
              </w:rPr>
              <w:t>Offset</w:t>
            </w:r>
          </w:p>
        </w:tc>
        <w:tc>
          <w:tcPr>
            <w:tcW w:w="380" w:type="dxa"/>
            <w:vAlign w:val="bottom"/>
          </w:tcPr>
          <w:p>
            <w:pPr>
              <w:spacing w:after="0"/>
              <w:rPr>
                <w:sz w:val="23"/>
                <w:szCs w:val="23"/>
                <w:color w:val="auto"/>
              </w:rPr>
            </w:pPr>
          </w:p>
        </w:tc>
        <w:tc>
          <w:tcPr>
            <w:tcW w:w="1120" w:type="dxa"/>
            <w:vAlign w:val="bottom"/>
          </w:tcPr>
          <w:p>
            <w:pPr>
              <w:jc w:val="right"/>
              <w:ind w:right="108"/>
              <w:spacing w:after="0"/>
              <w:rPr>
                <w:sz w:val="20"/>
                <w:szCs w:val="20"/>
                <w:color w:val="auto"/>
              </w:rPr>
            </w:pPr>
            <w:r>
              <w:rPr>
                <w:rFonts w:ascii="Arial" w:cs="Arial" w:eastAsia="Arial" w:hAnsi="Arial"/>
                <w:sz w:val="14"/>
                <w:szCs w:val="14"/>
                <w:b w:val="1"/>
                <w:bCs w:val="1"/>
                <w:color w:val="auto"/>
              </w:rPr>
              <w:t>Presented</w:t>
            </w:r>
          </w:p>
        </w:tc>
        <w:tc>
          <w:tcPr>
            <w:tcW w:w="520" w:type="dxa"/>
            <w:vAlign w:val="bottom"/>
          </w:tcPr>
          <w:p>
            <w:pPr>
              <w:spacing w:after="0"/>
              <w:rPr>
                <w:sz w:val="23"/>
                <w:szCs w:val="23"/>
                <w:color w:val="auto"/>
              </w:rPr>
            </w:pPr>
          </w:p>
        </w:tc>
        <w:tc>
          <w:tcPr>
            <w:tcW w:w="1060" w:type="dxa"/>
            <w:vAlign w:val="bottom"/>
          </w:tcPr>
          <w:p>
            <w:pPr>
              <w:jc w:val="right"/>
              <w:ind w:right="108"/>
              <w:spacing w:after="0"/>
              <w:rPr>
                <w:sz w:val="20"/>
                <w:szCs w:val="20"/>
                <w:color w:val="auto"/>
              </w:rPr>
            </w:pPr>
            <w:r>
              <w:rPr>
                <w:rFonts w:ascii="Arial" w:cs="Arial" w:eastAsia="Arial" w:hAnsi="Arial"/>
                <w:sz w:val="14"/>
                <w:szCs w:val="14"/>
                <w:b w:val="1"/>
                <w:bCs w:val="1"/>
                <w:color w:val="auto"/>
              </w:rPr>
              <w:t>Collateral</w:t>
            </w:r>
          </w:p>
        </w:tc>
        <w:tc>
          <w:tcPr>
            <w:tcW w:w="340" w:type="dxa"/>
            <w:vAlign w:val="bottom"/>
          </w:tcPr>
          <w:p>
            <w:pPr>
              <w:spacing w:after="0"/>
              <w:rPr>
                <w:sz w:val="23"/>
                <w:szCs w:val="23"/>
                <w:color w:val="auto"/>
              </w:rPr>
            </w:pPr>
          </w:p>
        </w:tc>
        <w:tc>
          <w:tcPr>
            <w:tcW w:w="1220" w:type="dxa"/>
            <w:vAlign w:val="bottom"/>
          </w:tcPr>
          <w:p>
            <w:pPr>
              <w:jc w:val="right"/>
              <w:ind w:right="88"/>
              <w:spacing w:after="0"/>
              <w:rPr>
                <w:sz w:val="20"/>
                <w:szCs w:val="20"/>
                <w:color w:val="auto"/>
              </w:rPr>
            </w:pPr>
            <w:r>
              <w:rPr>
                <w:rFonts w:ascii="Arial" w:cs="Arial" w:eastAsia="Arial" w:hAnsi="Arial"/>
                <w:sz w:val="14"/>
                <w:szCs w:val="14"/>
                <w:b w:val="1"/>
                <w:bCs w:val="1"/>
                <w:color w:val="auto"/>
              </w:rPr>
              <w:t>Right of Offset</w:t>
            </w:r>
          </w:p>
        </w:tc>
        <w:tc>
          <w:tcPr>
            <w:tcW w:w="36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b w:val="1"/>
                <w:bCs w:val="1"/>
                <w:color w:val="auto"/>
              </w:rPr>
              <w:t>Net Amounts</w:t>
            </w:r>
          </w:p>
        </w:tc>
        <w:tc>
          <w:tcPr>
            <w:tcW w:w="0" w:type="dxa"/>
            <w:vAlign w:val="bottom"/>
          </w:tcPr>
          <w:p>
            <w:pPr>
              <w:spacing w:after="0"/>
              <w:rPr>
                <w:sz w:val="1"/>
                <w:szCs w:val="1"/>
                <w:color w:val="auto"/>
              </w:rPr>
            </w:pPr>
          </w:p>
        </w:tc>
      </w:tr>
      <w:tr>
        <w:trPr>
          <w:trHeight w:val="80"/>
        </w:trPr>
        <w:tc>
          <w:tcPr>
            <w:tcW w:w="208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20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Assets:</w:t>
            </w:r>
          </w:p>
        </w:tc>
        <w:tc>
          <w:tcPr>
            <w:tcW w:w="4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8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124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24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080" w:type="dxa"/>
            <w:vAlign w:val="bottom"/>
          </w:tcPr>
          <w:p>
            <w:pPr>
              <w:ind w:left="40"/>
              <w:spacing w:after="0"/>
              <w:rPr>
                <w:sz w:val="20"/>
                <w:szCs w:val="20"/>
                <w:color w:val="auto"/>
              </w:rPr>
            </w:pPr>
            <w:r>
              <w:rPr>
                <w:rFonts w:ascii="Arial" w:cs="Arial" w:eastAsia="Arial" w:hAnsi="Arial"/>
                <w:sz w:val="14"/>
                <w:szCs w:val="14"/>
                <w:color w:val="auto"/>
              </w:rPr>
              <w:t>Commodities contracts</w:t>
            </w:r>
          </w:p>
        </w:tc>
        <w:tc>
          <w:tcPr>
            <w:tcW w:w="44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40" w:type="dxa"/>
            <w:vAlign w:val="bottom"/>
            <w:vMerge w:val="restart"/>
          </w:tcPr>
          <w:p>
            <w:pPr>
              <w:jc w:val="right"/>
              <w:ind w:right="108"/>
              <w:spacing w:after="0"/>
              <w:rPr>
                <w:sz w:val="20"/>
                <w:szCs w:val="20"/>
                <w:color w:val="auto"/>
              </w:rPr>
            </w:pPr>
            <w:r>
              <w:rPr>
                <w:rFonts w:ascii="Arial" w:cs="Arial" w:eastAsia="Arial" w:hAnsi="Arial"/>
                <w:sz w:val="14"/>
                <w:szCs w:val="14"/>
                <w:color w:val="auto"/>
              </w:rPr>
              <w:t>176.3</w:t>
            </w:r>
          </w:p>
        </w:tc>
        <w:tc>
          <w:tcPr>
            <w:tcW w:w="38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40" w:type="dxa"/>
            <w:vAlign w:val="bottom"/>
            <w:vMerge w:val="restart"/>
          </w:tcPr>
          <w:p>
            <w:pPr>
              <w:jc w:val="right"/>
              <w:ind w:right="108"/>
              <w:spacing w:after="0"/>
              <w:rPr>
                <w:sz w:val="20"/>
                <w:szCs w:val="20"/>
                <w:color w:val="auto"/>
              </w:rPr>
            </w:pPr>
            <w:r>
              <w:rPr>
                <w:rFonts w:ascii="Arial" w:cs="Arial" w:eastAsia="Arial" w:hAnsi="Arial"/>
                <w:sz w:val="14"/>
                <w:szCs w:val="14"/>
                <w:color w:val="auto"/>
              </w:rPr>
              <w:t>120.8</w:t>
            </w:r>
          </w:p>
        </w:tc>
        <w:tc>
          <w:tcPr>
            <w:tcW w:w="38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vMerge w:val="restart"/>
          </w:tcPr>
          <w:p>
            <w:pPr>
              <w:jc w:val="right"/>
              <w:ind w:right="108"/>
              <w:spacing w:after="0"/>
              <w:rPr>
                <w:sz w:val="20"/>
                <w:szCs w:val="20"/>
                <w:color w:val="auto"/>
              </w:rPr>
            </w:pPr>
            <w:r>
              <w:rPr>
                <w:rFonts w:ascii="Arial" w:cs="Arial" w:eastAsia="Arial" w:hAnsi="Arial"/>
                <w:sz w:val="14"/>
                <w:szCs w:val="14"/>
                <w:color w:val="auto"/>
              </w:rPr>
              <w:t>55.4</w:t>
            </w:r>
          </w:p>
        </w:tc>
        <w:tc>
          <w:tcPr>
            <w:tcW w:w="520" w:type="dxa"/>
            <w:vAlign w:val="bottom"/>
            <w:vMerge w:val="restart"/>
          </w:tcPr>
          <w:p>
            <w:pPr>
              <w:jc w:val="right"/>
              <w:ind w:right="188"/>
              <w:spacing w:after="0"/>
              <w:rPr>
                <w:sz w:val="20"/>
                <w:szCs w:val="20"/>
                <w:color w:val="auto"/>
              </w:rPr>
            </w:pPr>
            <w:r>
              <w:rPr>
                <w:rFonts w:ascii="Arial" w:cs="Arial" w:eastAsia="Arial" w:hAnsi="Arial"/>
                <w:sz w:val="14"/>
                <w:szCs w:val="14"/>
                <w:color w:val="auto"/>
              </w:rPr>
              <w:t>$</w:t>
            </w:r>
          </w:p>
        </w:tc>
        <w:tc>
          <w:tcPr>
            <w:tcW w:w="1060" w:type="dxa"/>
            <w:vAlign w:val="bottom"/>
            <w:vMerge w:val="restart"/>
          </w:tcPr>
          <w:p>
            <w:pPr>
              <w:jc w:val="right"/>
              <w:ind w:right="108"/>
              <w:spacing w:after="0"/>
              <w:rPr>
                <w:sz w:val="20"/>
                <w:szCs w:val="20"/>
                <w:color w:val="auto"/>
              </w:rPr>
            </w:pPr>
            <w:r>
              <w:rPr>
                <w:rFonts w:ascii="Arial" w:cs="Arial" w:eastAsia="Arial" w:hAnsi="Arial"/>
                <w:sz w:val="14"/>
                <w:szCs w:val="14"/>
                <w:color w:val="auto"/>
              </w:rPr>
              <w:t>2.8</w:t>
            </w:r>
          </w:p>
        </w:tc>
        <w:tc>
          <w:tcPr>
            <w:tcW w:w="34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22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360" w:type="dxa"/>
            <w:vAlign w:val="bottom"/>
            <w:vMerge w:val="restart"/>
          </w:tcPr>
          <w:p>
            <w:pPr>
              <w:jc w:val="center"/>
              <w:ind w:left="8"/>
              <w:spacing w:after="0"/>
              <w:rPr>
                <w:sz w:val="20"/>
                <w:szCs w:val="20"/>
                <w:color w:val="auto"/>
              </w:rPr>
            </w:pPr>
            <w:r>
              <w:rPr>
                <w:rFonts w:ascii="Arial" w:cs="Arial" w:eastAsia="Arial" w:hAnsi="Arial"/>
                <w:sz w:val="14"/>
                <w:szCs w:val="14"/>
                <w:color w:val="auto"/>
              </w:rPr>
              <w:t>$</w:t>
            </w: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52.7</w:t>
            </w:r>
          </w:p>
        </w:tc>
        <w:tc>
          <w:tcPr>
            <w:tcW w:w="0" w:type="dxa"/>
            <w:vAlign w:val="bottom"/>
          </w:tcPr>
          <w:p>
            <w:pPr>
              <w:spacing w:after="0"/>
              <w:rPr>
                <w:sz w:val="1"/>
                <w:szCs w:val="1"/>
                <w:color w:val="auto"/>
              </w:rPr>
            </w:pPr>
          </w:p>
        </w:tc>
      </w:tr>
      <w:tr>
        <w:trPr>
          <w:trHeight w:val="74"/>
        </w:trPr>
        <w:tc>
          <w:tcPr>
            <w:tcW w:w="208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1240" w:type="dxa"/>
            <w:vAlign w:val="bottom"/>
            <w:vMerge w:val="continue"/>
          </w:tcPr>
          <w:p>
            <w:pPr>
              <w:spacing w:after="0"/>
              <w:rPr>
                <w:sz w:val="6"/>
                <w:szCs w:val="6"/>
                <w:color w:val="auto"/>
              </w:rPr>
            </w:pPr>
          </w:p>
        </w:tc>
        <w:tc>
          <w:tcPr>
            <w:tcW w:w="380" w:type="dxa"/>
            <w:vAlign w:val="bottom"/>
            <w:vMerge w:val="continue"/>
          </w:tcPr>
          <w:p>
            <w:pPr>
              <w:spacing w:after="0"/>
              <w:rPr>
                <w:sz w:val="6"/>
                <w:szCs w:val="6"/>
                <w:color w:val="auto"/>
              </w:rPr>
            </w:pPr>
          </w:p>
        </w:tc>
        <w:tc>
          <w:tcPr>
            <w:tcW w:w="1240" w:type="dxa"/>
            <w:vAlign w:val="bottom"/>
            <w:vMerge w:val="continue"/>
          </w:tcPr>
          <w:p>
            <w:pPr>
              <w:spacing w:after="0"/>
              <w:rPr>
                <w:sz w:val="6"/>
                <w:szCs w:val="6"/>
                <w:color w:val="auto"/>
              </w:rPr>
            </w:pPr>
          </w:p>
        </w:tc>
        <w:tc>
          <w:tcPr>
            <w:tcW w:w="380" w:type="dxa"/>
            <w:vAlign w:val="bottom"/>
            <w:vMerge w:val="continue"/>
          </w:tcPr>
          <w:p>
            <w:pPr>
              <w:spacing w:after="0"/>
              <w:rPr>
                <w:sz w:val="6"/>
                <w:szCs w:val="6"/>
                <w:color w:val="auto"/>
              </w:rPr>
            </w:pPr>
          </w:p>
        </w:tc>
        <w:tc>
          <w:tcPr>
            <w:tcW w:w="112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340" w:type="dxa"/>
            <w:vAlign w:val="bottom"/>
            <w:vMerge w:val="continue"/>
          </w:tcPr>
          <w:p>
            <w:pPr>
              <w:spacing w:after="0"/>
              <w:rPr>
                <w:sz w:val="6"/>
                <w:szCs w:val="6"/>
                <w:color w:val="auto"/>
              </w:rPr>
            </w:pPr>
          </w:p>
        </w:tc>
        <w:tc>
          <w:tcPr>
            <w:tcW w:w="1220" w:type="dxa"/>
            <w:vAlign w:val="bottom"/>
            <w:vMerge w:val="continue"/>
          </w:tcPr>
          <w:p>
            <w:pPr>
              <w:spacing w:after="0"/>
              <w:rPr>
                <w:sz w:val="6"/>
                <w:szCs w:val="6"/>
                <w:color w:val="auto"/>
              </w:rPr>
            </w:pPr>
          </w:p>
        </w:tc>
        <w:tc>
          <w:tcPr>
            <w:tcW w:w="36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Foreign currency contracts</w:t>
            </w:r>
          </w:p>
        </w:tc>
        <w:tc>
          <w:tcPr>
            <w:tcW w:w="440" w:type="dxa"/>
            <w:vAlign w:val="bottom"/>
            <w:shd w:val="clear" w:color="auto" w:fill="CCEEFF"/>
          </w:tcPr>
          <w:p>
            <w:pPr>
              <w:spacing w:after="0"/>
              <w:rPr>
                <w:sz w:val="17"/>
                <w:szCs w:val="17"/>
                <w:color w:val="auto"/>
              </w:rPr>
            </w:pPr>
          </w:p>
        </w:tc>
        <w:tc>
          <w:tcPr>
            <w:tcW w:w="124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14.8</w:t>
            </w:r>
          </w:p>
        </w:tc>
        <w:tc>
          <w:tcPr>
            <w:tcW w:w="380" w:type="dxa"/>
            <w:vAlign w:val="bottom"/>
            <w:shd w:val="clear" w:color="auto" w:fill="CCEEFF"/>
          </w:tcPr>
          <w:p>
            <w:pPr>
              <w:spacing w:after="0"/>
              <w:rPr>
                <w:sz w:val="17"/>
                <w:szCs w:val="17"/>
                <w:color w:val="auto"/>
              </w:rPr>
            </w:pPr>
          </w:p>
        </w:tc>
        <w:tc>
          <w:tcPr>
            <w:tcW w:w="124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10.8</w:t>
            </w:r>
          </w:p>
        </w:tc>
        <w:tc>
          <w:tcPr>
            <w:tcW w:w="38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3.9</w:t>
            </w:r>
          </w:p>
        </w:tc>
        <w:tc>
          <w:tcPr>
            <w:tcW w:w="520" w:type="dxa"/>
            <w:vAlign w:val="bottom"/>
            <w:shd w:val="clear" w:color="auto" w:fill="CCEEFF"/>
          </w:tcPr>
          <w:p>
            <w:pPr>
              <w:spacing w:after="0"/>
              <w:rPr>
                <w:sz w:val="17"/>
                <w:szCs w:val="17"/>
                <w:color w:val="auto"/>
              </w:rPr>
            </w:pPr>
          </w:p>
        </w:tc>
        <w:tc>
          <w:tcPr>
            <w:tcW w:w="106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7"/>
                <w:szCs w:val="17"/>
                <w:color w:val="auto"/>
              </w:rPr>
            </w:pPr>
          </w:p>
        </w:tc>
        <w:tc>
          <w:tcPr>
            <w:tcW w:w="10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74"/>
        </w:trPr>
        <w:tc>
          <w:tcPr>
            <w:tcW w:w="2080" w:type="dxa"/>
            <w:vAlign w:val="bottom"/>
            <w:tcBorders>
              <w:bottom w:val="single" w:sz="8" w:color="auto"/>
            </w:tcBorders>
            <w:shd w:val="clear" w:color="auto" w:fill="CCEEFF"/>
          </w:tcPr>
          <w:p>
            <w:pPr>
              <w:spacing w:after="0"/>
              <w:rPr>
                <w:sz w:val="6"/>
                <w:szCs w:val="6"/>
                <w:color w:val="auto"/>
              </w:rPr>
            </w:pPr>
          </w:p>
        </w:tc>
        <w:tc>
          <w:tcPr>
            <w:tcW w:w="440" w:type="dxa"/>
            <w:vAlign w:val="bottom"/>
            <w:tcBorders>
              <w:bottom w:val="single" w:sz="8" w:color="auto"/>
            </w:tcBorders>
            <w:shd w:val="clear" w:color="auto" w:fill="CCEEFF"/>
          </w:tcPr>
          <w:p>
            <w:pPr>
              <w:spacing w:after="0"/>
              <w:rPr>
                <w:sz w:val="6"/>
                <w:szCs w:val="6"/>
                <w:color w:val="auto"/>
              </w:rPr>
            </w:pPr>
          </w:p>
        </w:tc>
        <w:tc>
          <w:tcPr>
            <w:tcW w:w="1240" w:type="dxa"/>
            <w:vAlign w:val="bottom"/>
            <w:tcBorders>
              <w:bottom w:val="single" w:sz="8" w:color="auto"/>
            </w:tcBorders>
            <w:vMerge w:val="continue"/>
            <w:shd w:val="clear" w:color="auto" w:fill="CCEEFF"/>
          </w:tcPr>
          <w:p>
            <w:pPr>
              <w:spacing w:after="0"/>
              <w:rPr>
                <w:sz w:val="6"/>
                <w:szCs w:val="6"/>
                <w:color w:val="auto"/>
              </w:rPr>
            </w:pPr>
          </w:p>
        </w:tc>
        <w:tc>
          <w:tcPr>
            <w:tcW w:w="380" w:type="dxa"/>
            <w:vAlign w:val="bottom"/>
            <w:tcBorders>
              <w:bottom w:val="single" w:sz="8" w:color="auto"/>
            </w:tcBorders>
            <w:shd w:val="clear" w:color="auto" w:fill="CCEEFF"/>
          </w:tcPr>
          <w:p>
            <w:pPr>
              <w:spacing w:after="0"/>
              <w:rPr>
                <w:sz w:val="6"/>
                <w:szCs w:val="6"/>
                <w:color w:val="auto"/>
              </w:rPr>
            </w:pPr>
          </w:p>
        </w:tc>
        <w:tc>
          <w:tcPr>
            <w:tcW w:w="1240" w:type="dxa"/>
            <w:vAlign w:val="bottom"/>
            <w:tcBorders>
              <w:bottom w:val="single" w:sz="8" w:color="auto"/>
            </w:tcBorders>
            <w:vMerge w:val="continue"/>
            <w:shd w:val="clear" w:color="auto" w:fill="CCEEFF"/>
          </w:tcPr>
          <w:p>
            <w:pPr>
              <w:spacing w:after="0"/>
              <w:rPr>
                <w:sz w:val="6"/>
                <w:szCs w:val="6"/>
                <w:color w:val="auto"/>
              </w:rPr>
            </w:pPr>
          </w:p>
        </w:tc>
        <w:tc>
          <w:tcPr>
            <w:tcW w:w="380" w:type="dxa"/>
            <w:vAlign w:val="bottom"/>
            <w:tcBorders>
              <w:bottom w:val="single" w:sz="8" w:color="auto"/>
            </w:tcBorders>
            <w:shd w:val="clear" w:color="auto" w:fill="CCEEFF"/>
          </w:tcPr>
          <w:p>
            <w:pPr>
              <w:spacing w:after="0"/>
              <w:rPr>
                <w:sz w:val="6"/>
                <w:szCs w:val="6"/>
                <w:color w:val="auto"/>
              </w:rPr>
            </w:pPr>
          </w:p>
        </w:tc>
        <w:tc>
          <w:tcPr>
            <w:tcW w:w="1120" w:type="dxa"/>
            <w:vAlign w:val="bottom"/>
            <w:tcBorders>
              <w:bottom w:val="single" w:sz="8" w:color="auto"/>
            </w:tcBorders>
            <w:vMerge w:val="continue"/>
            <w:shd w:val="clear" w:color="auto" w:fill="CCEEFF"/>
          </w:tcPr>
          <w:p>
            <w:pPr>
              <w:spacing w:after="0"/>
              <w:rPr>
                <w:sz w:val="6"/>
                <w:szCs w:val="6"/>
                <w:color w:val="auto"/>
              </w:rPr>
            </w:pPr>
          </w:p>
        </w:tc>
        <w:tc>
          <w:tcPr>
            <w:tcW w:w="520" w:type="dxa"/>
            <w:vAlign w:val="bottom"/>
            <w:tcBorders>
              <w:bottom w:val="single" w:sz="8" w:color="auto"/>
            </w:tcBorders>
            <w:shd w:val="clear" w:color="auto" w:fill="CCEEFF"/>
          </w:tcPr>
          <w:p>
            <w:pPr>
              <w:spacing w:after="0"/>
              <w:rPr>
                <w:sz w:val="6"/>
                <w:szCs w:val="6"/>
                <w:color w:val="auto"/>
              </w:rPr>
            </w:pPr>
          </w:p>
        </w:tc>
        <w:tc>
          <w:tcPr>
            <w:tcW w:w="1060" w:type="dxa"/>
            <w:vAlign w:val="bottom"/>
            <w:tcBorders>
              <w:bottom w:val="single" w:sz="8" w:color="auto"/>
            </w:tcBorders>
            <w:vMerge w:val="continue"/>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1220" w:type="dxa"/>
            <w:vAlign w:val="bottom"/>
            <w:tcBorders>
              <w:bottom w:val="single" w:sz="8" w:color="auto"/>
            </w:tcBorders>
            <w:vMerge w:val="continue"/>
            <w:shd w:val="clear" w:color="auto" w:fill="CCEEFF"/>
          </w:tcPr>
          <w:p>
            <w:pPr>
              <w:spacing w:after="0"/>
              <w:rPr>
                <w:sz w:val="6"/>
                <w:szCs w:val="6"/>
                <w:color w:val="auto"/>
              </w:rPr>
            </w:pPr>
          </w:p>
        </w:tc>
        <w:tc>
          <w:tcPr>
            <w:tcW w:w="360" w:type="dxa"/>
            <w:vAlign w:val="bottom"/>
            <w:tcBorders>
              <w:bottom w:val="single" w:sz="8" w:color="auto"/>
            </w:tcBorders>
            <w:shd w:val="clear" w:color="auto" w:fill="CCEEFF"/>
          </w:tcPr>
          <w:p>
            <w:pPr>
              <w:spacing w:after="0"/>
              <w:rPr>
                <w:sz w:val="6"/>
                <w:szCs w:val="6"/>
                <w:color w:val="auto"/>
              </w:rPr>
            </w:pPr>
          </w:p>
        </w:tc>
        <w:tc>
          <w:tcPr>
            <w:tcW w:w="104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2080" w:type="dxa"/>
            <w:vAlign w:val="bottom"/>
          </w:tcPr>
          <w:p>
            <w:pPr>
              <w:ind w:left="40"/>
              <w:spacing w:after="0"/>
              <w:rPr>
                <w:sz w:val="20"/>
                <w:szCs w:val="20"/>
                <w:color w:val="auto"/>
              </w:rPr>
            </w:pPr>
            <w:r>
              <w:rPr>
                <w:rFonts w:ascii="Arial" w:cs="Arial" w:eastAsia="Arial" w:hAnsi="Arial"/>
                <w:sz w:val="14"/>
                <w:szCs w:val="14"/>
                <w:color w:val="auto"/>
              </w:rPr>
              <w:t>Total assets at fair value</w:t>
            </w:r>
          </w:p>
        </w:tc>
        <w:tc>
          <w:tcPr>
            <w:tcW w:w="44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40" w:type="dxa"/>
            <w:vAlign w:val="bottom"/>
            <w:vMerge w:val="restart"/>
          </w:tcPr>
          <w:p>
            <w:pPr>
              <w:jc w:val="right"/>
              <w:ind w:right="108"/>
              <w:spacing w:after="0"/>
              <w:rPr>
                <w:sz w:val="20"/>
                <w:szCs w:val="20"/>
                <w:color w:val="auto"/>
              </w:rPr>
            </w:pPr>
            <w:r>
              <w:rPr>
                <w:rFonts w:ascii="Arial" w:cs="Arial" w:eastAsia="Arial" w:hAnsi="Arial"/>
                <w:sz w:val="14"/>
                <w:szCs w:val="14"/>
                <w:color w:val="auto"/>
              </w:rPr>
              <w:t>191.0</w:t>
            </w:r>
          </w:p>
        </w:tc>
        <w:tc>
          <w:tcPr>
            <w:tcW w:w="38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40" w:type="dxa"/>
            <w:vAlign w:val="bottom"/>
            <w:vMerge w:val="restart"/>
          </w:tcPr>
          <w:p>
            <w:pPr>
              <w:jc w:val="right"/>
              <w:ind w:right="108"/>
              <w:spacing w:after="0"/>
              <w:rPr>
                <w:sz w:val="20"/>
                <w:szCs w:val="20"/>
                <w:color w:val="auto"/>
              </w:rPr>
            </w:pPr>
            <w:r>
              <w:rPr>
                <w:rFonts w:ascii="Arial" w:cs="Arial" w:eastAsia="Arial" w:hAnsi="Arial"/>
                <w:sz w:val="14"/>
                <w:szCs w:val="14"/>
                <w:color w:val="auto"/>
              </w:rPr>
              <w:t>131.7</w:t>
            </w:r>
          </w:p>
        </w:tc>
        <w:tc>
          <w:tcPr>
            <w:tcW w:w="38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vMerge w:val="restart"/>
          </w:tcPr>
          <w:p>
            <w:pPr>
              <w:jc w:val="right"/>
              <w:ind w:right="108"/>
              <w:spacing w:after="0"/>
              <w:rPr>
                <w:sz w:val="20"/>
                <w:szCs w:val="20"/>
                <w:color w:val="auto"/>
              </w:rPr>
            </w:pPr>
            <w:r>
              <w:rPr>
                <w:rFonts w:ascii="Arial" w:cs="Arial" w:eastAsia="Arial" w:hAnsi="Arial"/>
                <w:sz w:val="14"/>
                <w:szCs w:val="14"/>
                <w:color w:val="auto"/>
              </w:rPr>
              <w:t>59.4</w:t>
            </w:r>
          </w:p>
        </w:tc>
        <w:tc>
          <w:tcPr>
            <w:tcW w:w="520" w:type="dxa"/>
            <w:vAlign w:val="bottom"/>
            <w:vMerge w:val="restart"/>
          </w:tcPr>
          <w:p>
            <w:pPr>
              <w:jc w:val="right"/>
              <w:ind w:right="188"/>
              <w:spacing w:after="0"/>
              <w:rPr>
                <w:sz w:val="20"/>
                <w:szCs w:val="20"/>
                <w:color w:val="auto"/>
              </w:rPr>
            </w:pPr>
            <w:r>
              <w:rPr>
                <w:rFonts w:ascii="Arial" w:cs="Arial" w:eastAsia="Arial" w:hAnsi="Arial"/>
                <w:sz w:val="14"/>
                <w:szCs w:val="14"/>
                <w:color w:val="auto"/>
              </w:rPr>
              <w:t>$</w:t>
            </w:r>
          </w:p>
        </w:tc>
        <w:tc>
          <w:tcPr>
            <w:tcW w:w="1060" w:type="dxa"/>
            <w:vAlign w:val="bottom"/>
            <w:vMerge w:val="restart"/>
          </w:tcPr>
          <w:p>
            <w:pPr>
              <w:jc w:val="right"/>
              <w:ind w:right="108"/>
              <w:spacing w:after="0"/>
              <w:rPr>
                <w:sz w:val="20"/>
                <w:szCs w:val="20"/>
                <w:color w:val="auto"/>
              </w:rPr>
            </w:pPr>
            <w:r>
              <w:rPr>
                <w:rFonts w:ascii="Arial" w:cs="Arial" w:eastAsia="Arial" w:hAnsi="Arial"/>
                <w:sz w:val="14"/>
                <w:szCs w:val="14"/>
                <w:color w:val="auto"/>
              </w:rPr>
              <w:t>2.8</w:t>
            </w:r>
          </w:p>
        </w:tc>
        <w:tc>
          <w:tcPr>
            <w:tcW w:w="34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22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360" w:type="dxa"/>
            <w:vAlign w:val="bottom"/>
            <w:vMerge w:val="restart"/>
          </w:tcPr>
          <w:p>
            <w:pPr>
              <w:jc w:val="center"/>
              <w:ind w:left="8"/>
              <w:spacing w:after="0"/>
              <w:rPr>
                <w:sz w:val="20"/>
                <w:szCs w:val="20"/>
                <w:color w:val="auto"/>
              </w:rPr>
            </w:pPr>
            <w:r>
              <w:rPr>
                <w:rFonts w:ascii="Arial" w:cs="Arial" w:eastAsia="Arial" w:hAnsi="Arial"/>
                <w:sz w:val="14"/>
                <w:szCs w:val="14"/>
                <w:color w:val="auto"/>
              </w:rPr>
              <w:t>$</w:t>
            </w: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56.6</w:t>
            </w:r>
          </w:p>
        </w:tc>
        <w:tc>
          <w:tcPr>
            <w:tcW w:w="0" w:type="dxa"/>
            <w:vAlign w:val="bottom"/>
          </w:tcPr>
          <w:p>
            <w:pPr>
              <w:spacing w:after="0"/>
              <w:rPr>
                <w:sz w:val="1"/>
                <w:szCs w:val="1"/>
                <w:color w:val="auto"/>
              </w:rPr>
            </w:pPr>
          </w:p>
        </w:tc>
      </w:tr>
      <w:tr>
        <w:trPr>
          <w:trHeight w:val="114"/>
        </w:trPr>
        <w:tc>
          <w:tcPr>
            <w:tcW w:w="20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vMerge w:val="continue"/>
          </w:tcPr>
          <w:p>
            <w:pPr>
              <w:spacing w:after="0"/>
              <w:rPr>
                <w:sz w:val="9"/>
                <w:szCs w:val="9"/>
                <w:color w:val="auto"/>
              </w:rPr>
            </w:pPr>
          </w:p>
        </w:tc>
        <w:tc>
          <w:tcPr>
            <w:tcW w:w="1240" w:type="dxa"/>
            <w:vAlign w:val="bottom"/>
            <w:tcBorders>
              <w:bottom w:val="single" w:sz="8" w:color="auto"/>
            </w:tcBorders>
            <w:vMerge w:val="continue"/>
          </w:tcPr>
          <w:p>
            <w:pPr>
              <w:spacing w:after="0"/>
              <w:rPr>
                <w:sz w:val="9"/>
                <w:szCs w:val="9"/>
                <w:color w:val="auto"/>
              </w:rPr>
            </w:pPr>
          </w:p>
        </w:tc>
        <w:tc>
          <w:tcPr>
            <w:tcW w:w="380" w:type="dxa"/>
            <w:vAlign w:val="bottom"/>
            <w:tcBorders>
              <w:bottom w:val="single" w:sz="8" w:color="auto"/>
            </w:tcBorders>
            <w:vMerge w:val="continue"/>
          </w:tcPr>
          <w:p>
            <w:pPr>
              <w:spacing w:after="0"/>
              <w:rPr>
                <w:sz w:val="9"/>
                <w:szCs w:val="9"/>
                <w:color w:val="auto"/>
              </w:rPr>
            </w:pPr>
          </w:p>
        </w:tc>
        <w:tc>
          <w:tcPr>
            <w:tcW w:w="1240" w:type="dxa"/>
            <w:vAlign w:val="bottom"/>
            <w:tcBorders>
              <w:bottom w:val="single" w:sz="8" w:color="auto"/>
            </w:tcBorders>
            <w:vMerge w:val="continue"/>
          </w:tcPr>
          <w:p>
            <w:pPr>
              <w:spacing w:after="0"/>
              <w:rPr>
                <w:sz w:val="9"/>
                <w:szCs w:val="9"/>
                <w:color w:val="auto"/>
              </w:rPr>
            </w:pPr>
          </w:p>
        </w:tc>
        <w:tc>
          <w:tcPr>
            <w:tcW w:w="380" w:type="dxa"/>
            <w:vAlign w:val="bottom"/>
            <w:tcBorders>
              <w:bottom w:val="single" w:sz="8" w:color="auto"/>
            </w:tcBorders>
            <w:vMerge w:val="continue"/>
          </w:tcPr>
          <w:p>
            <w:pPr>
              <w:spacing w:after="0"/>
              <w:rPr>
                <w:sz w:val="9"/>
                <w:szCs w:val="9"/>
                <w:color w:val="auto"/>
              </w:rPr>
            </w:pPr>
          </w:p>
        </w:tc>
        <w:tc>
          <w:tcPr>
            <w:tcW w:w="1120" w:type="dxa"/>
            <w:vAlign w:val="bottom"/>
            <w:tcBorders>
              <w:bottom w:val="single" w:sz="8" w:color="auto"/>
            </w:tcBorders>
            <w:vMerge w:val="continue"/>
          </w:tcPr>
          <w:p>
            <w:pPr>
              <w:spacing w:after="0"/>
              <w:rPr>
                <w:sz w:val="9"/>
                <w:szCs w:val="9"/>
                <w:color w:val="auto"/>
              </w:rPr>
            </w:pPr>
          </w:p>
        </w:tc>
        <w:tc>
          <w:tcPr>
            <w:tcW w:w="520" w:type="dxa"/>
            <w:vAlign w:val="bottom"/>
            <w:tcBorders>
              <w:bottom w:val="single" w:sz="8" w:color="auto"/>
            </w:tcBorders>
            <w:vMerge w:val="continue"/>
          </w:tcPr>
          <w:p>
            <w:pPr>
              <w:spacing w:after="0"/>
              <w:rPr>
                <w:sz w:val="9"/>
                <w:szCs w:val="9"/>
                <w:color w:val="auto"/>
              </w:rPr>
            </w:pPr>
          </w:p>
        </w:tc>
        <w:tc>
          <w:tcPr>
            <w:tcW w:w="1060" w:type="dxa"/>
            <w:vAlign w:val="bottom"/>
            <w:tcBorders>
              <w:bottom w:val="single" w:sz="8" w:color="auto"/>
            </w:tcBorders>
            <w:vMerge w:val="continue"/>
          </w:tcPr>
          <w:p>
            <w:pPr>
              <w:spacing w:after="0"/>
              <w:rPr>
                <w:sz w:val="9"/>
                <w:szCs w:val="9"/>
                <w:color w:val="auto"/>
              </w:rPr>
            </w:pPr>
          </w:p>
        </w:tc>
        <w:tc>
          <w:tcPr>
            <w:tcW w:w="340" w:type="dxa"/>
            <w:vAlign w:val="bottom"/>
            <w:tcBorders>
              <w:bottom w:val="single" w:sz="8" w:color="auto"/>
            </w:tcBorders>
            <w:vMerge w:val="continue"/>
          </w:tcPr>
          <w:p>
            <w:pPr>
              <w:spacing w:after="0"/>
              <w:rPr>
                <w:sz w:val="9"/>
                <w:szCs w:val="9"/>
                <w:color w:val="auto"/>
              </w:rPr>
            </w:pPr>
          </w:p>
        </w:tc>
        <w:tc>
          <w:tcPr>
            <w:tcW w:w="1220" w:type="dxa"/>
            <w:vAlign w:val="bottom"/>
            <w:tcBorders>
              <w:bottom w:val="single" w:sz="8" w:color="auto"/>
            </w:tcBorders>
            <w:vMerge w:val="continue"/>
          </w:tcPr>
          <w:p>
            <w:pPr>
              <w:spacing w:after="0"/>
              <w:rPr>
                <w:sz w:val="9"/>
                <w:szCs w:val="9"/>
                <w:color w:val="auto"/>
              </w:rPr>
            </w:pPr>
          </w:p>
        </w:tc>
        <w:tc>
          <w:tcPr>
            <w:tcW w:w="360" w:type="dxa"/>
            <w:vAlign w:val="bottom"/>
            <w:tcBorders>
              <w:bottom w:val="single" w:sz="8" w:color="auto"/>
            </w:tcBorders>
            <w:vMerge w:val="continue"/>
          </w:tcPr>
          <w:p>
            <w:pPr>
              <w:spacing w:after="0"/>
              <w:rPr>
                <w:sz w:val="9"/>
                <w:szCs w:val="9"/>
                <w:color w:val="auto"/>
              </w:rPr>
            </w:pPr>
          </w:p>
        </w:tc>
        <w:tc>
          <w:tcPr>
            <w:tcW w:w="104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11"/>
        </w:trPr>
        <w:tc>
          <w:tcPr>
            <w:tcW w:w="208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080" w:type="dxa"/>
            <w:vAlign w:val="bottom"/>
          </w:tcPr>
          <w:p>
            <w:pPr>
              <w:ind w:left="40"/>
              <w:spacing w:after="0"/>
              <w:rPr>
                <w:sz w:val="20"/>
                <w:szCs w:val="20"/>
                <w:color w:val="auto"/>
              </w:rPr>
            </w:pPr>
            <w:r>
              <w:rPr>
                <w:rFonts w:ascii="Arial" w:cs="Arial" w:eastAsia="Arial" w:hAnsi="Arial"/>
                <w:sz w:val="14"/>
                <w:szCs w:val="14"/>
                <w:b w:val="1"/>
                <w:bCs w:val="1"/>
                <w:color w:val="auto"/>
              </w:rPr>
              <w:t>Liabilities:</w:t>
            </w:r>
          </w:p>
        </w:tc>
        <w:tc>
          <w:tcPr>
            <w:tcW w:w="4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24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3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Commodities contracts</w:t>
            </w:r>
          </w:p>
        </w:tc>
        <w:tc>
          <w:tcPr>
            <w:tcW w:w="4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4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145.0</w:t>
            </w:r>
          </w:p>
        </w:tc>
        <w:tc>
          <w:tcPr>
            <w:tcW w:w="3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4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120.8</w:t>
            </w:r>
          </w:p>
        </w:tc>
        <w:tc>
          <w:tcPr>
            <w:tcW w:w="3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24.2</w:t>
            </w:r>
          </w:p>
        </w:tc>
        <w:tc>
          <w:tcPr>
            <w:tcW w:w="520" w:type="dxa"/>
            <w:vAlign w:val="bottom"/>
            <w:vMerge w:val="restart"/>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06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0.3</w:t>
            </w:r>
          </w:p>
        </w:tc>
        <w:tc>
          <w:tcPr>
            <w:tcW w:w="3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2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360" w:type="dxa"/>
            <w:vAlign w:val="bottom"/>
            <w:vMerge w:val="restart"/>
            <w:shd w:val="clear" w:color="auto" w:fill="CCEEFF"/>
          </w:tcPr>
          <w:p>
            <w:pPr>
              <w:jc w:val="center"/>
              <w:ind w:left="8"/>
              <w:spacing w:after="0"/>
              <w:rPr>
                <w:sz w:val="20"/>
                <w:szCs w:val="20"/>
                <w:color w:val="auto"/>
              </w:rPr>
            </w:pPr>
            <w:r>
              <w:rPr>
                <w:rFonts w:ascii="Arial" w:cs="Arial" w:eastAsia="Arial" w:hAnsi="Arial"/>
                <w:sz w:val="14"/>
                <w:szCs w:val="14"/>
                <w:color w:val="auto"/>
              </w:rPr>
              <w:t>$</w:t>
            </w:r>
          </w:p>
        </w:tc>
        <w:tc>
          <w:tcPr>
            <w:tcW w:w="10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23.9</w:t>
            </w:r>
          </w:p>
        </w:tc>
        <w:tc>
          <w:tcPr>
            <w:tcW w:w="0" w:type="dxa"/>
            <w:vAlign w:val="bottom"/>
          </w:tcPr>
          <w:p>
            <w:pPr>
              <w:spacing w:after="0"/>
              <w:rPr>
                <w:sz w:val="1"/>
                <w:szCs w:val="1"/>
                <w:color w:val="auto"/>
              </w:rPr>
            </w:pPr>
          </w:p>
        </w:tc>
      </w:tr>
      <w:tr>
        <w:trPr>
          <w:trHeight w:val="80"/>
        </w:trPr>
        <w:tc>
          <w:tcPr>
            <w:tcW w:w="2080" w:type="dxa"/>
            <w:vAlign w:val="bottom"/>
            <w:shd w:val="clear" w:color="auto" w:fill="CCEEFF"/>
          </w:tcPr>
          <w:p>
            <w:pPr>
              <w:spacing w:after="0"/>
              <w:rPr>
                <w:sz w:val="6"/>
                <w:szCs w:val="6"/>
                <w:color w:val="auto"/>
              </w:rPr>
            </w:pPr>
          </w:p>
        </w:tc>
        <w:tc>
          <w:tcPr>
            <w:tcW w:w="440" w:type="dxa"/>
            <w:vAlign w:val="bottom"/>
            <w:vMerge w:val="continue"/>
            <w:shd w:val="clear" w:color="auto" w:fill="CCEEFF"/>
          </w:tcPr>
          <w:p>
            <w:pPr>
              <w:spacing w:after="0"/>
              <w:rPr>
                <w:sz w:val="6"/>
                <w:szCs w:val="6"/>
                <w:color w:val="auto"/>
              </w:rPr>
            </w:pPr>
          </w:p>
        </w:tc>
        <w:tc>
          <w:tcPr>
            <w:tcW w:w="1240" w:type="dxa"/>
            <w:vAlign w:val="bottom"/>
            <w:vMerge w:val="continue"/>
            <w:shd w:val="clear" w:color="auto" w:fill="CCEEFF"/>
          </w:tcPr>
          <w:p>
            <w:pPr>
              <w:spacing w:after="0"/>
              <w:rPr>
                <w:sz w:val="6"/>
                <w:szCs w:val="6"/>
                <w:color w:val="auto"/>
              </w:rPr>
            </w:pPr>
          </w:p>
        </w:tc>
        <w:tc>
          <w:tcPr>
            <w:tcW w:w="380" w:type="dxa"/>
            <w:vAlign w:val="bottom"/>
            <w:vMerge w:val="continue"/>
            <w:shd w:val="clear" w:color="auto" w:fill="CCEEFF"/>
          </w:tcPr>
          <w:p>
            <w:pPr>
              <w:spacing w:after="0"/>
              <w:rPr>
                <w:sz w:val="6"/>
                <w:szCs w:val="6"/>
                <w:color w:val="auto"/>
              </w:rPr>
            </w:pPr>
          </w:p>
        </w:tc>
        <w:tc>
          <w:tcPr>
            <w:tcW w:w="1240" w:type="dxa"/>
            <w:vAlign w:val="bottom"/>
            <w:vMerge w:val="continue"/>
            <w:shd w:val="clear" w:color="auto" w:fill="CCEEFF"/>
          </w:tcPr>
          <w:p>
            <w:pPr>
              <w:spacing w:after="0"/>
              <w:rPr>
                <w:sz w:val="6"/>
                <w:szCs w:val="6"/>
                <w:color w:val="auto"/>
              </w:rPr>
            </w:pPr>
          </w:p>
        </w:tc>
        <w:tc>
          <w:tcPr>
            <w:tcW w:w="380" w:type="dxa"/>
            <w:vAlign w:val="bottom"/>
            <w:vMerge w:val="continue"/>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520" w:type="dxa"/>
            <w:vAlign w:val="bottom"/>
            <w:vMerge w:val="continue"/>
            <w:shd w:val="clear" w:color="auto" w:fill="CCEEFF"/>
          </w:tcPr>
          <w:p>
            <w:pPr>
              <w:spacing w:after="0"/>
              <w:rPr>
                <w:sz w:val="6"/>
                <w:szCs w:val="6"/>
                <w:color w:val="auto"/>
              </w:rPr>
            </w:pPr>
          </w:p>
        </w:tc>
        <w:tc>
          <w:tcPr>
            <w:tcW w:w="1060" w:type="dxa"/>
            <w:vAlign w:val="bottom"/>
            <w:vMerge w:val="continue"/>
            <w:shd w:val="clear" w:color="auto" w:fill="CCEEFF"/>
          </w:tcPr>
          <w:p>
            <w:pPr>
              <w:spacing w:after="0"/>
              <w:rPr>
                <w:sz w:val="6"/>
                <w:szCs w:val="6"/>
                <w:color w:val="auto"/>
              </w:rPr>
            </w:pPr>
          </w:p>
        </w:tc>
        <w:tc>
          <w:tcPr>
            <w:tcW w:w="340" w:type="dxa"/>
            <w:vAlign w:val="bottom"/>
            <w:vMerge w:val="continue"/>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360" w:type="dxa"/>
            <w:vAlign w:val="bottom"/>
            <w:vMerge w:val="continue"/>
            <w:shd w:val="clear" w:color="auto" w:fill="CCEEFF"/>
          </w:tcPr>
          <w:p>
            <w:pPr>
              <w:spacing w:after="0"/>
              <w:rPr>
                <w:sz w:val="6"/>
                <w:szCs w:val="6"/>
                <w:color w:val="auto"/>
              </w:rPr>
            </w:pPr>
          </w:p>
        </w:tc>
        <w:tc>
          <w:tcPr>
            <w:tcW w:w="10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080" w:type="dxa"/>
            <w:vAlign w:val="bottom"/>
          </w:tcPr>
          <w:p>
            <w:pPr>
              <w:ind w:left="40"/>
              <w:spacing w:after="0"/>
              <w:rPr>
                <w:sz w:val="20"/>
                <w:szCs w:val="20"/>
                <w:color w:val="auto"/>
              </w:rPr>
            </w:pPr>
            <w:r>
              <w:rPr>
                <w:rFonts w:ascii="Arial" w:cs="Arial" w:eastAsia="Arial" w:hAnsi="Arial"/>
                <w:sz w:val="14"/>
                <w:szCs w:val="14"/>
                <w:color w:val="auto"/>
              </w:rPr>
              <w:t>Foreign currency contracts</w:t>
            </w:r>
          </w:p>
        </w:tc>
        <w:tc>
          <w:tcPr>
            <w:tcW w:w="440" w:type="dxa"/>
            <w:vAlign w:val="bottom"/>
          </w:tcPr>
          <w:p>
            <w:pPr>
              <w:spacing w:after="0"/>
              <w:rPr>
                <w:sz w:val="16"/>
                <w:szCs w:val="16"/>
                <w:color w:val="auto"/>
              </w:rPr>
            </w:pPr>
          </w:p>
        </w:tc>
        <w:tc>
          <w:tcPr>
            <w:tcW w:w="1240" w:type="dxa"/>
            <w:vAlign w:val="bottom"/>
            <w:vMerge w:val="restart"/>
          </w:tcPr>
          <w:p>
            <w:pPr>
              <w:jc w:val="right"/>
              <w:ind w:right="108"/>
              <w:spacing w:after="0"/>
              <w:rPr>
                <w:sz w:val="20"/>
                <w:szCs w:val="20"/>
                <w:color w:val="auto"/>
              </w:rPr>
            </w:pPr>
            <w:r>
              <w:rPr>
                <w:rFonts w:ascii="Arial" w:cs="Arial" w:eastAsia="Arial" w:hAnsi="Arial"/>
                <w:sz w:val="14"/>
                <w:szCs w:val="14"/>
                <w:color w:val="auto"/>
              </w:rPr>
              <w:t>10.8</w:t>
            </w:r>
          </w:p>
        </w:tc>
        <w:tc>
          <w:tcPr>
            <w:tcW w:w="380" w:type="dxa"/>
            <w:vAlign w:val="bottom"/>
          </w:tcPr>
          <w:p>
            <w:pPr>
              <w:spacing w:after="0"/>
              <w:rPr>
                <w:sz w:val="16"/>
                <w:szCs w:val="16"/>
                <w:color w:val="auto"/>
              </w:rPr>
            </w:pPr>
          </w:p>
        </w:tc>
        <w:tc>
          <w:tcPr>
            <w:tcW w:w="1240" w:type="dxa"/>
            <w:vAlign w:val="bottom"/>
            <w:vMerge w:val="restart"/>
          </w:tcPr>
          <w:p>
            <w:pPr>
              <w:jc w:val="right"/>
              <w:ind w:right="108"/>
              <w:spacing w:after="0"/>
              <w:rPr>
                <w:sz w:val="20"/>
                <w:szCs w:val="20"/>
                <w:color w:val="auto"/>
              </w:rPr>
            </w:pPr>
            <w:r>
              <w:rPr>
                <w:rFonts w:ascii="Arial" w:cs="Arial" w:eastAsia="Arial" w:hAnsi="Arial"/>
                <w:sz w:val="14"/>
                <w:szCs w:val="14"/>
                <w:color w:val="auto"/>
              </w:rPr>
              <w:t>10.8</w:t>
            </w:r>
          </w:p>
        </w:tc>
        <w:tc>
          <w:tcPr>
            <w:tcW w:w="380" w:type="dxa"/>
            <w:vAlign w:val="bottom"/>
          </w:tcPr>
          <w:p>
            <w:pPr>
              <w:spacing w:after="0"/>
              <w:rPr>
                <w:sz w:val="16"/>
                <w:szCs w:val="16"/>
                <w:color w:val="auto"/>
              </w:rPr>
            </w:pPr>
          </w:p>
        </w:tc>
        <w:tc>
          <w:tcPr>
            <w:tcW w:w="112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6"/>
                <w:szCs w:val="16"/>
                <w:color w:val="auto"/>
              </w:rPr>
            </w:pPr>
          </w:p>
        </w:tc>
        <w:tc>
          <w:tcPr>
            <w:tcW w:w="106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122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6"/>
                <w:szCs w:val="16"/>
                <w:color w:val="auto"/>
              </w:rPr>
            </w:pP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208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vMerge w:val="continue"/>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vMerge w:val="continue"/>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vMerge w:val="continue"/>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vMerge w:val="continue"/>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vMerge w:val="continue"/>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2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liabilities at fair value</w:t>
            </w:r>
          </w:p>
        </w:tc>
        <w:tc>
          <w:tcPr>
            <w:tcW w:w="4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4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155.8</w:t>
            </w:r>
          </w:p>
        </w:tc>
        <w:tc>
          <w:tcPr>
            <w:tcW w:w="3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4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131.7</w:t>
            </w:r>
          </w:p>
        </w:tc>
        <w:tc>
          <w:tcPr>
            <w:tcW w:w="3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24.2</w:t>
            </w:r>
          </w:p>
        </w:tc>
        <w:tc>
          <w:tcPr>
            <w:tcW w:w="520" w:type="dxa"/>
            <w:vAlign w:val="bottom"/>
            <w:vMerge w:val="restart"/>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06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0.3</w:t>
            </w:r>
          </w:p>
        </w:tc>
        <w:tc>
          <w:tcPr>
            <w:tcW w:w="3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2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360" w:type="dxa"/>
            <w:vAlign w:val="bottom"/>
            <w:vMerge w:val="restart"/>
            <w:shd w:val="clear" w:color="auto" w:fill="CCEEFF"/>
          </w:tcPr>
          <w:p>
            <w:pPr>
              <w:jc w:val="center"/>
              <w:ind w:left="8"/>
              <w:spacing w:after="0"/>
              <w:rPr>
                <w:sz w:val="20"/>
                <w:szCs w:val="20"/>
                <w:color w:val="auto"/>
              </w:rPr>
            </w:pPr>
            <w:r>
              <w:rPr>
                <w:rFonts w:ascii="Arial" w:cs="Arial" w:eastAsia="Arial" w:hAnsi="Arial"/>
                <w:sz w:val="14"/>
                <w:szCs w:val="14"/>
                <w:color w:val="auto"/>
              </w:rPr>
              <w:t>$</w:t>
            </w:r>
          </w:p>
        </w:tc>
        <w:tc>
          <w:tcPr>
            <w:tcW w:w="10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23.9</w:t>
            </w:r>
          </w:p>
        </w:tc>
        <w:tc>
          <w:tcPr>
            <w:tcW w:w="0" w:type="dxa"/>
            <w:vAlign w:val="bottom"/>
          </w:tcPr>
          <w:p>
            <w:pPr>
              <w:spacing w:after="0"/>
              <w:rPr>
                <w:sz w:val="1"/>
                <w:szCs w:val="1"/>
                <w:color w:val="auto"/>
              </w:rPr>
            </w:pPr>
          </w:p>
        </w:tc>
      </w:tr>
      <w:tr>
        <w:trPr>
          <w:trHeight w:val="74"/>
        </w:trPr>
        <w:tc>
          <w:tcPr>
            <w:tcW w:w="2080" w:type="dxa"/>
            <w:vAlign w:val="bottom"/>
            <w:tcBorders>
              <w:bottom w:val="single" w:sz="8" w:color="auto"/>
            </w:tcBorders>
            <w:shd w:val="clear" w:color="auto" w:fill="CCEEFF"/>
          </w:tcPr>
          <w:p>
            <w:pPr>
              <w:spacing w:after="0"/>
              <w:rPr>
                <w:sz w:val="6"/>
                <w:szCs w:val="6"/>
                <w:color w:val="auto"/>
              </w:rPr>
            </w:pPr>
          </w:p>
        </w:tc>
        <w:tc>
          <w:tcPr>
            <w:tcW w:w="440" w:type="dxa"/>
            <w:vAlign w:val="bottom"/>
            <w:tcBorders>
              <w:bottom w:val="single" w:sz="8" w:color="auto"/>
            </w:tcBorders>
            <w:vMerge w:val="continue"/>
            <w:shd w:val="clear" w:color="auto" w:fill="CCEEFF"/>
          </w:tcPr>
          <w:p>
            <w:pPr>
              <w:spacing w:after="0"/>
              <w:rPr>
                <w:sz w:val="6"/>
                <w:szCs w:val="6"/>
                <w:color w:val="auto"/>
              </w:rPr>
            </w:pPr>
          </w:p>
        </w:tc>
        <w:tc>
          <w:tcPr>
            <w:tcW w:w="1240" w:type="dxa"/>
            <w:vAlign w:val="bottom"/>
            <w:tcBorders>
              <w:bottom w:val="single" w:sz="8" w:color="auto"/>
            </w:tcBorders>
            <w:vMerge w:val="continue"/>
            <w:shd w:val="clear" w:color="auto" w:fill="CCEEFF"/>
          </w:tcPr>
          <w:p>
            <w:pPr>
              <w:spacing w:after="0"/>
              <w:rPr>
                <w:sz w:val="6"/>
                <w:szCs w:val="6"/>
                <w:color w:val="auto"/>
              </w:rPr>
            </w:pPr>
          </w:p>
        </w:tc>
        <w:tc>
          <w:tcPr>
            <w:tcW w:w="380" w:type="dxa"/>
            <w:vAlign w:val="bottom"/>
            <w:tcBorders>
              <w:bottom w:val="single" w:sz="8" w:color="auto"/>
            </w:tcBorders>
            <w:vMerge w:val="continue"/>
            <w:shd w:val="clear" w:color="auto" w:fill="CCEEFF"/>
          </w:tcPr>
          <w:p>
            <w:pPr>
              <w:spacing w:after="0"/>
              <w:rPr>
                <w:sz w:val="6"/>
                <w:szCs w:val="6"/>
                <w:color w:val="auto"/>
              </w:rPr>
            </w:pPr>
          </w:p>
        </w:tc>
        <w:tc>
          <w:tcPr>
            <w:tcW w:w="1240" w:type="dxa"/>
            <w:vAlign w:val="bottom"/>
            <w:tcBorders>
              <w:bottom w:val="single" w:sz="8" w:color="auto"/>
            </w:tcBorders>
            <w:vMerge w:val="continue"/>
            <w:shd w:val="clear" w:color="auto" w:fill="CCEEFF"/>
          </w:tcPr>
          <w:p>
            <w:pPr>
              <w:spacing w:after="0"/>
              <w:rPr>
                <w:sz w:val="6"/>
                <w:szCs w:val="6"/>
                <w:color w:val="auto"/>
              </w:rPr>
            </w:pPr>
          </w:p>
        </w:tc>
        <w:tc>
          <w:tcPr>
            <w:tcW w:w="380" w:type="dxa"/>
            <w:vAlign w:val="bottom"/>
            <w:tcBorders>
              <w:bottom w:val="single" w:sz="8" w:color="auto"/>
            </w:tcBorders>
            <w:vMerge w:val="continue"/>
            <w:shd w:val="clear" w:color="auto" w:fill="CCEEFF"/>
          </w:tcPr>
          <w:p>
            <w:pPr>
              <w:spacing w:after="0"/>
              <w:rPr>
                <w:sz w:val="6"/>
                <w:szCs w:val="6"/>
                <w:color w:val="auto"/>
              </w:rPr>
            </w:pPr>
          </w:p>
        </w:tc>
        <w:tc>
          <w:tcPr>
            <w:tcW w:w="1120" w:type="dxa"/>
            <w:vAlign w:val="bottom"/>
            <w:tcBorders>
              <w:bottom w:val="single" w:sz="8" w:color="auto"/>
            </w:tcBorders>
            <w:vMerge w:val="continue"/>
            <w:shd w:val="clear" w:color="auto" w:fill="CCEEFF"/>
          </w:tcPr>
          <w:p>
            <w:pPr>
              <w:spacing w:after="0"/>
              <w:rPr>
                <w:sz w:val="6"/>
                <w:szCs w:val="6"/>
                <w:color w:val="auto"/>
              </w:rPr>
            </w:pPr>
          </w:p>
        </w:tc>
        <w:tc>
          <w:tcPr>
            <w:tcW w:w="520" w:type="dxa"/>
            <w:vAlign w:val="bottom"/>
            <w:tcBorders>
              <w:bottom w:val="single" w:sz="8" w:color="auto"/>
            </w:tcBorders>
            <w:vMerge w:val="continue"/>
            <w:shd w:val="clear" w:color="auto" w:fill="CCEEFF"/>
          </w:tcPr>
          <w:p>
            <w:pPr>
              <w:spacing w:after="0"/>
              <w:rPr>
                <w:sz w:val="6"/>
                <w:szCs w:val="6"/>
                <w:color w:val="auto"/>
              </w:rPr>
            </w:pPr>
          </w:p>
        </w:tc>
        <w:tc>
          <w:tcPr>
            <w:tcW w:w="1060" w:type="dxa"/>
            <w:vAlign w:val="bottom"/>
            <w:tcBorders>
              <w:bottom w:val="single" w:sz="8" w:color="auto"/>
            </w:tcBorders>
            <w:vMerge w:val="continue"/>
            <w:shd w:val="clear" w:color="auto" w:fill="CCEEFF"/>
          </w:tcPr>
          <w:p>
            <w:pPr>
              <w:spacing w:after="0"/>
              <w:rPr>
                <w:sz w:val="6"/>
                <w:szCs w:val="6"/>
                <w:color w:val="auto"/>
              </w:rPr>
            </w:pPr>
          </w:p>
        </w:tc>
        <w:tc>
          <w:tcPr>
            <w:tcW w:w="340" w:type="dxa"/>
            <w:vAlign w:val="bottom"/>
            <w:tcBorders>
              <w:bottom w:val="single" w:sz="8" w:color="auto"/>
            </w:tcBorders>
            <w:vMerge w:val="continue"/>
            <w:shd w:val="clear" w:color="auto" w:fill="CCEEFF"/>
          </w:tcPr>
          <w:p>
            <w:pPr>
              <w:spacing w:after="0"/>
              <w:rPr>
                <w:sz w:val="6"/>
                <w:szCs w:val="6"/>
                <w:color w:val="auto"/>
              </w:rPr>
            </w:pPr>
          </w:p>
        </w:tc>
        <w:tc>
          <w:tcPr>
            <w:tcW w:w="1220" w:type="dxa"/>
            <w:vAlign w:val="bottom"/>
            <w:tcBorders>
              <w:bottom w:val="single" w:sz="8" w:color="auto"/>
            </w:tcBorders>
            <w:vMerge w:val="continue"/>
            <w:shd w:val="clear" w:color="auto" w:fill="CCEEFF"/>
          </w:tcPr>
          <w:p>
            <w:pPr>
              <w:spacing w:after="0"/>
              <w:rPr>
                <w:sz w:val="6"/>
                <w:szCs w:val="6"/>
                <w:color w:val="auto"/>
              </w:rPr>
            </w:pPr>
          </w:p>
        </w:tc>
        <w:tc>
          <w:tcPr>
            <w:tcW w:w="360" w:type="dxa"/>
            <w:vAlign w:val="bottom"/>
            <w:tcBorders>
              <w:bottom w:val="single" w:sz="8" w:color="auto"/>
            </w:tcBorders>
            <w:vMerge w:val="continue"/>
            <w:shd w:val="clear" w:color="auto" w:fill="CCEEFF"/>
          </w:tcPr>
          <w:p>
            <w:pPr>
              <w:spacing w:after="0"/>
              <w:rPr>
                <w:sz w:val="6"/>
                <w:szCs w:val="6"/>
                <w:color w:val="auto"/>
              </w:rPr>
            </w:pPr>
          </w:p>
        </w:tc>
        <w:tc>
          <w:tcPr>
            <w:tcW w:w="104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20" w:type="dxa"/>
            <w:vAlign w:val="bottom"/>
            <w:tcBorders>
              <w:bottom w:val="single" w:sz="8" w:color="auto"/>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2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20" w:type="dxa"/>
            <w:vAlign w:val="bottom"/>
            <w:gridSpan w:val="3"/>
          </w:tcPr>
          <w:p>
            <w:pPr>
              <w:jc w:val="center"/>
              <w:ind w:left="168"/>
              <w:spacing w:after="0"/>
              <w:rPr>
                <w:sz w:val="20"/>
                <w:szCs w:val="20"/>
                <w:color w:val="auto"/>
              </w:rPr>
            </w:pPr>
            <w:r>
              <w:rPr>
                <w:rFonts w:ascii="Arial" w:cs="Arial" w:eastAsia="Arial" w:hAnsi="Arial"/>
                <w:sz w:val="14"/>
                <w:szCs w:val="14"/>
                <w:b w:val="1"/>
                <w:bCs w:val="1"/>
                <w:color w:val="auto"/>
                <w:w w:val="93"/>
              </w:rPr>
              <w:t>Fair Value as of December 31, 2016</w:t>
            </w:r>
          </w:p>
        </w:tc>
        <w:tc>
          <w:tcPr>
            <w:tcW w:w="0" w:type="dxa"/>
            <w:vAlign w:val="bottom"/>
          </w:tcPr>
          <w:p>
            <w:pPr>
              <w:spacing w:after="0"/>
              <w:rPr>
                <w:sz w:val="1"/>
                <w:szCs w:val="1"/>
                <w:color w:val="auto"/>
              </w:rPr>
            </w:pPr>
          </w:p>
        </w:tc>
      </w:tr>
      <w:tr>
        <w:trPr>
          <w:trHeight w:val="80"/>
        </w:trPr>
        <w:tc>
          <w:tcPr>
            <w:tcW w:w="2080" w:type="dxa"/>
            <w:vAlign w:val="bottom"/>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2"/>
        </w:trPr>
        <w:tc>
          <w:tcPr>
            <w:tcW w:w="20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88"/>
              <w:spacing w:after="0"/>
              <w:rPr>
                <w:sz w:val="20"/>
                <w:szCs w:val="20"/>
                <w:color w:val="auto"/>
              </w:rPr>
            </w:pPr>
            <w:r>
              <w:rPr>
                <w:rFonts w:ascii="Arial" w:cs="Arial" w:eastAsia="Arial" w:hAnsi="Arial"/>
                <w:sz w:val="14"/>
                <w:szCs w:val="14"/>
                <w:b w:val="1"/>
                <w:bCs w:val="1"/>
                <w:color w:val="auto"/>
                <w:w w:val="98"/>
              </w:rPr>
              <w:t>Gross Amounts</w:t>
            </w:r>
          </w:p>
        </w:tc>
        <w:tc>
          <w:tcPr>
            <w:tcW w:w="3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0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40" w:type="dxa"/>
            <w:vAlign w:val="bottom"/>
          </w:tcPr>
          <w:p>
            <w:pPr>
              <w:jc w:val="right"/>
              <w:ind w:right="108"/>
              <w:spacing w:after="0"/>
              <w:rPr>
                <w:sz w:val="20"/>
                <w:szCs w:val="20"/>
                <w:color w:val="auto"/>
              </w:rPr>
            </w:pPr>
            <w:r>
              <w:rPr>
                <w:rFonts w:ascii="Arial" w:cs="Arial" w:eastAsia="Arial" w:hAnsi="Arial"/>
                <w:sz w:val="14"/>
                <w:szCs w:val="14"/>
                <w:b w:val="1"/>
                <w:bCs w:val="1"/>
                <w:color w:val="auto"/>
                <w:w w:val="98"/>
              </w:rPr>
              <w:t>Gross Amounts</w:t>
            </w:r>
          </w:p>
        </w:tc>
        <w:tc>
          <w:tcPr>
            <w:tcW w:w="380" w:type="dxa"/>
            <w:vAlign w:val="bottom"/>
          </w:tcPr>
          <w:p>
            <w:pPr>
              <w:spacing w:after="0"/>
              <w:rPr>
                <w:sz w:val="23"/>
                <w:szCs w:val="23"/>
                <w:color w:val="auto"/>
              </w:rPr>
            </w:pPr>
          </w:p>
        </w:tc>
        <w:tc>
          <w:tcPr>
            <w:tcW w:w="1240" w:type="dxa"/>
            <w:vAlign w:val="bottom"/>
          </w:tcPr>
          <w:p>
            <w:pPr>
              <w:jc w:val="right"/>
              <w:ind w:right="108"/>
              <w:spacing w:after="0"/>
              <w:rPr>
                <w:sz w:val="20"/>
                <w:szCs w:val="20"/>
                <w:color w:val="auto"/>
              </w:rPr>
            </w:pPr>
            <w:r>
              <w:rPr>
                <w:rFonts w:ascii="Arial" w:cs="Arial" w:eastAsia="Arial" w:hAnsi="Arial"/>
                <w:sz w:val="14"/>
                <w:szCs w:val="14"/>
                <w:b w:val="1"/>
                <w:bCs w:val="1"/>
                <w:color w:val="auto"/>
                <w:w w:val="98"/>
              </w:rPr>
              <w:t>Gross Amounts</w:t>
            </w:r>
          </w:p>
        </w:tc>
        <w:tc>
          <w:tcPr>
            <w:tcW w:w="380" w:type="dxa"/>
            <w:vAlign w:val="bottom"/>
          </w:tcPr>
          <w:p>
            <w:pPr>
              <w:spacing w:after="0"/>
              <w:rPr>
                <w:sz w:val="23"/>
                <w:szCs w:val="23"/>
                <w:color w:val="auto"/>
              </w:rPr>
            </w:pPr>
          </w:p>
        </w:tc>
        <w:tc>
          <w:tcPr>
            <w:tcW w:w="1120" w:type="dxa"/>
            <w:vAlign w:val="bottom"/>
          </w:tcPr>
          <w:p>
            <w:pPr>
              <w:jc w:val="right"/>
              <w:ind w:right="108"/>
              <w:spacing w:after="0"/>
              <w:rPr>
                <w:sz w:val="20"/>
                <w:szCs w:val="20"/>
                <w:color w:val="auto"/>
              </w:rPr>
            </w:pPr>
            <w:r>
              <w:rPr>
                <w:rFonts w:ascii="Arial" w:cs="Arial" w:eastAsia="Arial" w:hAnsi="Arial"/>
                <w:sz w:val="14"/>
                <w:szCs w:val="14"/>
                <w:b w:val="1"/>
                <w:bCs w:val="1"/>
                <w:color w:val="auto"/>
              </w:rPr>
              <w:t>Net Amounts</w:t>
            </w:r>
          </w:p>
        </w:tc>
        <w:tc>
          <w:tcPr>
            <w:tcW w:w="520" w:type="dxa"/>
            <w:vAlign w:val="bottom"/>
          </w:tcPr>
          <w:p>
            <w:pPr>
              <w:spacing w:after="0"/>
              <w:rPr>
                <w:sz w:val="23"/>
                <w:szCs w:val="23"/>
                <w:color w:val="auto"/>
              </w:rPr>
            </w:pPr>
          </w:p>
        </w:tc>
        <w:tc>
          <w:tcPr>
            <w:tcW w:w="1060" w:type="dxa"/>
            <w:vAlign w:val="bottom"/>
          </w:tcPr>
          <w:p>
            <w:pPr>
              <w:jc w:val="right"/>
              <w:ind w:right="108"/>
              <w:spacing w:after="0"/>
              <w:rPr>
                <w:sz w:val="20"/>
                <w:szCs w:val="20"/>
                <w:color w:val="auto"/>
              </w:rPr>
            </w:pPr>
            <w:r>
              <w:rPr>
                <w:rFonts w:ascii="Arial" w:cs="Arial" w:eastAsia="Arial" w:hAnsi="Arial"/>
                <w:sz w:val="14"/>
                <w:szCs w:val="14"/>
                <w:b w:val="1"/>
                <w:bCs w:val="1"/>
                <w:color w:val="auto"/>
              </w:rPr>
              <w:t>Cash</w:t>
            </w:r>
          </w:p>
        </w:tc>
        <w:tc>
          <w:tcPr>
            <w:tcW w:w="340" w:type="dxa"/>
            <w:vAlign w:val="bottom"/>
          </w:tcPr>
          <w:p>
            <w:pPr>
              <w:spacing w:after="0"/>
              <w:rPr>
                <w:sz w:val="23"/>
                <w:szCs w:val="23"/>
                <w:color w:val="auto"/>
              </w:rPr>
            </w:pPr>
          </w:p>
        </w:tc>
        <w:tc>
          <w:tcPr>
            <w:tcW w:w="1220" w:type="dxa"/>
            <w:vAlign w:val="bottom"/>
          </w:tcPr>
          <w:p>
            <w:pPr>
              <w:jc w:val="right"/>
              <w:ind w:right="88"/>
              <w:spacing w:after="0"/>
              <w:rPr>
                <w:sz w:val="20"/>
                <w:szCs w:val="20"/>
                <w:color w:val="auto"/>
              </w:rPr>
            </w:pPr>
            <w:r>
              <w:rPr>
                <w:rFonts w:ascii="Arial" w:cs="Arial" w:eastAsia="Arial" w:hAnsi="Arial"/>
                <w:sz w:val="14"/>
                <w:szCs w:val="14"/>
                <w:b w:val="1"/>
                <w:bCs w:val="1"/>
                <w:color w:val="auto"/>
              </w:rPr>
              <w:t>without</w:t>
            </w:r>
          </w:p>
        </w:tc>
        <w:tc>
          <w:tcPr>
            <w:tcW w:w="3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20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Recognized</w:t>
            </w:r>
          </w:p>
        </w:tc>
        <w:tc>
          <w:tcPr>
            <w:tcW w:w="3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Offset</w:t>
            </w:r>
          </w:p>
        </w:tc>
        <w:tc>
          <w:tcPr>
            <w:tcW w:w="3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Presented</w:t>
            </w:r>
          </w:p>
        </w:tc>
        <w:tc>
          <w:tcPr>
            <w:tcW w:w="5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Collateral</w:t>
            </w: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Right of Offset</w:t>
            </w:r>
          </w:p>
        </w:tc>
        <w:tc>
          <w:tcPr>
            <w:tcW w:w="3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Net Amounts</w:t>
            </w:r>
          </w:p>
        </w:tc>
        <w:tc>
          <w:tcPr>
            <w:tcW w:w="0" w:type="dxa"/>
            <w:vAlign w:val="bottom"/>
          </w:tcPr>
          <w:p>
            <w:pPr>
              <w:spacing w:after="0"/>
              <w:rPr>
                <w:sz w:val="1"/>
                <w:szCs w:val="1"/>
                <w:color w:val="auto"/>
              </w:rPr>
            </w:pPr>
          </w:p>
        </w:tc>
      </w:tr>
      <w:tr>
        <w:trPr>
          <w:trHeight w:val="270"/>
        </w:trPr>
        <w:tc>
          <w:tcPr>
            <w:tcW w:w="20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Assets:</w:t>
            </w:r>
          </w:p>
        </w:tc>
        <w:tc>
          <w:tcPr>
            <w:tcW w:w="44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080" w:type="dxa"/>
            <w:vAlign w:val="bottom"/>
          </w:tcPr>
          <w:p>
            <w:pPr>
              <w:ind w:left="40"/>
              <w:spacing w:after="0"/>
              <w:rPr>
                <w:sz w:val="20"/>
                <w:szCs w:val="20"/>
                <w:color w:val="auto"/>
              </w:rPr>
            </w:pPr>
            <w:r>
              <w:rPr>
                <w:rFonts w:ascii="Arial" w:cs="Arial" w:eastAsia="Arial" w:hAnsi="Arial"/>
                <w:sz w:val="14"/>
                <w:szCs w:val="14"/>
                <w:color w:val="auto"/>
              </w:rPr>
              <w:t>Commodities contracts</w:t>
            </w:r>
          </w:p>
        </w:tc>
        <w:tc>
          <w:tcPr>
            <w:tcW w:w="4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108"/>
              <w:spacing w:after="0"/>
              <w:rPr>
                <w:sz w:val="20"/>
                <w:szCs w:val="20"/>
                <w:color w:val="auto"/>
              </w:rPr>
            </w:pPr>
            <w:r>
              <w:rPr>
                <w:rFonts w:ascii="Arial" w:cs="Arial" w:eastAsia="Arial" w:hAnsi="Arial"/>
                <w:sz w:val="14"/>
                <w:szCs w:val="14"/>
                <w:color w:val="auto"/>
              </w:rPr>
              <w:t>331.2</w:t>
            </w:r>
          </w:p>
        </w:tc>
        <w:tc>
          <w:tcPr>
            <w:tcW w:w="3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108"/>
              <w:spacing w:after="0"/>
              <w:rPr>
                <w:sz w:val="20"/>
                <w:szCs w:val="20"/>
                <w:color w:val="auto"/>
              </w:rPr>
            </w:pPr>
            <w:r>
              <w:rPr>
                <w:rFonts w:ascii="Arial" w:cs="Arial" w:eastAsia="Arial" w:hAnsi="Arial"/>
                <w:sz w:val="14"/>
                <w:szCs w:val="14"/>
                <w:color w:val="auto"/>
              </w:rPr>
              <w:t>249.7</w:t>
            </w:r>
          </w:p>
        </w:tc>
        <w:tc>
          <w:tcPr>
            <w:tcW w:w="3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108"/>
              <w:spacing w:after="0"/>
              <w:rPr>
                <w:sz w:val="20"/>
                <w:szCs w:val="20"/>
                <w:color w:val="auto"/>
              </w:rPr>
            </w:pPr>
            <w:r>
              <w:rPr>
                <w:rFonts w:ascii="Arial" w:cs="Arial" w:eastAsia="Arial" w:hAnsi="Arial"/>
                <w:sz w:val="14"/>
                <w:szCs w:val="14"/>
                <w:color w:val="auto"/>
              </w:rPr>
              <w:t>81.5</w:t>
            </w:r>
          </w:p>
        </w:tc>
        <w:tc>
          <w:tcPr>
            <w:tcW w:w="52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27.1</w:t>
            </w:r>
          </w:p>
        </w:tc>
        <w:tc>
          <w:tcPr>
            <w:tcW w:w="3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60" w:type="dxa"/>
            <w:vAlign w:val="bottom"/>
          </w:tcPr>
          <w:p>
            <w:pPr>
              <w:jc w:val="center"/>
              <w:ind w:left="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54.5</w:t>
            </w:r>
          </w:p>
        </w:tc>
        <w:tc>
          <w:tcPr>
            <w:tcW w:w="0" w:type="dxa"/>
            <w:vAlign w:val="bottom"/>
          </w:tcPr>
          <w:p>
            <w:pPr>
              <w:spacing w:after="0"/>
              <w:rPr>
                <w:sz w:val="1"/>
                <w:szCs w:val="1"/>
                <w:color w:val="auto"/>
              </w:rPr>
            </w:pPr>
          </w:p>
        </w:tc>
      </w:tr>
      <w:tr>
        <w:trPr>
          <w:trHeight w:val="270"/>
        </w:trPr>
        <w:tc>
          <w:tcPr>
            <w:tcW w:w="20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Foreign currency contracts</w:t>
            </w:r>
          </w:p>
        </w:tc>
        <w:tc>
          <w:tcPr>
            <w:tcW w:w="4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16.0</w:t>
            </w:r>
          </w:p>
        </w:tc>
        <w:tc>
          <w:tcPr>
            <w:tcW w:w="38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5.1</w:t>
            </w:r>
          </w:p>
        </w:tc>
        <w:tc>
          <w:tcPr>
            <w:tcW w:w="38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10.9</w:t>
            </w:r>
          </w:p>
        </w:tc>
        <w:tc>
          <w:tcPr>
            <w:tcW w:w="5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10.9</w:t>
            </w:r>
          </w:p>
        </w:tc>
        <w:tc>
          <w:tcPr>
            <w:tcW w:w="0" w:type="dxa"/>
            <w:vAlign w:val="bottom"/>
          </w:tcPr>
          <w:p>
            <w:pPr>
              <w:spacing w:after="0"/>
              <w:rPr>
                <w:sz w:val="1"/>
                <w:szCs w:val="1"/>
                <w:color w:val="auto"/>
              </w:rPr>
            </w:pPr>
          </w:p>
        </w:tc>
      </w:tr>
      <w:tr>
        <w:trPr>
          <w:trHeight w:val="304"/>
        </w:trPr>
        <w:tc>
          <w:tcPr>
            <w:tcW w:w="20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Total assets at fair value</w:t>
            </w:r>
          </w:p>
        </w:tc>
        <w:tc>
          <w:tcPr>
            <w:tcW w:w="4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347.2</w:t>
            </w:r>
          </w:p>
        </w:tc>
        <w:tc>
          <w:tcPr>
            <w:tcW w:w="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254.8</w:t>
            </w:r>
          </w:p>
        </w:tc>
        <w:tc>
          <w:tcPr>
            <w:tcW w:w="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92.4</w:t>
            </w:r>
          </w:p>
        </w:tc>
        <w:tc>
          <w:tcPr>
            <w:tcW w:w="5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27.1</w:t>
            </w:r>
          </w:p>
        </w:tc>
        <w:tc>
          <w:tcPr>
            <w:tcW w:w="3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65.3</w:t>
            </w:r>
          </w:p>
        </w:tc>
        <w:tc>
          <w:tcPr>
            <w:tcW w:w="0" w:type="dxa"/>
            <w:vAlign w:val="bottom"/>
          </w:tcPr>
          <w:p>
            <w:pPr>
              <w:spacing w:after="0"/>
              <w:rPr>
                <w:sz w:val="1"/>
                <w:szCs w:val="1"/>
                <w:color w:val="auto"/>
              </w:rPr>
            </w:pPr>
          </w:p>
        </w:tc>
      </w:tr>
      <w:tr>
        <w:trPr>
          <w:trHeight w:val="311"/>
        </w:trPr>
        <w:tc>
          <w:tcPr>
            <w:tcW w:w="208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80" w:type="dxa"/>
            <w:vAlign w:val="bottom"/>
          </w:tcPr>
          <w:p>
            <w:pPr>
              <w:ind w:left="40"/>
              <w:spacing w:after="0"/>
              <w:rPr>
                <w:sz w:val="20"/>
                <w:szCs w:val="20"/>
                <w:color w:val="auto"/>
              </w:rPr>
            </w:pPr>
            <w:r>
              <w:rPr>
                <w:rFonts w:ascii="Arial" w:cs="Arial" w:eastAsia="Arial" w:hAnsi="Arial"/>
                <w:sz w:val="14"/>
                <w:szCs w:val="14"/>
                <w:b w:val="1"/>
                <w:bCs w:val="1"/>
                <w:color w:val="auto"/>
              </w:rPr>
              <w:t>Liabilities:</w:t>
            </w:r>
          </w:p>
        </w:tc>
        <w:tc>
          <w:tcPr>
            <w:tcW w:w="4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Commodities contracts</w:t>
            </w:r>
          </w:p>
        </w:tc>
        <w:tc>
          <w:tcPr>
            <w:tcW w:w="4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326.1</w:t>
            </w:r>
          </w:p>
        </w:tc>
        <w:tc>
          <w:tcPr>
            <w:tcW w:w="3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249.7</w:t>
            </w:r>
          </w:p>
        </w:tc>
        <w:tc>
          <w:tcPr>
            <w:tcW w:w="3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76.5</w:t>
            </w:r>
          </w:p>
        </w:tc>
        <w:tc>
          <w:tcPr>
            <w:tcW w:w="52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2.0</w:t>
            </w:r>
          </w:p>
        </w:tc>
        <w:tc>
          <w:tcPr>
            <w:tcW w:w="3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center"/>
              <w:ind w:left="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74.5</w:t>
            </w:r>
          </w:p>
        </w:tc>
        <w:tc>
          <w:tcPr>
            <w:tcW w:w="0" w:type="dxa"/>
            <w:vAlign w:val="bottom"/>
          </w:tcPr>
          <w:p>
            <w:pPr>
              <w:spacing w:after="0"/>
              <w:rPr>
                <w:sz w:val="1"/>
                <w:szCs w:val="1"/>
                <w:color w:val="auto"/>
              </w:rPr>
            </w:pPr>
          </w:p>
        </w:tc>
      </w:tr>
      <w:tr>
        <w:trPr>
          <w:trHeight w:val="264"/>
        </w:trPr>
        <w:tc>
          <w:tcPr>
            <w:tcW w:w="20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Foreign currency contracts</w:t>
            </w:r>
          </w:p>
        </w:tc>
        <w:tc>
          <w:tcPr>
            <w:tcW w:w="4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6.4</w:t>
            </w:r>
          </w:p>
        </w:tc>
        <w:tc>
          <w:tcPr>
            <w:tcW w:w="3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5.1</w:t>
            </w:r>
          </w:p>
        </w:tc>
        <w:tc>
          <w:tcPr>
            <w:tcW w:w="3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1.2</w:t>
            </w:r>
          </w:p>
        </w:tc>
        <w:tc>
          <w:tcPr>
            <w:tcW w:w="5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64"/>
        </w:trPr>
        <w:tc>
          <w:tcPr>
            <w:tcW w:w="20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Total liabilities at fair value</w:t>
            </w:r>
          </w:p>
        </w:tc>
        <w:tc>
          <w:tcPr>
            <w:tcW w:w="4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332.5</w:t>
            </w:r>
          </w:p>
        </w:tc>
        <w:tc>
          <w:tcPr>
            <w:tcW w:w="3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254.8</w:t>
            </w:r>
          </w:p>
        </w:tc>
        <w:tc>
          <w:tcPr>
            <w:tcW w:w="3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77.7</w:t>
            </w:r>
          </w:p>
        </w:tc>
        <w:tc>
          <w:tcPr>
            <w:tcW w:w="52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2.0</w:t>
            </w:r>
          </w:p>
        </w:tc>
        <w:tc>
          <w:tcPr>
            <w:tcW w:w="3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shd w:val="clear" w:color="auto" w:fill="CCEEFF"/>
          </w:tcPr>
          <w:p>
            <w:pPr>
              <w:jc w:val="center"/>
              <w:ind w:left="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75.7</w:t>
            </w:r>
          </w:p>
        </w:tc>
        <w:tc>
          <w:tcPr>
            <w:tcW w:w="0" w:type="dxa"/>
            <w:vAlign w:val="bottom"/>
          </w:tcPr>
          <w:p>
            <w:pPr>
              <w:spacing w:after="0"/>
              <w:rPr>
                <w:sz w:val="1"/>
                <w:szCs w:val="1"/>
                <w:color w:val="auto"/>
              </w:rPr>
            </w:pPr>
          </w:p>
        </w:tc>
      </w:tr>
      <w:tr>
        <w:trPr>
          <w:trHeight w:val="20"/>
        </w:trPr>
        <w:tc>
          <w:tcPr>
            <w:tcW w:w="20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At March 31, 2017 and December 31, 2016, we did not present any amounts gross on our consolidated balance sheet where we had the right of setoff.</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Interest Income, Expense and Other Finance Costs</w:t>
      </w:r>
    </w:p>
    <w:p>
      <w:pPr>
        <w:spacing w:after="0" w:line="229"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The following table provides additional information about our interest income (expense), and other financing costs, net, for the periods presented (in millions):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3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80" w:type="dxa"/>
            <w:vAlign w:val="bottom"/>
            <w:gridSpan w:val="4"/>
          </w:tcPr>
          <w:p>
            <w:pPr>
              <w:jc w:val="right"/>
              <w:ind w:right="28"/>
              <w:spacing w:after="0"/>
              <w:rPr>
                <w:sz w:val="20"/>
                <w:szCs w:val="20"/>
                <w:color w:val="auto"/>
              </w:rPr>
            </w:pPr>
            <w:r>
              <w:rPr>
                <w:rFonts w:ascii="Arial" w:cs="Arial" w:eastAsia="Arial" w:hAnsi="Arial"/>
                <w:sz w:val="14"/>
                <w:szCs w:val="14"/>
                <w:b w:val="1"/>
                <w:bCs w:val="1"/>
                <w:color w:val="auto"/>
              </w:rPr>
              <w:t>For the Three Months Ended</w:t>
            </w:r>
          </w:p>
        </w:tc>
      </w:tr>
      <w:tr>
        <w:trPr>
          <w:trHeight w:val="276"/>
        </w:trPr>
        <w:tc>
          <w:tcPr>
            <w:tcW w:w="836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March 31,</w:t>
            </w:r>
          </w:p>
        </w:tc>
      </w:tr>
      <w:tr>
        <w:trPr>
          <w:trHeight w:val="264"/>
        </w:trPr>
        <w:tc>
          <w:tcPr>
            <w:tcW w:w="836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2016</w:t>
            </w:r>
          </w:p>
        </w:tc>
      </w:tr>
      <w:tr>
        <w:trPr>
          <w:trHeight w:val="270"/>
        </w:trPr>
        <w:tc>
          <w:tcPr>
            <w:tcW w:w="8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income</w:t>
            </w:r>
          </w:p>
        </w:tc>
        <w:tc>
          <w:tcPr>
            <w:tcW w:w="580" w:type="dxa"/>
            <w:vAlign w:val="bottom"/>
            <w:shd w:val="clear" w:color="auto" w:fill="CCEEFF"/>
          </w:tcPr>
          <w:p>
            <w:pPr>
              <w:jc w:val="right"/>
              <w:ind w:right="40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w:t>
            </w:r>
          </w:p>
        </w:tc>
      </w:tr>
      <w:tr>
        <w:trPr>
          <w:trHeight w:val="264"/>
        </w:trPr>
        <w:tc>
          <w:tcPr>
            <w:tcW w:w="83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Interest expense and other financing costs</w:t>
            </w:r>
          </w:p>
        </w:tc>
        <w:tc>
          <w:tcPr>
            <w:tcW w:w="5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(13.7)</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w:t>
            </w:r>
          </w:p>
        </w:tc>
      </w:tr>
      <w:tr>
        <w:trPr>
          <w:trHeight w:val="250"/>
        </w:trPr>
        <w:tc>
          <w:tcPr>
            <w:tcW w:w="836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40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(12.7)</w:t>
            </w:r>
          </w:p>
        </w:tc>
        <w:tc>
          <w:tcPr>
            <w:tcW w:w="100" w:type="dxa"/>
            <w:vAlign w:val="bottom"/>
            <w:tcBorders>
              <w:bottom w:val="single" w:sz="8" w:color="auto"/>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w:t>
            </w:r>
          </w:p>
        </w:tc>
      </w:tr>
      <w:tr>
        <w:trPr>
          <w:trHeight w:val="20"/>
        </w:trPr>
        <w:tc>
          <w:tcPr>
            <w:tcW w:w="83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Shareholders’ Equity</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Other Comprehensive Income (Loss) and Accumulated Other Comprehensive Loss</w:t>
      </w:r>
    </w:p>
    <w:p>
      <w:pPr>
        <w:spacing w:after="0" w:line="22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Our other comprehensive loss, consisting of foreign currency translation adjustments related to our subsidiaries that have a functional currency other than the U.S. dollar and derivative instruments, was as follows (in millions):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Foreign</w:t>
            </w: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b w:val="1"/>
                <w:bCs w:val="1"/>
                <w:color w:val="auto"/>
              </w:rPr>
              <w:t>Accumulated</w:t>
            </w:r>
          </w:p>
        </w:tc>
        <w:tc>
          <w:tcPr>
            <w:tcW w:w="0" w:type="dxa"/>
            <w:vAlign w:val="bottom"/>
          </w:tcPr>
          <w:p>
            <w:pPr>
              <w:spacing w:after="0"/>
              <w:rPr>
                <w:sz w:val="1"/>
                <w:szCs w:val="1"/>
                <w:color w:val="auto"/>
              </w:rPr>
            </w:pPr>
          </w:p>
        </w:tc>
      </w:tr>
      <w:tr>
        <w:trPr>
          <w:trHeight w:val="149"/>
        </w:trPr>
        <w:tc>
          <w:tcPr>
            <w:tcW w:w="6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8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Currency</w:t>
            </w:r>
          </w:p>
        </w:tc>
        <w:tc>
          <w:tcPr>
            <w:tcW w:w="360" w:type="dxa"/>
            <w:vAlign w:val="bottom"/>
          </w:tcPr>
          <w:p>
            <w:pPr>
              <w:spacing w:after="0"/>
              <w:rPr>
                <w:sz w:val="12"/>
                <w:szCs w:val="12"/>
                <w:color w:val="auto"/>
              </w:rPr>
            </w:pPr>
          </w:p>
        </w:tc>
        <w:tc>
          <w:tcPr>
            <w:tcW w:w="122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Derivative</w:t>
            </w:r>
          </w:p>
        </w:tc>
        <w:tc>
          <w:tcPr>
            <w:tcW w:w="240" w:type="dxa"/>
            <w:vAlign w:val="bottom"/>
          </w:tcPr>
          <w:p>
            <w:pPr>
              <w:spacing w:after="0"/>
              <w:rPr>
                <w:sz w:val="12"/>
                <w:szCs w:val="12"/>
                <w:color w:val="auto"/>
              </w:rPr>
            </w:pPr>
          </w:p>
        </w:tc>
        <w:tc>
          <w:tcPr>
            <w:tcW w:w="1220" w:type="dxa"/>
            <w:vAlign w:val="bottom"/>
          </w:tcPr>
          <w:p>
            <w:pPr>
              <w:jc w:val="right"/>
              <w:ind w:right="28"/>
              <w:spacing w:after="0" w:line="149" w:lineRule="exact"/>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49"/>
        </w:trPr>
        <w:tc>
          <w:tcPr>
            <w:tcW w:w="6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8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Translation</w:t>
            </w:r>
          </w:p>
        </w:tc>
        <w:tc>
          <w:tcPr>
            <w:tcW w:w="3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tcPr>
          <w:p>
            <w:pPr>
              <w:jc w:val="right"/>
              <w:ind w:right="28"/>
              <w:spacing w:after="0" w:line="149" w:lineRule="exact"/>
              <w:rPr>
                <w:sz w:val="20"/>
                <w:szCs w:val="20"/>
                <w:color w:val="auto"/>
              </w:rPr>
            </w:pPr>
            <w:r>
              <w:rPr>
                <w:rFonts w:ascii="Arial" w:cs="Arial" w:eastAsia="Arial" w:hAnsi="Arial"/>
                <w:sz w:val="14"/>
                <w:szCs w:val="14"/>
                <w:b w:val="1"/>
                <w:bCs w:val="1"/>
                <w:color w:val="auto"/>
              </w:rPr>
              <w:t>Comprehensive</w:t>
            </w:r>
          </w:p>
        </w:tc>
        <w:tc>
          <w:tcPr>
            <w:tcW w:w="0" w:type="dxa"/>
            <w:vAlign w:val="bottom"/>
          </w:tcPr>
          <w:p>
            <w:pPr>
              <w:spacing w:after="0"/>
              <w:rPr>
                <w:sz w:val="1"/>
                <w:szCs w:val="1"/>
                <w:color w:val="auto"/>
              </w:rPr>
            </w:pPr>
          </w:p>
        </w:tc>
      </w:tr>
      <w:tr>
        <w:trPr>
          <w:trHeight w:val="192"/>
        </w:trPr>
        <w:tc>
          <w:tcPr>
            <w:tcW w:w="6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Adjustments</w:t>
            </w:r>
          </w:p>
        </w:tc>
        <w:tc>
          <w:tcPr>
            <w:tcW w:w="360" w:type="dxa"/>
            <w:vAlign w:val="bottom"/>
          </w:tcPr>
          <w:p>
            <w:pPr>
              <w:spacing w:after="0"/>
              <w:rPr>
                <w:sz w:val="16"/>
                <w:szCs w:val="16"/>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Instruments</w:t>
            </w:r>
          </w:p>
        </w:tc>
        <w:tc>
          <w:tcPr>
            <w:tcW w:w="240" w:type="dxa"/>
            <w:vAlign w:val="bottom"/>
          </w:tcPr>
          <w:p>
            <w:pPr>
              <w:spacing w:after="0"/>
              <w:rPr>
                <w:sz w:val="16"/>
                <w:szCs w:val="16"/>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b w:val="1"/>
                <w:bCs w:val="1"/>
                <w:color w:val="auto"/>
              </w:rPr>
              <w:t>Loss</w:t>
            </w:r>
          </w:p>
        </w:tc>
        <w:tc>
          <w:tcPr>
            <w:tcW w:w="0" w:type="dxa"/>
            <w:vAlign w:val="bottom"/>
          </w:tcPr>
          <w:p>
            <w:pPr>
              <w:spacing w:after="0"/>
              <w:rPr>
                <w:sz w:val="1"/>
                <w:szCs w:val="1"/>
                <w:color w:val="auto"/>
              </w:rPr>
            </w:pPr>
          </w:p>
        </w:tc>
      </w:tr>
      <w:tr>
        <w:trPr>
          <w:trHeight w:val="256"/>
        </w:trPr>
        <w:tc>
          <w:tcPr>
            <w:tcW w:w="67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 as of December 31, 2016</w:t>
            </w:r>
          </w:p>
        </w:tc>
        <w:tc>
          <w:tcPr>
            <w:tcW w:w="340" w:type="dxa"/>
            <w:vAlign w:val="bottom"/>
            <w:tcBorders>
              <w:top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(147.5)</w:t>
            </w:r>
          </w:p>
        </w:tc>
        <w:tc>
          <w:tcPr>
            <w:tcW w:w="12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(154.8)</w:t>
            </w:r>
          </w:p>
        </w:tc>
        <w:tc>
          <w:tcPr>
            <w:tcW w:w="0" w:type="dxa"/>
            <w:vAlign w:val="bottom"/>
          </w:tcPr>
          <w:p>
            <w:pPr>
              <w:spacing w:after="0"/>
              <w:rPr>
                <w:sz w:val="1"/>
                <w:szCs w:val="1"/>
                <w:color w:val="auto"/>
              </w:rPr>
            </w:pPr>
          </w:p>
        </w:tc>
      </w:tr>
      <w:tr>
        <w:trPr>
          <w:trHeight w:val="264"/>
        </w:trPr>
        <w:tc>
          <w:tcPr>
            <w:tcW w:w="6760" w:type="dxa"/>
            <w:vAlign w:val="bottom"/>
          </w:tcPr>
          <w:p>
            <w:pPr>
              <w:ind w:left="40"/>
              <w:spacing w:after="0"/>
              <w:rPr>
                <w:sz w:val="20"/>
                <w:szCs w:val="20"/>
                <w:color w:val="auto"/>
              </w:rPr>
            </w:pPr>
            <w:r>
              <w:rPr>
                <w:rFonts w:ascii="Arial" w:cs="Arial" w:eastAsia="Arial" w:hAnsi="Arial"/>
                <w:sz w:val="14"/>
                <w:szCs w:val="14"/>
                <w:color w:val="auto"/>
              </w:rPr>
              <w:t>Other comprehensive income</w:t>
            </w:r>
          </w:p>
        </w:tc>
        <w:tc>
          <w:tcPr>
            <w:tcW w:w="34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6.4</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10.5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16.9</w:t>
            </w:r>
          </w:p>
        </w:tc>
        <w:tc>
          <w:tcPr>
            <w:tcW w:w="0" w:type="dxa"/>
            <w:vAlign w:val="bottom"/>
          </w:tcPr>
          <w:p>
            <w:pPr>
              <w:spacing w:after="0"/>
              <w:rPr>
                <w:sz w:val="1"/>
                <w:szCs w:val="1"/>
                <w:color w:val="auto"/>
              </w:rPr>
            </w:pPr>
          </w:p>
        </w:tc>
      </w:tr>
      <w:tr>
        <w:trPr>
          <w:trHeight w:val="270"/>
        </w:trPr>
        <w:tc>
          <w:tcPr>
            <w:tcW w:w="67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Less: Net other comprehensive (loss) attributable to noncontrolling interest</w:t>
            </w:r>
          </w:p>
        </w:tc>
        <w:tc>
          <w:tcPr>
            <w:tcW w:w="34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(0.2)</w:t>
            </w:r>
          </w:p>
        </w:tc>
        <w:tc>
          <w:tcPr>
            <w:tcW w:w="120" w:type="dxa"/>
            <w:vAlign w:val="bottom"/>
            <w:tcBorders>
              <w:bottom w:val="single" w:sz="8" w:color="auto"/>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304"/>
        </w:trPr>
        <w:tc>
          <w:tcPr>
            <w:tcW w:w="67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Balance as of March 31, 2017</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(141.2)</w:t>
            </w:r>
          </w:p>
        </w:tc>
        <w:tc>
          <w:tcPr>
            <w:tcW w:w="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3.1</w:t>
            </w: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(138.1)</w:t>
            </w:r>
          </w:p>
        </w:tc>
        <w:tc>
          <w:tcPr>
            <w:tcW w:w="0" w:type="dxa"/>
            <w:vAlign w:val="bottom"/>
          </w:tcPr>
          <w:p>
            <w:pPr>
              <w:spacing w:after="0"/>
              <w:rPr>
                <w:sz w:val="1"/>
                <w:szCs w:val="1"/>
                <w:color w:val="auto"/>
              </w:rPr>
            </w:pPr>
          </w:p>
        </w:tc>
      </w:tr>
      <w:tr>
        <w:trPr>
          <w:trHeight w:val="270"/>
        </w:trPr>
        <w:tc>
          <w:tcPr>
            <w:tcW w:w="67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6760" w:type="dxa"/>
            <w:vAlign w:val="bottom"/>
          </w:tcPr>
          <w:p>
            <w:pPr>
              <w:ind w:left="40"/>
              <w:spacing w:after="0"/>
              <w:rPr>
                <w:sz w:val="20"/>
                <w:szCs w:val="20"/>
                <w:color w:val="auto"/>
              </w:rPr>
            </w:pPr>
            <w:r>
              <w:rPr>
                <w:rFonts w:ascii="Arial" w:cs="Arial" w:eastAsia="Arial" w:hAnsi="Arial"/>
                <w:sz w:val="14"/>
                <w:szCs w:val="14"/>
                <w:color w:val="auto"/>
              </w:rPr>
              <w:t>Balance as of December 31, 2015</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(108.7)</w:t>
            </w:r>
          </w:p>
        </w:tc>
        <w:tc>
          <w:tcPr>
            <w:tcW w:w="120" w:type="dxa"/>
            <w:vAlign w:val="bottom"/>
          </w:tcPr>
          <w:p>
            <w:pPr>
              <w:spacing w:after="0"/>
              <w:rPr>
                <w:sz w:val="22"/>
                <w:szCs w:val="22"/>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(0.8)</w:t>
            </w:r>
          </w:p>
        </w:tc>
        <w:tc>
          <w:tcPr>
            <w:tcW w:w="10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(109.5)</w:t>
            </w:r>
          </w:p>
        </w:tc>
        <w:tc>
          <w:tcPr>
            <w:tcW w:w="0" w:type="dxa"/>
            <w:vAlign w:val="bottom"/>
          </w:tcPr>
          <w:p>
            <w:pPr>
              <w:spacing w:after="0"/>
              <w:rPr>
                <w:sz w:val="1"/>
                <w:szCs w:val="1"/>
                <w:color w:val="auto"/>
              </w:rPr>
            </w:pPr>
          </w:p>
        </w:tc>
      </w:tr>
      <w:tr>
        <w:trPr>
          <w:trHeight w:val="276"/>
        </w:trPr>
        <w:tc>
          <w:tcPr>
            <w:tcW w:w="676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comprehensive income (loss)</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64"/>
        </w:trPr>
        <w:tc>
          <w:tcPr>
            <w:tcW w:w="67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Less: Net other comprehensive income attributable to noncontrolling interest</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w:t>
            </w:r>
          </w:p>
        </w:tc>
        <w:tc>
          <w:tcPr>
            <w:tcW w:w="1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264"/>
        </w:trPr>
        <w:tc>
          <w:tcPr>
            <w:tcW w:w="67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Balance as of March 31, 2016</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(108.9)</w:t>
            </w:r>
          </w:p>
        </w:tc>
        <w:tc>
          <w:tcPr>
            <w:tcW w:w="120" w:type="dxa"/>
            <w:vAlign w:val="bottom"/>
            <w:tcBorders>
              <w:bottom w:val="single" w:sz="8" w:color="auto"/>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00" w:type="dxa"/>
            <w:vAlign w:val="bottom"/>
            <w:tcBorders>
              <w:bottom w:val="single" w:sz="8" w:color="auto"/>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(110.0)</w:t>
            </w:r>
          </w:p>
        </w:tc>
        <w:tc>
          <w:tcPr>
            <w:tcW w:w="0" w:type="dxa"/>
            <w:vAlign w:val="bottom"/>
          </w:tcPr>
          <w:p>
            <w:pPr>
              <w:spacing w:after="0"/>
              <w:rPr>
                <w:sz w:val="1"/>
                <w:szCs w:val="1"/>
                <w:color w:val="auto"/>
              </w:rPr>
            </w:pPr>
          </w:p>
        </w:tc>
      </w:tr>
      <w:tr>
        <w:trPr>
          <w:trHeight w:val="20"/>
        </w:trPr>
        <w:tc>
          <w:tcPr>
            <w:tcW w:w="67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foreign currency translation adjustment gains for the three months ended March 31, 2017 were primarily due to the weakening of the U.S. dollar as compared to the British Pound and the Brazilian Real.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Income Taxes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income tax provision for the periods presented and the respective effective income tax rates for such periods are as follows (in millions, except for income tax rates):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3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520" w:type="dxa"/>
            <w:vAlign w:val="bottom"/>
            <w:gridSpan w:val="4"/>
          </w:tcPr>
          <w:p>
            <w:pPr>
              <w:jc w:val="right"/>
              <w:ind w:right="68"/>
              <w:spacing w:after="0"/>
              <w:rPr>
                <w:sz w:val="20"/>
                <w:szCs w:val="20"/>
                <w:color w:val="auto"/>
              </w:rPr>
            </w:pPr>
            <w:r>
              <w:rPr>
                <w:rFonts w:ascii="Arial" w:cs="Arial" w:eastAsia="Arial" w:hAnsi="Arial"/>
                <w:sz w:val="14"/>
                <w:szCs w:val="14"/>
                <w:b w:val="1"/>
                <w:bCs w:val="1"/>
                <w:color w:val="auto"/>
              </w:rPr>
              <w:t>For the Three Months ended</w:t>
            </w:r>
          </w:p>
        </w:tc>
      </w:tr>
      <w:tr>
        <w:trPr>
          <w:trHeight w:val="276"/>
        </w:trPr>
        <w:tc>
          <w:tcPr>
            <w:tcW w:w="832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March 31,</w:t>
            </w:r>
          </w:p>
        </w:tc>
      </w:tr>
      <w:tr>
        <w:trPr>
          <w:trHeight w:val="264"/>
        </w:trPr>
        <w:tc>
          <w:tcPr>
            <w:tcW w:w="832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2016</w:t>
            </w:r>
          </w:p>
        </w:tc>
      </w:tr>
      <w:tr>
        <w:trPr>
          <w:trHeight w:val="243"/>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Income tax provision</w:t>
            </w:r>
          </w:p>
        </w:tc>
        <w:tc>
          <w:tcPr>
            <w:tcW w:w="580" w:type="dxa"/>
            <w:vAlign w:val="bottom"/>
            <w:tcBorders>
              <w:bottom w:val="single" w:sz="8" w:color="auto"/>
            </w:tcBorders>
            <w:shd w:val="clear" w:color="auto" w:fill="CCEEFF"/>
          </w:tcPr>
          <w:p>
            <w:pPr>
              <w:jc w:val="right"/>
              <w:ind w:right="40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3.1</w:t>
            </w:r>
          </w:p>
        </w:tc>
      </w:tr>
      <w:tr>
        <w:trPr>
          <w:trHeight w:val="20"/>
        </w:trPr>
        <w:tc>
          <w:tcPr>
            <w:tcW w:w="83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64"/>
        </w:trPr>
        <w:tc>
          <w:tcPr>
            <w:tcW w:w="83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57"/>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Effective income tax rate</w:t>
            </w:r>
          </w:p>
        </w:tc>
        <w:tc>
          <w:tcPr>
            <w:tcW w:w="58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13.9%</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w:t>
            </w:r>
          </w:p>
        </w:tc>
      </w:tr>
      <w:tr>
        <w:trPr>
          <w:trHeight w:val="20"/>
        </w:trPr>
        <w:tc>
          <w:tcPr>
            <w:tcW w:w="83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Our provision for income taxes for each of the three-month periods ended March 31, 2017 and 2016 was calculated based on the estimated annual effective income tax rate for the full 2017 and 2016 fiscal years. Our provision for income taxes for the three months ended March 31, 2017 was adjusted for an income tax expense of $1.2 million, net, for discrete items related to changes in estimates in uncertain tax positions and an adjustment for stock based compensation in accordance with ASU 2016-09. Without the $1.2 million expense, the three month period ended March 31, 2017 effective income tax rate would have been 10.6%. Our provision for income taxes for the three months ended March 31, 2016 was adjusted for an income tax benefit of $4.0 million, net, for discrete items related to changes in estimates in uncertain tax positions. Without the $4.0 million adjustment, the three month period ended March 31, 2016 effective income tax rate would have been 15.4%. The actual effective income tax rate for the full 2017 fiscal year may be materially different as a result of differences between estimated versus actual results and the geographic tax jurisdictions in which the results are earned.</w:t>
      </w:r>
    </w:p>
    <w:p>
      <w:pPr>
        <w:spacing w:after="0" w:line="166"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operate under a special income tax concession in Singapore which began January 1, 2008. Our current five year special income tax concession was effective January 1, 2013. The special income tax concession is conditional upon our meeting of certain employment and investment thresholds which, if not met in accordance with our agreement, may eliminate the benefit beginning with the first year in which the conditions are not satisfied. The income tax concession reduces the income tax rate on qualified sales and the impact of this income tax concession decreased foreign income taxes by $0.8 million and $0.6 million for the three months ended March 31, 2017 and 2016, respectively. The impact of the income tax concession on basic earnings per common share was $0.01 and $0.01 for the three months ended March 31, 2017 and 2016, respectively. On a diluted earnings per common share basis, the impact was $0.01 and $0.01 for the three months ended March 31, 2017 and 2016, respectively.</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Subsequent to the quarter ended March 31, 2017, we signed an agreement with the Internal Revenue Service (IRS) which effectively closed the income tax audit for the tax years 2011 and 2012. The matter had already been provided for within our reserve estimates.</w:t>
      </w:r>
    </w:p>
    <w:p>
      <w:pPr>
        <w:spacing w:after="0" w:line="170"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color w:val="auto"/>
        </w:rPr>
        <w:t>The South Korean branch of one of our subsidiaries received an income tax assessment notice for the year 2011 and an income tax pre-assessment for the years 2012 - 2014 totaling $8.0 million (KRW 9.2 billion). We disagree with the South Korean tax authorities' assessment and are appealing.</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Goodwill</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the components of and changes in the carrying amount of goodwill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Aviation</w:t>
            </w:r>
          </w:p>
        </w:tc>
        <w:tc>
          <w:tcPr>
            <w:tcW w:w="7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Land</w:t>
            </w:r>
          </w:p>
        </w:tc>
        <w:tc>
          <w:tcPr>
            <w:tcW w:w="6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Marine</w:t>
            </w:r>
          </w:p>
        </w:tc>
        <w:tc>
          <w:tcPr>
            <w:tcW w:w="7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Total</w:t>
            </w:r>
          </w:p>
        </w:tc>
      </w:tr>
      <w:tr>
        <w:trPr>
          <w:trHeight w:val="270"/>
        </w:trPr>
        <w:tc>
          <w:tcPr>
            <w:tcW w:w="348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 as of December 31, 2016</w:t>
            </w:r>
          </w:p>
        </w:tc>
        <w:tc>
          <w:tcPr>
            <w:tcW w:w="1700" w:type="dxa"/>
            <w:vAlign w:val="bottom"/>
            <w:shd w:val="clear" w:color="auto" w:fill="CCEEFF"/>
          </w:tcPr>
          <w:p>
            <w:pPr>
              <w:jc w:val="right"/>
              <w:ind w:right="42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266.8</w:t>
            </w:r>
          </w:p>
        </w:tc>
        <w:tc>
          <w:tcPr>
            <w:tcW w:w="760" w:type="dxa"/>
            <w:vAlign w:val="bottom"/>
            <w:shd w:val="clear" w:color="auto" w:fill="CCEEFF"/>
          </w:tcPr>
          <w:p>
            <w:pPr>
              <w:jc w:val="right"/>
              <w:ind w:right="46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496.7</w:t>
            </w:r>
          </w:p>
        </w:tc>
        <w:tc>
          <w:tcPr>
            <w:tcW w:w="64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72.3</w:t>
            </w:r>
          </w:p>
        </w:tc>
        <w:tc>
          <w:tcPr>
            <w:tcW w:w="720" w:type="dxa"/>
            <w:vAlign w:val="bottom"/>
            <w:shd w:val="clear" w:color="auto" w:fill="CCEEFF"/>
          </w:tcPr>
          <w:p>
            <w:pPr>
              <w:jc w:val="right"/>
              <w:ind w:right="44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835.8</w:t>
            </w:r>
          </w:p>
        </w:tc>
      </w:tr>
      <w:tr>
        <w:trPr>
          <w:trHeight w:val="264"/>
        </w:trPr>
        <w:tc>
          <w:tcPr>
            <w:tcW w:w="3480" w:type="dxa"/>
            <w:vAlign w:val="bottom"/>
          </w:tcPr>
          <w:p>
            <w:pPr>
              <w:ind w:left="40"/>
              <w:spacing w:after="0"/>
              <w:rPr>
                <w:sz w:val="20"/>
                <w:szCs w:val="20"/>
                <w:color w:val="auto"/>
              </w:rPr>
            </w:pPr>
            <w:r>
              <w:rPr>
                <w:rFonts w:ascii="Arial" w:cs="Arial" w:eastAsia="Arial" w:hAnsi="Arial"/>
                <w:sz w:val="14"/>
                <w:szCs w:val="14"/>
                <w:color w:val="auto"/>
              </w:rPr>
              <w:t>Additions</w:t>
            </w:r>
          </w:p>
        </w:tc>
        <w:tc>
          <w:tcPr>
            <w:tcW w:w="170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42.1</w:t>
            </w:r>
          </w:p>
        </w:tc>
        <w:tc>
          <w:tcPr>
            <w:tcW w:w="760" w:type="dxa"/>
            <w:vAlign w:val="bottom"/>
          </w:tcPr>
          <w:p>
            <w:pPr>
              <w:spacing w:after="0"/>
              <w:rPr>
                <w:sz w:val="22"/>
                <w:szCs w:val="22"/>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42.1</w:t>
            </w:r>
          </w:p>
        </w:tc>
      </w:tr>
      <w:tr>
        <w:trPr>
          <w:trHeight w:val="270"/>
        </w:trPr>
        <w:tc>
          <w:tcPr>
            <w:tcW w:w="34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Foreign exchange and other adjustments</w:t>
            </w:r>
          </w:p>
        </w:tc>
        <w:tc>
          <w:tcPr>
            <w:tcW w:w="17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3.1</w:t>
            </w:r>
          </w:p>
        </w:tc>
        <w:tc>
          <w:tcPr>
            <w:tcW w:w="76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2.3</w:t>
            </w:r>
          </w:p>
        </w:tc>
        <w:tc>
          <w:tcPr>
            <w:tcW w:w="64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0.1</w:t>
            </w:r>
          </w:p>
        </w:tc>
        <w:tc>
          <w:tcPr>
            <w:tcW w:w="7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5.5</w:t>
            </w:r>
          </w:p>
        </w:tc>
      </w:tr>
      <w:tr>
        <w:trPr>
          <w:trHeight w:val="264"/>
        </w:trPr>
        <w:tc>
          <w:tcPr>
            <w:tcW w:w="34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Balance as of March 31, 2017</w:t>
            </w:r>
          </w:p>
        </w:tc>
        <w:tc>
          <w:tcPr>
            <w:tcW w:w="17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312.0</w:t>
            </w:r>
          </w:p>
        </w:tc>
        <w:tc>
          <w:tcPr>
            <w:tcW w:w="7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499.0</w:t>
            </w:r>
          </w:p>
        </w:tc>
        <w:tc>
          <w:tcPr>
            <w:tcW w:w="6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72.4</w:t>
            </w:r>
          </w:p>
        </w:tc>
        <w:tc>
          <w:tcPr>
            <w:tcW w:w="7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883.4</w:t>
            </w:r>
          </w:p>
        </w:tc>
      </w:tr>
      <w:tr>
        <w:trPr>
          <w:trHeight w:val="20"/>
        </w:trPr>
        <w:tc>
          <w:tcPr>
            <w:tcW w:w="34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Earnings per Common Share</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sets forth the computation of basic and diluted earnings per common share for the periods presented (in millions, except per share amounts):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3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80" w:type="dxa"/>
            <w:vAlign w:val="bottom"/>
            <w:gridSpan w:val="4"/>
          </w:tcPr>
          <w:p>
            <w:pPr>
              <w:jc w:val="right"/>
              <w:ind w:right="28"/>
              <w:spacing w:after="0"/>
              <w:rPr>
                <w:sz w:val="20"/>
                <w:szCs w:val="20"/>
                <w:color w:val="auto"/>
              </w:rPr>
            </w:pPr>
            <w:r>
              <w:rPr>
                <w:rFonts w:ascii="Arial" w:cs="Arial" w:eastAsia="Arial" w:hAnsi="Arial"/>
                <w:sz w:val="14"/>
                <w:szCs w:val="14"/>
                <w:b w:val="1"/>
                <w:bCs w:val="1"/>
                <w:color w:val="auto"/>
              </w:rPr>
              <w:t>For the Three Months Ended</w:t>
            </w:r>
          </w:p>
        </w:tc>
      </w:tr>
      <w:tr>
        <w:trPr>
          <w:trHeight w:val="276"/>
        </w:trPr>
        <w:tc>
          <w:tcPr>
            <w:tcW w:w="836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March 31,</w:t>
            </w:r>
          </w:p>
        </w:tc>
      </w:tr>
      <w:tr>
        <w:trPr>
          <w:trHeight w:val="264"/>
        </w:trPr>
        <w:tc>
          <w:tcPr>
            <w:tcW w:w="836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2016</w:t>
            </w:r>
          </w:p>
        </w:tc>
      </w:tr>
      <w:tr>
        <w:trPr>
          <w:trHeight w:val="270"/>
        </w:trPr>
        <w:tc>
          <w:tcPr>
            <w:tcW w:w="8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Numerator:</w:t>
            </w:r>
          </w:p>
        </w:tc>
        <w:tc>
          <w:tcPr>
            <w:tcW w:w="5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264"/>
        </w:trPr>
        <w:tc>
          <w:tcPr>
            <w:tcW w:w="836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Net income attributable to World Fuel</w:t>
            </w:r>
          </w:p>
        </w:tc>
        <w:tc>
          <w:tcPr>
            <w:tcW w:w="5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31.3</w:t>
            </w: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51.8</w:t>
            </w:r>
          </w:p>
        </w:tc>
      </w:tr>
      <w:tr>
        <w:trPr>
          <w:trHeight w:val="270"/>
        </w:trPr>
        <w:tc>
          <w:tcPr>
            <w:tcW w:w="8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Denominator:</w:t>
            </w:r>
          </w:p>
        </w:tc>
        <w:tc>
          <w:tcPr>
            <w:tcW w:w="5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264"/>
        </w:trPr>
        <w:tc>
          <w:tcPr>
            <w:tcW w:w="8360" w:type="dxa"/>
            <w:vAlign w:val="bottom"/>
          </w:tcPr>
          <w:p>
            <w:pPr>
              <w:ind w:left="180"/>
              <w:spacing w:after="0"/>
              <w:rPr>
                <w:sz w:val="20"/>
                <w:szCs w:val="20"/>
                <w:color w:val="auto"/>
              </w:rPr>
            </w:pPr>
            <w:r>
              <w:rPr>
                <w:rFonts w:ascii="Arial" w:cs="Arial" w:eastAsia="Arial" w:hAnsi="Arial"/>
                <w:sz w:val="14"/>
                <w:szCs w:val="14"/>
                <w:color w:val="auto"/>
              </w:rPr>
              <w:t>Weighted average common shares for basic earnings per common share</w:t>
            </w:r>
          </w:p>
        </w:tc>
        <w:tc>
          <w:tcPr>
            <w:tcW w:w="58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68.7</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69.5</w:t>
            </w:r>
          </w:p>
        </w:tc>
      </w:tr>
      <w:tr>
        <w:trPr>
          <w:trHeight w:val="270"/>
        </w:trPr>
        <w:tc>
          <w:tcPr>
            <w:tcW w:w="83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Effect of dilutive securities</w:t>
            </w:r>
          </w:p>
        </w:tc>
        <w:tc>
          <w:tcPr>
            <w:tcW w:w="58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0.4</w:t>
            </w:r>
          </w:p>
        </w:tc>
        <w:tc>
          <w:tcPr>
            <w:tcW w:w="100" w:type="dxa"/>
            <w:vAlign w:val="bottom"/>
            <w:tcBorders>
              <w:bottom w:val="single" w:sz="8" w:color="auto"/>
            </w:tcBorders>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0.5</w:t>
            </w:r>
          </w:p>
        </w:tc>
      </w:tr>
      <w:tr>
        <w:trPr>
          <w:trHeight w:val="304"/>
        </w:trPr>
        <w:tc>
          <w:tcPr>
            <w:tcW w:w="836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Weighted average common shares for diluted earnings per common share</w:t>
            </w:r>
          </w:p>
        </w:tc>
        <w:tc>
          <w:tcPr>
            <w:tcW w:w="5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69.2</w:t>
            </w: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70.0</w:t>
            </w:r>
          </w:p>
        </w:tc>
      </w:tr>
      <w:tr>
        <w:trPr>
          <w:trHeight w:val="311"/>
        </w:trPr>
        <w:tc>
          <w:tcPr>
            <w:tcW w:w="836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157"/>
        </w:trPr>
        <w:tc>
          <w:tcPr>
            <w:tcW w:w="8360" w:type="dxa"/>
            <w:vAlign w:val="bottom"/>
          </w:tcPr>
          <w:p>
            <w:pPr>
              <w:ind w:left="40"/>
              <w:spacing w:after="0" w:line="157" w:lineRule="exact"/>
              <w:rPr>
                <w:sz w:val="20"/>
                <w:szCs w:val="20"/>
                <w:color w:val="auto"/>
              </w:rPr>
            </w:pPr>
            <w:r>
              <w:rPr>
                <w:rFonts w:ascii="Arial" w:cs="Arial" w:eastAsia="Arial" w:hAnsi="Arial"/>
                <w:sz w:val="14"/>
                <w:szCs w:val="14"/>
                <w:color w:val="auto"/>
                <w:w w:val="98"/>
              </w:rPr>
              <w:t>Weighted average securities which are not included in the calculation of diluted earnings per common share because their impact is anti-</w:t>
            </w:r>
          </w:p>
        </w:tc>
        <w:tc>
          <w:tcPr>
            <w:tcW w:w="5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228"/>
        </w:trPr>
        <w:tc>
          <w:tcPr>
            <w:tcW w:w="83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dilutive or their performance conditions have not been met</w:t>
            </w:r>
          </w:p>
        </w:tc>
        <w:tc>
          <w:tcPr>
            <w:tcW w:w="5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0.6</w:t>
            </w: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0.9</w:t>
            </w:r>
          </w:p>
        </w:tc>
      </w:tr>
      <w:tr>
        <w:trPr>
          <w:trHeight w:val="257"/>
        </w:trPr>
        <w:tc>
          <w:tcPr>
            <w:tcW w:w="836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r>
      <w:tr>
        <w:trPr>
          <w:trHeight w:val="304"/>
        </w:trPr>
        <w:tc>
          <w:tcPr>
            <w:tcW w:w="83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Basic earnings per common share</w:t>
            </w:r>
          </w:p>
        </w:tc>
        <w:tc>
          <w:tcPr>
            <w:tcW w:w="5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0.46</w:t>
            </w: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0.74</w:t>
            </w:r>
          </w:p>
        </w:tc>
      </w:tr>
      <w:tr>
        <w:trPr>
          <w:trHeight w:val="257"/>
        </w:trPr>
        <w:tc>
          <w:tcPr>
            <w:tcW w:w="836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r>
      <w:tr>
        <w:trPr>
          <w:trHeight w:val="264"/>
        </w:trPr>
        <w:tc>
          <w:tcPr>
            <w:tcW w:w="83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Diluted earnings per common share</w:t>
            </w:r>
          </w:p>
        </w:tc>
        <w:tc>
          <w:tcPr>
            <w:tcW w:w="5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0.45</w:t>
            </w: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0.74</w:t>
            </w:r>
          </w:p>
        </w:tc>
      </w:tr>
      <w:tr>
        <w:trPr>
          <w:trHeight w:val="20"/>
        </w:trPr>
        <w:tc>
          <w:tcPr>
            <w:tcW w:w="83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40" w:right="8600" w:hanging="332"/>
        <w:spacing w:after="0" w:line="503" w:lineRule="auto"/>
        <w:tabs>
          <w:tab w:leader="none" w:pos="286"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Legal Matters</w:t>
      </w:r>
    </w:p>
    <w:p>
      <w:pPr>
        <w:spacing w:after="0" w:line="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In connection with a theft of fuel product valued at approximately $18.0 million, we recorded an insurance receivable for the full amount of the loss, which is included in other current assets in the accompanying consolidated balance sheets. On July 31, 2014, our insurer, AGCS Marine Insurance Company (“AGCS”), filed a declaratory judgment action against us in the United States District Court for the Southern District of New York (“District Court”) seeking a court ruling that the loss is not covered under our policy. In May 2016, the District Court entered an order granting summary judgment in our favor holding that the loss is covered under the AGCS policy. On March 27, 2017, we entered into a confidential settlement agreement pursuant to which we collected from AGCS the full amount of the insurance receivable, plus additional reimbursements, and the parties exchanged full and final releases in respect of the matter.</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Tax Matters</w:t>
      </w:r>
    </w:p>
    <w:p>
      <w:pPr>
        <w:spacing w:after="0" w:line="229"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From time to time, we are under review by various domestic and foreign tax authorities with regards to indirect tax matters and are involved in various challenges and litigation in a number of countries, including, in particular, Brazil and South Korea, where the amounts under controversy may be significant.</w:t>
      </w:r>
    </w:p>
    <w:p>
      <w:pPr>
        <w:spacing w:after="0" w:line="12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During the quarter ended December 31, 2016, the Korean branch (“WFSK”) of one of our subsidiaries received assessments of approximately $10.4 million (KRW 11.9 billion) and a pre-assessment notice for an additional $17.6 million (KRW 20.1 billion) from the regional tax authorities of Seoul, South Korea (“SRTO”). The assessments primarily consist of fines and penalties for allegedly failing to issue Value Added Tax ("VAT") invoices and report certain transactions during the period 2011-2014. These assessments do not involve failure to pay or collect VAT. We believe that these assessments are without merit and are currently appealing the actions. In addition to these assessments, in November 2016, the SRTO referred the case to the Seoul Central District Prosecutors Office (“SCDPO”) for investigation and determination as to whether the alleged invoicing and reporting violations should be subject to criminal action under Korean law. On March 30, 2017, the SCDPO issued a decision not to bring a criminal action against us. This decision is subject to appeal by the SRTO.</w:t>
      </w:r>
    </w:p>
    <w:p>
      <w:pPr>
        <w:spacing w:after="0" w:line="192"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We are also involved in a number of tax disputes with federal, state and municipal tax authorities in Brazil, relating primarily to VAT (ICMS) tax matters. These disputes are at various stages of the legal process, including the administrative review phase and the collection action phase, and include assessments of fixed amounts of principal and penalties, plus interest.</w:t>
      </w:r>
    </w:p>
    <w:p>
      <w:pPr>
        <w:spacing w:after="0" w:line="18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When we deem it appropriate and the amounts are reasonably estimable, we establish reserves for potential adjustments to our provision for the accrual of indirect taxes that may result from examinations or other actions by tax authorities. If events occur which indicate payment of these amounts is unnecessary, the reversal of the liabilities would result in the recognition of benefits in the period we determine the liabilities are no longer necessary. If our estimates of any of our federal, state, and foreign indirect tax liabilities are less than the ultimate assessment, it could result in a further charge to expense. Except with respect to the matters described above, we believe that the final outcome of any pending examinations, agreements, administrative or judicial proceedings will not have a material effect on our results of operations or cash flows.</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Other Matters</w:t>
      </w:r>
    </w:p>
    <w:p>
      <w:pPr>
        <w:spacing w:after="0" w:line="229"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On August 31, 2016, Hanjin Shipping Co., Ltd. (“Hanjin”), one of our customers in our marine segment, filed for bankruptcy protection in South Korea and on September 1, 2016, the Korean Rehabilitation Court accepted Hanjin’s application for rehabilitation. On February 17, 2017, the Korean Rehabilitation Court formally adjudicated the liquidation of Hanjin. As of March 31, 2017, we had outstanding Hanjin receivables of approximately $4.0 million, net of anticipated insurance recoveries of approximately $4.0 million. While we believe we will recover all or substantially all of the outstanding Hanjin and insurance receivables, there can be no assurance that we will be able to recover all of the remaining amounts.</w:t>
      </w:r>
    </w:p>
    <w:p>
      <w:pPr>
        <w:spacing w:after="0" w:line="173"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are also a party to various claims, complaints and proceedings arising in the ordinary course of our business including, but not limited to, environmental claims, commercial and governmental contract claims, such as property damage, demurrage, personal injury, billing and fuel quality claims, as well as bankruptcy preference claims and administrative claims. We have established loss provisions for these ordinary course claims as well as other matters in which losses are probable and can be reasonably estimated. As of March 31, 2017, we had recorded certain reserves which were not significant. For those matters where a reserve has not been established and for which we believe a loss is reasonably possible, as well as for matters where a reserve has been recorded but for which an exposure to loss in excess of the amount accrued is reasonably possible, we believe that such losses will not have a material adverse effect on our consolidated financial statements. However, any adverse resolution of one or</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more such claims, complaints or proceedings during a particular period could have a material adverse effect on our consolidated financial statements or disclosures for that period.</w:t>
      </w:r>
    </w:p>
    <w:p>
      <w:pPr>
        <w:spacing w:after="0" w:line="13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Our estimates regarding potential losses and materiality are based on our judgment and assessment of the claims utilizing currently available information. Although we will continue to reassess our reserves and estimates based on future developments, our objective assessment of the legal merits of such claims may not always be predictive of the outcome and actual results may vary from our current estimates.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Business Segments</w:t>
      </w:r>
    </w:p>
    <w:p>
      <w:pPr>
        <w:spacing w:after="0" w:line="229"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We operate in three reportable segments consisting of aviation, land and marine. Corporate expenses are allocated to the segments based on usage, where possible, or on other factors according to the nature of the activity. Within our aviation segment we offer fuel and related products and services to major commercial airlines, second and third tier airlines, cargo carriers, regional and low cost carriers, airports, fixed based operators, corporate fleets, fractional operators, private aircraft, military fleets and the U.S. and foreign governments as well as intergovernmental organizations. In our land segment, we offer fuel, lubricants, power and natural gas solutions through Kinect, our global energy management services platform, and related products and services to customers including petroleum distributors operating in the land transportation market, retail petroleum operators, and industrial, commercial, residential and government customers. Our marine segment product and service offerings include fuel, lubricants and related products and services to a broad base of customers, including international container and tanker fleets, commercial cruise lines, yachts and time charter operators, offshore rig owners and operators, the U.S. and foreign governments as well as other fuel suppliers. Within each of our segments we may enter into derivative contracts to mitigate the risk of market price fluctuations and also to offer our customers fuel pricing alternatives to meet their needs.</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Information concerning our revenue, gross profit and income from operations by segment is as follows (in millions):</w:t>
      </w:r>
    </w:p>
    <w:p>
      <w:pPr>
        <w:spacing w:after="0" w:line="230" w:lineRule="exact"/>
        <w:rPr>
          <w:sz w:val="20"/>
          <w:szCs w:val="20"/>
          <w:color w:val="auto"/>
        </w:rPr>
      </w:pPr>
    </w:p>
    <w:p>
      <w:pPr>
        <w:jc w:val="right"/>
        <w:ind w:right="100"/>
        <w:spacing w:after="0"/>
        <w:rPr>
          <w:sz w:val="20"/>
          <w:szCs w:val="20"/>
          <w:color w:val="auto"/>
        </w:rPr>
      </w:pPr>
      <w:r>
        <w:rPr>
          <w:rFonts w:ascii="Arial" w:cs="Arial" w:eastAsia="Arial" w:hAnsi="Arial"/>
          <w:sz w:val="14"/>
          <w:szCs w:val="14"/>
          <w:b w:val="1"/>
          <w:bCs w:val="1"/>
          <w:color w:val="auto"/>
        </w:rPr>
        <w:t>For the Three Months Ended</w:t>
      </w:r>
    </w:p>
    <w:p>
      <w:pPr>
        <w:spacing w:after="0" w:line="109" w:lineRule="exact"/>
        <w:rPr>
          <w:sz w:val="20"/>
          <w:szCs w:val="20"/>
          <w:color w:val="auto"/>
        </w:rPr>
      </w:pPr>
    </w:p>
    <w:p>
      <w:pPr>
        <w:jc w:val="right"/>
        <w:ind w:right="10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Revenue:</w:t>
            </w:r>
          </w:p>
        </w:tc>
        <w:tc>
          <w:tcPr>
            <w:tcW w:w="36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2017</w:t>
            </w:r>
          </w:p>
        </w:tc>
        <w:tc>
          <w:tcPr>
            <w:tcW w:w="6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2016</w:t>
            </w:r>
          </w:p>
        </w:tc>
      </w:tr>
      <w:tr>
        <w:trPr>
          <w:trHeight w:val="270"/>
        </w:trPr>
        <w:tc>
          <w:tcPr>
            <w:tcW w:w="52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Aviation segment</w:t>
            </w:r>
          </w:p>
        </w:tc>
        <w:tc>
          <w:tcPr>
            <w:tcW w:w="364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3,317.4</w:t>
            </w:r>
          </w:p>
        </w:tc>
        <w:tc>
          <w:tcPr>
            <w:tcW w:w="60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2,219.4</w:t>
            </w:r>
          </w:p>
        </w:tc>
      </w:tr>
      <w:tr>
        <w:trPr>
          <w:trHeight w:val="264"/>
        </w:trPr>
        <w:tc>
          <w:tcPr>
            <w:tcW w:w="5240" w:type="dxa"/>
            <w:vAlign w:val="bottom"/>
          </w:tcPr>
          <w:p>
            <w:pPr>
              <w:ind w:left="180"/>
              <w:spacing w:after="0"/>
              <w:rPr>
                <w:sz w:val="20"/>
                <w:szCs w:val="20"/>
                <w:color w:val="auto"/>
              </w:rPr>
            </w:pPr>
            <w:r>
              <w:rPr>
                <w:rFonts w:ascii="Arial" w:cs="Arial" w:eastAsia="Arial" w:hAnsi="Arial"/>
                <w:sz w:val="14"/>
                <w:szCs w:val="14"/>
                <w:color w:val="auto"/>
              </w:rPr>
              <w:t>Land segment</w:t>
            </w:r>
          </w:p>
        </w:tc>
        <w:tc>
          <w:tcPr>
            <w:tcW w:w="3640" w:type="dxa"/>
            <w:vAlign w:val="bottom"/>
          </w:tcPr>
          <w:p>
            <w:pPr>
              <w:spacing w:after="0"/>
              <w:rPr>
                <w:sz w:val="22"/>
                <w:szCs w:val="22"/>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2,783.4</w:t>
            </w:r>
          </w:p>
        </w:tc>
        <w:tc>
          <w:tcPr>
            <w:tcW w:w="60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1,695.0</w:t>
            </w:r>
          </w:p>
        </w:tc>
      </w:tr>
      <w:tr>
        <w:trPr>
          <w:trHeight w:val="270"/>
        </w:trPr>
        <w:tc>
          <w:tcPr>
            <w:tcW w:w="524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Marine segment</w:t>
            </w:r>
          </w:p>
        </w:tc>
        <w:tc>
          <w:tcPr>
            <w:tcW w:w="36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2,093.5</w:t>
            </w:r>
          </w:p>
        </w:tc>
        <w:tc>
          <w:tcPr>
            <w:tcW w:w="6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1,276.5</w:t>
            </w:r>
          </w:p>
        </w:tc>
      </w:tr>
      <w:tr>
        <w:trPr>
          <w:trHeight w:val="304"/>
        </w:trPr>
        <w:tc>
          <w:tcPr>
            <w:tcW w:w="524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8,194.3</w:t>
            </w:r>
          </w:p>
        </w:tc>
        <w:tc>
          <w:tcPr>
            <w:tcW w:w="6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5,190.8</w:t>
            </w:r>
          </w:p>
        </w:tc>
      </w:tr>
      <w:tr>
        <w:trPr>
          <w:trHeight w:val="311"/>
        </w:trPr>
        <w:tc>
          <w:tcPr>
            <w:tcW w:w="5240" w:type="dxa"/>
            <w:vAlign w:val="bottom"/>
            <w:shd w:val="clear" w:color="auto" w:fill="CCEEFF"/>
          </w:tcPr>
          <w:p>
            <w:pPr>
              <w:spacing w:after="0"/>
              <w:rPr>
                <w:sz w:val="24"/>
                <w:szCs w:val="24"/>
                <w:color w:val="auto"/>
              </w:rPr>
            </w:pPr>
          </w:p>
        </w:tc>
        <w:tc>
          <w:tcPr>
            <w:tcW w:w="36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64"/>
        </w:trPr>
        <w:tc>
          <w:tcPr>
            <w:tcW w:w="5240" w:type="dxa"/>
            <w:vAlign w:val="bottom"/>
          </w:tcPr>
          <w:p>
            <w:pPr>
              <w:ind w:left="40"/>
              <w:spacing w:after="0"/>
              <w:rPr>
                <w:sz w:val="20"/>
                <w:szCs w:val="20"/>
                <w:color w:val="auto"/>
              </w:rPr>
            </w:pPr>
            <w:r>
              <w:rPr>
                <w:rFonts w:ascii="Arial" w:cs="Arial" w:eastAsia="Arial" w:hAnsi="Arial"/>
                <w:sz w:val="14"/>
                <w:szCs w:val="14"/>
                <w:color w:val="auto"/>
              </w:rPr>
              <w:t>Gross profit:</w:t>
            </w:r>
          </w:p>
        </w:tc>
        <w:tc>
          <w:tcPr>
            <w:tcW w:w="36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76"/>
        </w:trPr>
        <w:tc>
          <w:tcPr>
            <w:tcW w:w="52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Aviation segment</w:t>
            </w:r>
          </w:p>
        </w:tc>
        <w:tc>
          <w:tcPr>
            <w:tcW w:w="364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100.0</w:t>
            </w:r>
          </w:p>
        </w:tc>
        <w:tc>
          <w:tcPr>
            <w:tcW w:w="60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88.7</w:t>
            </w:r>
          </w:p>
        </w:tc>
      </w:tr>
      <w:tr>
        <w:trPr>
          <w:trHeight w:val="264"/>
        </w:trPr>
        <w:tc>
          <w:tcPr>
            <w:tcW w:w="5240" w:type="dxa"/>
            <w:vAlign w:val="bottom"/>
          </w:tcPr>
          <w:p>
            <w:pPr>
              <w:ind w:left="180"/>
              <w:spacing w:after="0"/>
              <w:rPr>
                <w:sz w:val="20"/>
                <w:szCs w:val="20"/>
                <w:color w:val="auto"/>
              </w:rPr>
            </w:pPr>
            <w:r>
              <w:rPr>
                <w:rFonts w:ascii="Arial" w:cs="Arial" w:eastAsia="Arial" w:hAnsi="Arial"/>
                <w:sz w:val="14"/>
                <w:szCs w:val="14"/>
                <w:color w:val="auto"/>
              </w:rPr>
              <w:t>Land segment</w:t>
            </w:r>
          </w:p>
        </w:tc>
        <w:tc>
          <w:tcPr>
            <w:tcW w:w="3640" w:type="dxa"/>
            <w:vAlign w:val="bottom"/>
          </w:tcPr>
          <w:p>
            <w:pPr>
              <w:spacing w:after="0"/>
              <w:rPr>
                <w:sz w:val="22"/>
                <w:szCs w:val="22"/>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97.8</w:t>
            </w:r>
          </w:p>
        </w:tc>
        <w:tc>
          <w:tcPr>
            <w:tcW w:w="60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93.6</w:t>
            </w:r>
          </w:p>
        </w:tc>
      </w:tr>
      <w:tr>
        <w:trPr>
          <w:trHeight w:val="270"/>
        </w:trPr>
        <w:tc>
          <w:tcPr>
            <w:tcW w:w="524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Marine segment</w:t>
            </w:r>
          </w:p>
        </w:tc>
        <w:tc>
          <w:tcPr>
            <w:tcW w:w="36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33.6</w:t>
            </w:r>
          </w:p>
        </w:tc>
        <w:tc>
          <w:tcPr>
            <w:tcW w:w="6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39.2</w:t>
            </w:r>
          </w:p>
        </w:tc>
      </w:tr>
      <w:tr>
        <w:trPr>
          <w:trHeight w:val="304"/>
        </w:trPr>
        <w:tc>
          <w:tcPr>
            <w:tcW w:w="524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231.4</w:t>
            </w:r>
          </w:p>
        </w:tc>
        <w:tc>
          <w:tcPr>
            <w:tcW w:w="6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221.5</w:t>
            </w:r>
          </w:p>
        </w:tc>
      </w:tr>
      <w:tr>
        <w:trPr>
          <w:trHeight w:val="257"/>
        </w:trPr>
        <w:tc>
          <w:tcPr>
            <w:tcW w:w="5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from operations:</w:t>
            </w:r>
          </w:p>
        </w:tc>
        <w:tc>
          <w:tcPr>
            <w:tcW w:w="364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r>
      <w:tr>
        <w:trPr>
          <w:trHeight w:val="264"/>
        </w:trPr>
        <w:tc>
          <w:tcPr>
            <w:tcW w:w="5240" w:type="dxa"/>
            <w:vAlign w:val="bottom"/>
          </w:tcPr>
          <w:p>
            <w:pPr>
              <w:ind w:left="180"/>
              <w:spacing w:after="0"/>
              <w:rPr>
                <w:sz w:val="20"/>
                <w:szCs w:val="20"/>
                <w:color w:val="auto"/>
              </w:rPr>
            </w:pPr>
            <w:r>
              <w:rPr>
                <w:rFonts w:ascii="Arial" w:cs="Arial" w:eastAsia="Arial" w:hAnsi="Arial"/>
                <w:sz w:val="14"/>
                <w:szCs w:val="14"/>
                <w:color w:val="auto"/>
              </w:rPr>
              <w:t>Aviation segment</w:t>
            </w:r>
          </w:p>
        </w:tc>
        <w:tc>
          <w:tcPr>
            <w:tcW w:w="364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40.4</w:t>
            </w:r>
          </w:p>
        </w:tc>
        <w:tc>
          <w:tcPr>
            <w:tcW w:w="60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34.0</w:t>
            </w:r>
          </w:p>
        </w:tc>
      </w:tr>
      <w:tr>
        <w:trPr>
          <w:trHeight w:val="276"/>
        </w:trPr>
        <w:tc>
          <w:tcPr>
            <w:tcW w:w="52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Land segment</w:t>
            </w:r>
          </w:p>
        </w:tc>
        <w:tc>
          <w:tcPr>
            <w:tcW w:w="36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21.4</w:t>
            </w:r>
          </w:p>
        </w:tc>
        <w:tc>
          <w:tcPr>
            <w:tcW w:w="6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34.0</w:t>
            </w:r>
          </w:p>
        </w:tc>
      </w:tr>
      <w:tr>
        <w:trPr>
          <w:trHeight w:val="264"/>
        </w:trPr>
        <w:tc>
          <w:tcPr>
            <w:tcW w:w="524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Marine segment</w:t>
            </w:r>
          </w:p>
        </w:tc>
        <w:tc>
          <w:tcPr>
            <w:tcW w:w="36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8.3</w:t>
            </w:r>
          </w:p>
        </w:tc>
        <w:tc>
          <w:tcPr>
            <w:tcW w:w="6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11.4</w:t>
            </w:r>
          </w:p>
        </w:tc>
      </w:tr>
      <w:tr>
        <w:trPr>
          <w:trHeight w:val="270"/>
        </w:trPr>
        <w:tc>
          <w:tcPr>
            <w:tcW w:w="5240" w:type="dxa"/>
            <w:vAlign w:val="bottom"/>
            <w:shd w:val="clear" w:color="auto" w:fill="CCEEFF"/>
          </w:tcPr>
          <w:p>
            <w:pPr>
              <w:spacing w:after="0"/>
              <w:rPr>
                <w:sz w:val="23"/>
                <w:szCs w:val="23"/>
                <w:color w:val="auto"/>
              </w:rPr>
            </w:pPr>
          </w:p>
        </w:tc>
        <w:tc>
          <w:tcPr>
            <w:tcW w:w="36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70.1</w:t>
            </w:r>
          </w:p>
        </w:tc>
        <w:tc>
          <w:tcPr>
            <w:tcW w:w="6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79.4</w:t>
            </w:r>
          </w:p>
        </w:tc>
      </w:tr>
      <w:tr>
        <w:trPr>
          <w:trHeight w:val="264"/>
        </w:trPr>
        <w:tc>
          <w:tcPr>
            <w:tcW w:w="524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Corporate overhead - unallocated</w:t>
            </w:r>
          </w:p>
        </w:tc>
        <w:tc>
          <w:tcPr>
            <w:tcW w:w="36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(19.8)</w:t>
            </w:r>
          </w:p>
        </w:tc>
        <w:tc>
          <w:tcPr>
            <w:tcW w:w="6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(18.4)</w:t>
            </w:r>
          </w:p>
        </w:tc>
      </w:tr>
      <w:tr>
        <w:trPr>
          <w:trHeight w:val="264"/>
        </w:trPr>
        <w:tc>
          <w:tcPr>
            <w:tcW w:w="5240" w:type="dxa"/>
            <w:vAlign w:val="bottom"/>
            <w:tcBorders>
              <w:bottom w:val="single" w:sz="8" w:color="auto"/>
            </w:tcBorders>
            <w:shd w:val="clear" w:color="auto" w:fill="CCEEFF"/>
          </w:tcPr>
          <w:p>
            <w:pPr>
              <w:spacing w:after="0"/>
              <w:rPr>
                <w:sz w:val="22"/>
                <w:szCs w:val="22"/>
                <w:color w:val="auto"/>
              </w:rPr>
            </w:pPr>
          </w:p>
        </w:tc>
        <w:tc>
          <w:tcPr>
            <w:tcW w:w="3640" w:type="dxa"/>
            <w:vAlign w:val="bottom"/>
            <w:tcBorders>
              <w:bottom w:val="single" w:sz="8" w:color="auto"/>
            </w:tcBorders>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50.3</w:t>
            </w:r>
          </w:p>
        </w:tc>
        <w:tc>
          <w:tcPr>
            <w:tcW w:w="600" w:type="dxa"/>
            <w:vAlign w:val="bottom"/>
            <w:tcBorders>
              <w:bottom w:val="single" w:sz="8" w:color="auto"/>
            </w:tcBorders>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61.0</w:t>
            </w:r>
          </w:p>
        </w:tc>
      </w:tr>
      <w:tr>
        <w:trPr>
          <w:trHeight w:val="20"/>
        </w:trPr>
        <w:tc>
          <w:tcPr>
            <w:tcW w:w="5240" w:type="dxa"/>
            <w:vAlign w:val="bottom"/>
            <w:tcBorders>
              <w:bottom w:val="single" w:sz="8" w:color="auto"/>
            </w:tcBorders>
          </w:tcPr>
          <w:p>
            <w:pPr>
              <w:spacing w:after="0" w:line="20" w:lineRule="exact"/>
              <w:rPr>
                <w:sz w:val="1"/>
                <w:szCs w:val="1"/>
                <w:color w:val="auto"/>
              </w:rPr>
            </w:pPr>
          </w:p>
        </w:tc>
        <w:tc>
          <w:tcPr>
            <w:tcW w:w="36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Information concerning our accounts receivable, net and total assets by segment is as follows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As of</w:t>
            </w:r>
          </w:p>
        </w:tc>
      </w:tr>
      <w:tr>
        <w:trPr>
          <w:trHeight w:val="258"/>
        </w:trPr>
        <w:tc>
          <w:tcPr>
            <w:tcW w:w="83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b w:val="1"/>
                <w:bCs w:val="1"/>
                <w:color w:val="auto"/>
              </w:rPr>
              <w:t>March 31,</w:t>
            </w:r>
          </w:p>
        </w:tc>
        <w:tc>
          <w:tcPr>
            <w:tcW w:w="40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b w:val="1"/>
                <w:bCs w:val="1"/>
                <w:color w:val="auto"/>
              </w:rPr>
              <w:t>December 31,</w:t>
            </w:r>
          </w:p>
        </w:tc>
      </w:tr>
      <w:tr>
        <w:trPr>
          <w:trHeight w:val="276"/>
        </w:trPr>
        <w:tc>
          <w:tcPr>
            <w:tcW w:w="83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2017</w:t>
            </w:r>
          </w:p>
        </w:tc>
        <w:tc>
          <w:tcPr>
            <w:tcW w:w="4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2016</w:t>
            </w:r>
          </w:p>
        </w:tc>
      </w:tr>
      <w:tr>
        <w:trPr>
          <w:trHeight w:val="270"/>
        </w:trPr>
        <w:tc>
          <w:tcPr>
            <w:tcW w:w="83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Accounts receivable, net:</w:t>
            </w:r>
          </w:p>
        </w:tc>
        <w:tc>
          <w:tcPr>
            <w:tcW w:w="44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r>
      <w:tr>
        <w:trPr>
          <w:trHeight w:val="264"/>
        </w:trPr>
        <w:tc>
          <w:tcPr>
            <w:tcW w:w="8320" w:type="dxa"/>
            <w:vAlign w:val="bottom"/>
          </w:tcPr>
          <w:p>
            <w:pPr>
              <w:ind w:left="180"/>
              <w:spacing w:after="0"/>
              <w:rPr>
                <w:sz w:val="20"/>
                <w:szCs w:val="20"/>
                <w:color w:val="auto"/>
              </w:rPr>
            </w:pPr>
            <w:r>
              <w:rPr>
                <w:rFonts w:ascii="Arial" w:cs="Arial" w:eastAsia="Arial" w:hAnsi="Arial"/>
                <w:sz w:val="14"/>
                <w:szCs w:val="14"/>
                <w:color w:val="auto"/>
              </w:rPr>
              <w:t>Aviation segment, net of allowance for bad debt of $6.9 and $6.6 as of March 31, 2017 and December 31, 2016, respectively</w:t>
            </w: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695.3</w:t>
            </w:r>
          </w:p>
        </w:tc>
        <w:tc>
          <w:tcPr>
            <w:tcW w:w="4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776.0</w:t>
            </w:r>
          </w:p>
        </w:tc>
      </w:tr>
      <w:tr>
        <w:trPr>
          <w:trHeight w:val="276"/>
        </w:trPr>
        <w:tc>
          <w:tcPr>
            <w:tcW w:w="83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Land segment, net of allowance for bad debt of $8.4 and $8.2 as of March 31, 2017 and December 31, 2016, respectively</w:t>
            </w:r>
          </w:p>
        </w:tc>
        <w:tc>
          <w:tcPr>
            <w:tcW w:w="44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758.7</w:t>
            </w:r>
          </w:p>
        </w:tc>
        <w:tc>
          <w:tcPr>
            <w:tcW w:w="4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737.5</w:t>
            </w:r>
          </w:p>
        </w:tc>
      </w:tr>
      <w:tr>
        <w:trPr>
          <w:trHeight w:val="264"/>
        </w:trPr>
        <w:tc>
          <w:tcPr>
            <w:tcW w:w="832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Marine segment, net of allowance for bad debt of $12.1 and $10.2 as of March 31, 2017 and December 31, 2016, respectively</w:t>
            </w:r>
          </w:p>
        </w:tc>
        <w:tc>
          <w:tcPr>
            <w:tcW w:w="4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755.1</w:t>
            </w:r>
          </w:p>
        </w:tc>
        <w:tc>
          <w:tcPr>
            <w:tcW w:w="4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830.5</w:t>
            </w:r>
          </w:p>
        </w:tc>
      </w:tr>
      <w:tr>
        <w:trPr>
          <w:trHeight w:val="264"/>
        </w:trPr>
        <w:tc>
          <w:tcPr>
            <w:tcW w:w="8320" w:type="dxa"/>
            <w:vAlign w:val="bottom"/>
            <w:tcBorders>
              <w:bottom w:val="single" w:sz="8" w:color="auto"/>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2,209.1</w:t>
            </w:r>
          </w:p>
        </w:tc>
        <w:tc>
          <w:tcPr>
            <w:tcW w:w="4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2,344.0</w:t>
            </w:r>
          </w:p>
        </w:tc>
      </w:tr>
      <w:tr>
        <w:trPr>
          <w:trHeight w:val="20"/>
        </w:trPr>
        <w:tc>
          <w:tcPr>
            <w:tcW w:w="83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51"/>
        </w:trPr>
        <w:tc>
          <w:tcPr>
            <w:tcW w:w="8320" w:type="dxa"/>
            <w:vAlign w:val="bottom"/>
          </w:tcPr>
          <w:p>
            <w:pPr>
              <w:ind w:left="40"/>
              <w:spacing w:after="0"/>
              <w:rPr>
                <w:sz w:val="20"/>
                <w:szCs w:val="20"/>
                <w:color w:val="auto"/>
              </w:rPr>
            </w:pPr>
            <w:r>
              <w:rPr>
                <w:rFonts w:ascii="Arial" w:cs="Arial" w:eastAsia="Arial" w:hAnsi="Arial"/>
                <w:sz w:val="14"/>
                <w:szCs w:val="14"/>
                <w:color w:val="auto"/>
              </w:rPr>
              <w:t>Total assets:</w:t>
            </w:r>
          </w:p>
        </w:tc>
        <w:tc>
          <w:tcPr>
            <w:tcW w:w="4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6"/>
        </w:trPr>
        <w:tc>
          <w:tcPr>
            <w:tcW w:w="83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Aviation segment</w:t>
            </w: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1,907.0</w:t>
            </w:r>
          </w:p>
        </w:tc>
        <w:tc>
          <w:tcPr>
            <w:tcW w:w="4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2,050.6</w:t>
            </w:r>
          </w:p>
        </w:tc>
      </w:tr>
      <w:tr>
        <w:trPr>
          <w:trHeight w:val="264"/>
        </w:trPr>
        <w:tc>
          <w:tcPr>
            <w:tcW w:w="8320" w:type="dxa"/>
            <w:vAlign w:val="bottom"/>
          </w:tcPr>
          <w:p>
            <w:pPr>
              <w:ind w:left="180"/>
              <w:spacing w:after="0"/>
              <w:rPr>
                <w:sz w:val="20"/>
                <w:szCs w:val="20"/>
                <w:color w:val="auto"/>
              </w:rPr>
            </w:pPr>
            <w:r>
              <w:rPr>
                <w:rFonts w:ascii="Arial" w:cs="Arial" w:eastAsia="Arial" w:hAnsi="Arial"/>
                <w:sz w:val="14"/>
                <w:szCs w:val="14"/>
                <w:color w:val="auto"/>
              </w:rPr>
              <w:t>Land segment</w:t>
            </w:r>
          </w:p>
        </w:tc>
        <w:tc>
          <w:tcPr>
            <w:tcW w:w="440" w:type="dxa"/>
            <w:vAlign w:val="bottom"/>
          </w:tcPr>
          <w:p>
            <w:pPr>
              <w:spacing w:after="0"/>
              <w:rPr>
                <w:sz w:val="22"/>
                <w:szCs w:val="22"/>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1,914.1</w:t>
            </w:r>
          </w:p>
        </w:tc>
        <w:tc>
          <w:tcPr>
            <w:tcW w:w="40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1,928.5</w:t>
            </w:r>
          </w:p>
        </w:tc>
      </w:tr>
      <w:tr>
        <w:trPr>
          <w:trHeight w:val="276"/>
        </w:trPr>
        <w:tc>
          <w:tcPr>
            <w:tcW w:w="83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Marine segment</w:t>
            </w:r>
          </w:p>
        </w:tc>
        <w:tc>
          <w:tcPr>
            <w:tcW w:w="44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1,249.8</w:t>
            </w:r>
          </w:p>
        </w:tc>
        <w:tc>
          <w:tcPr>
            <w:tcW w:w="4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1,287.7</w:t>
            </w:r>
          </w:p>
        </w:tc>
      </w:tr>
      <w:tr>
        <w:trPr>
          <w:trHeight w:val="264"/>
        </w:trPr>
        <w:tc>
          <w:tcPr>
            <w:tcW w:w="832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Corporate</w:t>
            </w:r>
          </w:p>
        </w:tc>
        <w:tc>
          <w:tcPr>
            <w:tcW w:w="4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192.7</w:t>
            </w:r>
          </w:p>
        </w:tc>
        <w:tc>
          <w:tcPr>
            <w:tcW w:w="4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145.8</w:t>
            </w:r>
          </w:p>
        </w:tc>
      </w:tr>
      <w:tr>
        <w:trPr>
          <w:trHeight w:val="264"/>
        </w:trPr>
        <w:tc>
          <w:tcPr>
            <w:tcW w:w="8320" w:type="dxa"/>
            <w:vAlign w:val="bottom"/>
            <w:tcBorders>
              <w:bottom w:val="single" w:sz="8" w:color="auto"/>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5,263.6</w:t>
            </w:r>
          </w:p>
        </w:tc>
        <w:tc>
          <w:tcPr>
            <w:tcW w:w="4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5,412.6</w:t>
            </w:r>
          </w:p>
        </w:tc>
      </w:tr>
      <w:tr>
        <w:trPr>
          <w:trHeight w:val="20"/>
        </w:trPr>
        <w:tc>
          <w:tcPr>
            <w:tcW w:w="83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125" w:right="25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discussion should be read in conjunction with our 2016 10-K Report and the consolidated financial statements and related notes in “Item 1</w:t>
      </w:r>
    </w:p>
    <w:p>
      <w:pPr>
        <w:spacing w:after="0" w:line="4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Financial Statements” appearing elsewhere in this 10-Q Report. The following discussion may contain forward-looking statements, and our actual results may differ significantly from the results suggested by these forward-looking statements. Some factors that may cause our results to differ are disclosed in “Item 1A — Risk Factors” of our 2016 10-K Report.</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Certain statements made in this report and the information incorporated by reference in it, or made by us in other reports, filings with the Securities and Exchange Commission (“SEC”), press releases, teleconferences, industry conferences or otherwise, are “forward-looking statements” within the meaning of the Private Securities Litigation Reform Act of 1995. The forward-looking statements include, without limitation, any statement that may predict, forecast, indicate or imply future results, performance or achievements, and may contain the words “believe,” “anticipate,” “expect,” “estimate,” “project,” “could,” “would,” “will,” “will be,” “will continue,” “will likely result,” “plan,” or words or phrases of similar meaning.</w:t>
      </w:r>
    </w:p>
    <w:p>
      <w:pPr>
        <w:spacing w:after="0" w:line="173"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Forward-looking statements are estimates and projections reflecting our best judgment and involve risks, uncertainties or other factors relating to our operations and business environment, all of which are difficult to predict and many of which are beyond our control. The Company’s actual results may differ materially from the future results, performance or achievements expressed or implied by the forward-looking statements. These statements are based on our management’s expectations, beliefs and assumptions concerning future events affecting us, which in turn are based on currently available information.</w:t>
      </w:r>
    </w:p>
    <w:p>
      <w:pPr>
        <w:spacing w:after="0" w:line="154"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Examples of forward-looking statements in this 10-Q Report include, but are not limited to, our expectations about the conditions in the marine, land and aviation markets in 2017, cost reduction initiatives, the timing, cost and benefits of our multi-year project and upgrade of our Enterprise Resource Planning (“ERP”) platform, as well as expectations regarding military-related activity, our ability to continue growing market share in our land segment and our expectations about the effect of the acquisition on our aviation segment, as well as our business strategy, business prospects, operating results, effectiveness of internal controls to manage risk, working capital, liquidity, capital expenditure requirements and future acquisitions. These forward-looking statements are qualified in their entirety by cautionary statements and risk factor disclosures contained in the Company’s Securities and Exchange Commission filings, including the Company’s Annual Report on Form 10-K filed with the SEC on February 21, 2017. Important assumptions relating to the forward-looking statements include, among others, assumptions regarding our ability to effectively integrate and derive benefits from acquisitions, our ability to capitalize on new market opportunities, the demand for our products, the cost, terms and availability of fuel from suppliers, pricing levels, the timing and cost of capital expenditures, outcome of pending litigation, competitive conditions, general economic conditions and synergies relating to acquisitions, joint ventures and alliances. These assumptions could prove inaccurate. Although we believe that the estimates and projections reflected in the forward-looking statements are reasonable, our expectations may prove to be incorrect.</w:t>
      </w:r>
    </w:p>
    <w:p>
      <w:pPr>
        <w:spacing w:after="0" w:line="18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Important factors that could cause actual results to differ materially from the results and events anticipated or implied by such forward-looking statements include, but are not limited to:</w:t>
      </w:r>
    </w:p>
    <w:p>
      <w:pPr>
        <w:spacing w:after="0" w:line="170"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customer and counterparty creditworthiness and our ability to collect accounts receivable and settle derivative contracts;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the market price of fuel;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the political, economic or regulatory conditions generally and in the markets in which we operate;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failure to effectively hedge certain financial risks and the use of derivatives;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non-performance by counterparties or customers to derivative contracts;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credit terms extended to us from our suppliers;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non-performance of suppliers on their sale commitments and customers on their purchase commitments;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loss of, or reduced sales to a significant government customer;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non-performance of third-party service providers;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660" w:right="8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adverse conditions in the industries in which our customers operate, including a continuation of the global economic instability and its impact on the airline and shipping industries;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of cyber and other information security-related incidents;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currency exchange fluctuations;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currency and other global market impacts associated with United Kingdom ("U.K.") referendum vote to exit from the European Union;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failure of fuel and other products we sell to meet specifications;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manage growth;</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effectively integrate and derive benefits from acquired businesses;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material disruptions in the availability or supply of fuel;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environmental and other risks associated with the storage, transportation and delivery of petroleum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risks associated with operating in high risk locations;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uninsured losses;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realize the benefit of any cost savings;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of natural disasters, such as hurricanes;</w:t>
      </w:r>
    </w:p>
    <w:p>
      <w:pPr>
        <w:spacing w:after="0" w:line="225" w:lineRule="exact"/>
        <w:rPr>
          <w:rFonts w:ascii="Arial" w:cs="Arial" w:eastAsia="Arial" w:hAnsi="Arial"/>
          <w:sz w:val="18"/>
          <w:szCs w:val="18"/>
          <w:color w:val="auto"/>
        </w:rPr>
      </w:pPr>
    </w:p>
    <w:p>
      <w:pPr>
        <w:ind w:left="660" w:right="4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failure to comply with restrictions and covenants in our senior revolving credit facility (“Credit Facility”) and our senior term loans (“Term Loans”);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declines in the value and liquidity of cash equivalents and investments;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retain and attract senior management and other key employees;</w:t>
      </w:r>
    </w:p>
    <w:p>
      <w:pPr>
        <w:spacing w:after="0" w:line="225" w:lineRule="exact"/>
        <w:rPr>
          <w:rFonts w:ascii="Arial" w:cs="Arial" w:eastAsia="Arial" w:hAnsi="Arial"/>
          <w:sz w:val="18"/>
          <w:szCs w:val="18"/>
          <w:color w:val="auto"/>
        </w:rPr>
      </w:pPr>
    </w:p>
    <w:p>
      <w:pPr>
        <w:ind w:left="660" w:right="44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United States ("U.S.") or foreign tax laws, interpretations of such laws, or changes in the mix of taxable income among different tax jurisdictions;</w:t>
      </w:r>
    </w:p>
    <w:p>
      <w:pPr>
        <w:spacing w:after="0" w:line="170" w:lineRule="exact"/>
        <w:rPr>
          <w:rFonts w:ascii="Arial" w:cs="Arial" w:eastAsia="Arial" w:hAnsi="Arial"/>
          <w:sz w:val="18"/>
          <w:szCs w:val="18"/>
          <w:color w:val="auto"/>
        </w:rPr>
      </w:pPr>
    </w:p>
    <w:p>
      <w:pPr>
        <w:ind w:left="660" w:right="28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comply with U.S. and international laws and regulations including those related to anti-corruption, economic sanction programs and environmental matters;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increased levels of competition;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outcome of litigation and other proceedings, including the costs associated in defending any actions;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liquidity and solvency of banks within our Credit Facility and Term Loans;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increases in interest rates; and</w:t>
      </w:r>
    </w:p>
    <w:p>
      <w:pPr>
        <w:spacing w:after="0" w:line="225"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other risks, including those described in “Item 1A - Risk Factors” in our 2016 10-K Report and those described from time to time in our other filings with the SEC.</w:t>
      </w:r>
    </w:p>
    <w:p>
      <w:pPr>
        <w:spacing w:after="0" w:line="170"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We operate in a very competitive and rapidly changing environment. New risks emerge from time to time. It is not possible for us to predict all of those risks, nor can we assess the impact of all of those risks on our business or the extent to which any factor may cause actual results to differ materially from those contained in any forward-looking statement. The forward-looking statements in this 10-Q Report are based on assumptions management believes are reasonable. However, due to the uncertainties associated with forward looking statements, you should not place undue reliance on any forward-looking statements. Further, forward-looking statements speak only as of the date they are made, and unless required by law, we expressly disclaim any</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obligation or undertaking to publicly update any of them in light of new information, future events, or otherwise. Any public statements or disclosures by the Company following this report that modify or impact any of the forward-looking statements contained in or accompanying this 10-Q Report will be deemed to modify or supersede such forward-looking statements.</w:t>
      </w:r>
    </w:p>
    <w:p>
      <w:pPr>
        <w:spacing w:after="0" w:line="18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For these statements, we claim the protection of the safe harbor for forward-looking statements contained in Section 27A of the Securities Act of 1933, as amended, and Section 21E of the Securities Exchange Act.</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Business Overview</w:t>
      </w:r>
    </w:p>
    <w:p>
      <w:pPr>
        <w:spacing w:after="0" w:line="22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are a global energy management company involved in providing energy procurement advisory services, supply fulfillment and transaction and payment management solutions to commercial and industrial customers, principally in the aviation, marine and land transportation industries. We compete by providing our customers with value-added benefits, including single-supplier convenience, competitive pricing, the availability of trade credit, price risk management, logistical support, fuel quality control and fuel procurement outsourcing.</w:t>
      </w:r>
    </w:p>
    <w:p>
      <w:pPr>
        <w:spacing w:after="0" w:line="171"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Within our marine segment, the current price environment combined with limited market volatility has resulted in reduced demand for our price risk management products and an overall reduction in per unit margins. We expect that marine market conditions will remain weak for the remainder of 2017.</w:t>
      </w:r>
    </w:p>
    <w:p>
      <w:pPr>
        <w:spacing w:after="0" w:line="12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overall aviation market remains strong, reflecting healthy airline financial performance and strong overall demand. Our aviation segment has benefited from our increased logistics capability and expanded footprint, which we expect will further benefit from the acquisition of the aviation fueling operations at more than 80 airport locations in seven countries. In addition, a significant portion of our aviation business consists of providing fuel and related products and services to the U.S. and foreign governments. While we expect military-related activity to decline over time, the related contribution remains strong. Demand for these products and services is driven by global events and military-related activities and can therefore significantly change from period to period.</w:t>
      </w:r>
    </w:p>
    <w:p>
      <w:pPr>
        <w:spacing w:after="0" w:line="19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believe our land segment is well positioned to continue growing market share, both organically and through leveraging the capabilities of our acquisitions, serving to further enhance our commercial and industrial platforms to deliver value-added solutions to customers across the U.S. However, our land segment can be impacted by market and weather conditions, such as the warmer weather conditions experienced in the U.K. during the first quarter of 2017. In periods where we experience historically extreme or unseasonable weather conditions, demand for our products may be affected. The continuation of unusual weather conditions in the future could adversely impact our results of operations. Furthermore, adverse market conditions could impact our supply and trading activities and related results of operations and profitability.</w:t>
      </w:r>
    </w:p>
    <w:p>
      <w:pPr>
        <w:spacing w:after="0" w:line="193"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Finally, we may experience fluctuations in future sales volumes and profitability as a result of changes in the world economy, the transportation industry, as well as natural disasters and continued conflicts and instability in areas such as the Middle East. These, as well as other changes in the industries in which we operate, such as increased competition or changes in regulation, can also impact our results of operations and our ability to achieve historical margins.</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Reportable Segments</w:t>
      </w:r>
    </w:p>
    <w:p>
      <w:pPr>
        <w:spacing w:after="0" w:line="229"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We operate in three reportable segments consisting of aviation, marine and land. In our aviation segment, we offer fuel and related products and services to major commercial airlines, second and third tier airlines, cargo carriers, regional and low cost carriers, airports, fixed based operators, corporate fleets, fractional operators, private aircraft, military fleets and the U.S. and foreign governments as well as intergovernmental organizations. In our land segment, we offer fuel, lubricants, power and natural gas solutions through Kinect, our global energy management services platform, and related products and services to customers including petroleum distributors operating in the land transportation market, retail petroleum operators, and industrial, commercial, residential and government customers. Our marine segment product and service offerings include fuel, lubricants and related products and services to a broad base of customers, including international container and tanker fleets, commercial cruise lines, yachts and time charter operators, offshore rig owners and operators, the U.S. and foreign governments as well as other fuel suppliers. Within each of our segments we may enter into derivative contracts to mitigate the risk of market price fluctuations and also to offer our customers fuel pricing alternatives to meet their needs.</w:t>
      </w:r>
    </w:p>
    <w:p>
      <w:pPr>
        <w:spacing w:after="0" w:line="16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our aviation and land segments, we primarily purchase and resell fuel and other products, and we do not act as brokers. Profit from our aviation and land segments is primarily determined by the volume and the gross profit achieved on fuel sales and a percentage of card payment and processing revenue. In our marine segment, we primarily purchase and resell fuel and also act as brokers for others. Profit from our marine segment is determined primarily by the volume and gross profit achieved on fuel</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resales and by the volume and commission rate of the brokering business. Profitability in our segments also depends on our operating expenses, which may be significantly affected to the extent that we are required to provide for potential bad debt.</w:t>
      </w:r>
    </w:p>
    <w:p>
      <w:pPr>
        <w:spacing w:after="0" w:line="170"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Our revenue and cost of revenue are significantly impacted by fuel prices. Our operating results are subject to seasonal variability. Seasonality results from numerous factors, including traditionally higher demand for natural gas and home heating oil during the winter months and aviation and land fuel during the summer months, as well as other seasonal weather patterns. Additionally, significant movements in fuel prices during any given financial period can have a significant impact on our gross profit, either positively or negatively depending on the direction, volatility and timing of such price movements.</w:t>
      </w:r>
    </w:p>
    <w:p>
      <w:pPr>
        <w:spacing w:after="0" w:line="15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Corporate expenses are allocated to each segment based on usage, where possible, or on other factors according to the nature of the activity. We evaluate and manage our business segments using the performance measurement of income from operations.</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results of operations include the results of the fueling operations acquired from certain ExxonMobil affiliates in Italy, Germany, Australia and New Zealand during the first quarter of 2017.</w:t>
      </w:r>
    </w:p>
    <w:p>
      <w:pPr>
        <w:spacing w:after="0" w:line="130" w:lineRule="exact"/>
        <w:rPr>
          <w:sz w:val="20"/>
          <w:szCs w:val="20"/>
          <w:color w:val="auto"/>
        </w:rPr>
      </w:pPr>
    </w:p>
    <w:p>
      <w:pPr>
        <w:jc w:val="both"/>
        <w:ind w:firstLine="324"/>
        <w:spacing w:after="0" w:line="223" w:lineRule="exact"/>
        <w:rPr>
          <w:sz w:val="20"/>
          <w:szCs w:val="20"/>
          <w:color w:val="auto"/>
        </w:rPr>
      </w:pPr>
      <w:r>
        <w:rPr>
          <w:rFonts w:ascii="Arial" w:cs="Arial" w:eastAsia="Arial" w:hAnsi="Arial"/>
          <w:sz w:val="18"/>
          <w:szCs w:val="18"/>
          <w:color w:val="auto"/>
        </w:rPr>
        <w:t>Selected financial information with respect to our business segments is provided in Note 11 to the accompanying consolidated financial statements included in this 10</w:t>
      </w:r>
      <w:r>
        <w:rPr>
          <w:rFonts w:ascii="MS PGothic" w:cs="MS PGothic" w:eastAsia="MS PGothic" w:hAnsi="MS PGothic"/>
          <w:sz w:val="18"/>
          <w:szCs w:val="18"/>
          <w:color w:val="auto"/>
        </w:rPr>
        <w:t>‑</w:t>
      </w:r>
      <w:r>
        <w:rPr>
          <w:rFonts w:ascii="Arial" w:cs="Arial" w:eastAsia="Arial" w:hAnsi="Arial"/>
          <w:sz w:val="18"/>
          <w:szCs w:val="18"/>
          <w:color w:val="auto"/>
        </w:rPr>
        <w:t>Q Report.</w:t>
      </w:r>
    </w:p>
    <w:p>
      <w:pPr>
        <w:spacing w:after="0" w:line="19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Three Months Ended March 31, 2017 Compared to Three Months Ended March 31, 2016</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Our revenue for the first quarter of 2017 was $8.2 billion, an increase of $3.0 billion, or 57.9%, as compared to the first quarter of 2016. Our</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during these periods was attributable to the following segments (in millions):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6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2440" w:type="dxa"/>
            <w:vAlign w:val="bottom"/>
            <w:gridSpan w:val="3"/>
          </w:tcPr>
          <w:p>
            <w:pPr>
              <w:jc w:val="right"/>
              <w:ind w:right="36"/>
              <w:spacing w:after="0"/>
              <w:rPr>
                <w:sz w:val="20"/>
                <w:szCs w:val="20"/>
                <w:color w:val="auto"/>
              </w:rPr>
            </w:pPr>
            <w:r>
              <w:rPr>
                <w:rFonts w:ascii="Arial" w:cs="Arial" w:eastAsia="Arial" w:hAnsi="Arial"/>
                <w:sz w:val="14"/>
                <w:szCs w:val="14"/>
                <w:b w:val="1"/>
                <w:bCs w:val="1"/>
                <w:color w:val="auto"/>
              </w:rPr>
              <w:t>For the Three Months ended</w:t>
            </w:r>
          </w:p>
        </w:tc>
        <w:tc>
          <w:tcPr>
            <w:tcW w:w="44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76"/>
        </w:trPr>
        <w:tc>
          <w:tcPr>
            <w:tcW w:w="426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March 31,</w:t>
            </w: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64"/>
        </w:trPr>
        <w:tc>
          <w:tcPr>
            <w:tcW w:w="4260" w:type="dxa"/>
            <w:vAlign w:val="bottom"/>
            <w:tcBorders>
              <w:bottom w:val="single" w:sz="8" w:color="auto"/>
            </w:tcBorders>
          </w:tcPr>
          <w:p>
            <w:pPr>
              <w:spacing w:after="0"/>
              <w:rPr>
                <w:sz w:val="22"/>
                <w:szCs w:val="22"/>
                <w:color w:val="auto"/>
              </w:rPr>
            </w:pPr>
          </w:p>
        </w:tc>
        <w:tc>
          <w:tcPr>
            <w:tcW w:w="33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2017</w:t>
            </w:r>
          </w:p>
        </w:tc>
        <w:tc>
          <w:tcPr>
            <w:tcW w:w="4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2016</w:t>
            </w:r>
          </w:p>
        </w:tc>
        <w:tc>
          <w:tcPr>
            <w:tcW w:w="4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 Change</w:t>
            </w:r>
          </w:p>
        </w:tc>
      </w:tr>
      <w:tr>
        <w:trPr>
          <w:trHeight w:val="250"/>
        </w:trPr>
        <w:tc>
          <w:tcPr>
            <w:tcW w:w="4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Aviation segment</w:t>
            </w:r>
          </w:p>
        </w:tc>
        <w:tc>
          <w:tcPr>
            <w:tcW w:w="33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3,317.4</w:t>
            </w:r>
          </w:p>
        </w:tc>
        <w:tc>
          <w:tcPr>
            <w:tcW w:w="4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2,219.4</w:t>
            </w:r>
          </w:p>
        </w:tc>
        <w:tc>
          <w:tcPr>
            <w:tcW w:w="4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1,098.0</w:t>
            </w:r>
          </w:p>
        </w:tc>
      </w:tr>
      <w:tr>
        <w:trPr>
          <w:trHeight w:val="243"/>
        </w:trPr>
        <w:tc>
          <w:tcPr>
            <w:tcW w:w="4260" w:type="dxa"/>
            <w:vAlign w:val="bottom"/>
          </w:tcPr>
          <w:p>
            <w:pPr>
              <w:ind w:left="40"/>
              <w:spacing w:after="0"/>
              <w:rPr>
                <w:sz w:val="20"/>
                <w:szCs w:val="20"/>
                <w:color w:val="auto"/>
              </w:rPr>
            </w:pPr>
            <w:r>
              <w:rPr>
                <w:rFonts w:ascii="Arial" w:cs="Arial" w:eastAsia="Arial" w:hAnsi="Arial"/>
                <w:sz w:val="18"/>
                <w:szCs w:val="18"/>
                <w:color w:val="auto"/>
              </w:rPr>
              <w:t>Land segment</w:t>
            </w:r>
          </w:p>
        </w:tc>
        <w:tc>
          <w:tcPr>
            <w:tcW w:w="3360" w:type="dxa"/>
            <w:vAlign w:val="bottom"/>
          </w:tcPr>
          <w:p>
            <w:pPr>
              <w:spacing w:after="0"/>
              <w:rPr>
                <w:sz w:val="21"/>
                <w:szCs w:val="21"/>
                <w:color w:val="auto"/>
              </w:rPr>
            </w:pPr>
          </w:p>
        </w:tc>
        <w:tc>
          <w:tcPr>
            <w:tcW w:w="980" w:type="dxa"/>
            <w:vAlign w:val="bottom"/>
          </w:tcPr>
          <w:p>
            <w:pPr>
              <w:jc w:val="right"/>
              <w:ind w:right="36"/>
              <w:spacing w:after="0"/>
              <w:rPr>
                <w:sz w:val="20"/>
                <w:szCs w:val="20"/>
                <w:color w:val="auto"/>
              </w:rPr>
            </w:pPr>
            <w:r>
              <w:rPr>
                <w:rFonts w:ascii="Arial" w:cs="Arial" w:eastAsia="Arial" w:hAnsi="Arial"/>
                <w:sz w:val="18"/>
                <w:szCs w:val="18"/>
                <w:color w:val="auto"/>
              </w:rPr>
              <w:t>2,783.4</w:t>
            </w:r>
          </w:p>
        </w:tc>
        <w:tc>
          <w:tcPr>
            <w:tcW w:w="460" w:type="dxa"/>
            <w:vAlign w:val="bottom"/>
          </w:tcPr>
          <w:p>
            <w:pPr>
              <w:spacing w:after="0"/>
              <w:rPr>
                <w:sz w:val="21"/>
                <w:szCs w:val="21"/>
                <w:color w:val="auto"/>
              </w:rPr>
            </w:pPr>
          </w:p>
        </w:tc>
        <w:tc>
          <w:tcPr>
            <w:tcW w:w="1000" w:type="dxa"/>
            <w:vAlign w:val="bottom"/>
          </w:tcPr>
          <w:p>
            <w:pPr>
              <w:jc w:val="right"/>
              <w:ind w:right="36"/>
              <w:spacing w:after="0"/>
              <w:rPr>
                <w:sz w:val="20"/>
                <w:szCs w:val="20"/>
                <w:color w:val="auto"/>
              </w:rPr>
            </w:pPr>
            <w:r>
              <w:rPr>
                <w:rFonts w:ascii="Arial" w:cs="Arial" w:eastAsia="Arial" w:hAnsi="Arial"/>
                <w:sz w:val="18"/>
                <w:szCs w:val="18"/>
                <w:color w:val="auto"/>
              </w:rPr>
              <w:t>1,695.0</w:t>
            </w:r>
          </w:p>
        </w:tc>
        <w:tc>
          <w:tcPr>
            <w:tcW w:w="44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1,088.4</w:t>
            </w:r>
          </w:p>
        </w:tc>
      </w:tr>
      <w:tr>
        <w:trPr>
          <w:trHeight w:val="27"/>
        </w:trPr>
        <w:tc>
          <w:tcPr>
            <w:tcW w:w="4260" w:type="dxa"/>
            <w:vAlign w:val="bottom"/>
          </w:tcPr>
          <w:p>
            <w:pPr>
              <w:spacing w:after="0"/>
              <w:rPr>
                <w:sz w:val="2"/>
                <w:szCs w:val="2"/>
                <w:color w:val="auto"/>
              </w:rPr>
            </w:pPr>
          </w:p>
        </w:tc>
        <w:tc>
          <w:tcPr>
            <w:tcW w:w="3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5"/>
        </w:trPr>
        <w:tc>
          <w:tcPr>
            <w:tcW w:w="4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Marine segment</w:t>
            </w:r>
          </w:p>
        </w:tc>
        <w:tc>
          <w:tcPr>
            <w:tcW w:w="33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2,093.5</w:t>
            </w:r>
          </w:p>
        </w:tc>
        <w:tc>
          <w:tcPr>
            <w:tcW w:w="4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1,276.5</w:t>
            </w: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817.0</w:t>
            </w:r>
          </w:p>
        </w:tc>
      </w:tr>
      <w:tr>
        <w:trPr>
          <w:trHeight w:val="237"/>
        </w:trPr>
        <w:tc>
          <w:tcPr>
            <w:tcW w:w="4260" w:type="dxa"/>
            <w:vAlign w:val="bottom"/>
            <w:tcBorders>
              <w:top w:val="single" w:sz="8" w:color="auto"/>
            </w:tcBorders>
          </w:tcPr>
          <w:p>
            <w:pPr>
              <w:spacing w:after="0"/>
              <w:rPr>
                <w:sz w:val="20"/>
                <w:szCs w:val="20"/>
                <w:color w:val="auto"/>
              </w:rPr>
            </w:pPr>
          </w:p>
        </w:tc>
        <w:tc>
          <w:tcPr>
            <w:tcW w:w="336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8,194.3</w:t>
            </w:r>
          </w:p>
        </w:tc>
        <w:tc>
          <w:tcPr>
            <w:tcW w:w="4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5,190.8</w:t>
            </w:r>
          </w:p>
        </w:tc>
        <w:tc>
          <w:tcPr>
            <w:tcW w:w="4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3,003.5</w:t>
            </w:r>
          </w:p>
        </w:tc>
      </w:tr>
      <w:tr>
        <w:trPr>
          <w:trHeight w:val="27"/>
        </w:trPr>
        <w:tc>
          <w:tcPr>
            <w:tcW w:w="4260" w:type="dxa"/>
            <w:vAlign w:val="bottom"/>
            <w:tcBorders>
              <w:bottom w:val="single" w:sz="8" w:color="auto"/>
            </w:tcBorders>
          </w:tcPr>
          <w:p>
            <w:pPr>
              <w:spacing w:after="0"/>
              <w:rPr>
                <w:sz w:val="2"/>
                <w:szCs w:val="2"/>
                <w:color w:val="auto"/>
              </w:rPr>
            </w:pPr>
          </w:p>
        </w:tc>
        <w:tc>
          <w:tcPr>
            <w:tcW w:w="3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
        </w:trPr>
        <w:tc>
          <w:tcPr>
            <w:tcW w:w="4260" w:type="dxa"/>
            <w:vAlign w:val="bottom"/>
            <w:tcBorders>
              <w:bottom w:val="single" w:sz="8" w:color="auto"/>
            </w:tcBorders>
          </w:tcPr>
          <w:p>
            <w:pPr>
              <w:spacing w:after="0" w:line="20" w:lineRule="exact"/>
              <w:rPr>
                <w:sz w:val="1"/>
                <w:szCs w:val="1"/>
                <w:color w:val="auto"/>
              </w:rPr>
            </w:pPr>
          </w:p>
        </w:tc>
        <w:tc>
          <w:tcPr>
            <w:tcW w:w="3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Revenues in our aviation segment were $3.3 billion for the first quarter of 2017, an increase of $1.1 billion, or 49.5% as compared to the first quarter of 2016. The increase in aviation revenues was driven by higher average jet fuel prices per gallon sold in the first quarter of 2017, where the average price per gallon sold was $1.69, as compared to $1.23 in the first quarter of 2016. The overall increase was also attributable to increased volumes, specifically within our core resale operations in North America. Volumes for the first quarter of 2017 were 1.8 billion gallons, an increase of 12.6%, as compared to the comparable prior year period.</w:t>
      </w:r>
    </w:p>
    <w:p>
      <w:pPr>
        <w:spacing w:after="0" w:line="18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Revenues in our land segment were $2.8 billion for the first quarter of 2017, an increase of $1.1 billion, or 64.2%, as compared to the first quarter of 2016. The increase in land revenues primarily resulted from a 284 million gallon volume increase in our land segment to 1.5 billion gallons for the first quarter of 2017, an increase of 23.4%, primarily attributable to acquired businesses and a higher average fuel price per gallon sold in the first quarter of 2017, as compared to the first quarter of 2016.</w:t>
      </w:r>
    </w:p>
    <w:p>
      <w:pPr>
        <w:spacing w:after="0" w:line="18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Revenues in our marine segment were $2.1 billion for the first quarter of 2017, an increase of $817.0 million, or 64.0%, as compared to the first quarter of 2016. The increase was driven by higher average fuel prices, where we experienced a 83.9% increase in the average price per metric ton sold, to $306.4 in the first quarter of 2017 as compared to $166.6 in the first quarter of 2016. Volumes in our marine segment declined 10.8% to 6.8 million metric tons for the first quarter of 2017, as compared to the 2016 period, driven principally by lower volumes in Asia and the continued weakness in the overall maritime industry.</w:t>
      </w:r>
    </w:p>
    <w:p>
      <w:pPr>
        <w:spacing w:after="0" w:line="188"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Our gross profit for the first quarter of 2017 was $231.4 million, an increase of $9.9 million, or 4.5%, as compared to the first quarter of</w:t>
      </w:r>
      <w:r>
        <w:rPr>
          <w:rFonts w:ascii="Arial" w:cs="Arial" w:eastAsia="Arial" w:hAnsi="Arial"/>
          <w:sz w:val="18"/>
          <w:szCs w:val="18"/>
          <w:i w:val="1"/>
          <w:iCs w:val="1"/>
          <w:color w:val="auto"/>
        </w:rPr>
        <w:t xml:space="preserve"> </w:t>
      </w:r>
      <w:r>
        <w:rPr>
          <w:rFonts w:ascii="Arial" w:cs="Arial" w:eastAsia="Arial" w:hAnsi="Arial"/>
          <w:sz w:val="18"/>
          <w:szCs w:val="18"/>
          <w:color w:val="auto"/>
        </w:rPr>
        <w:t>2016. Our gross profit during these periods was attributable to the following segments (in millions):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3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2240" w:type="dxa"/>
            <w:vAlign w:val="bottom"/>
            <w:gridSpan w:val="3"/>
          </w:tcPr>
          <w:p>
            <w:pPr>
              <w:jc w:val="right"/>
              <w:ind w:right="36"/>
              <w:spacing w:after="0"/>
              <w:rPr>
                <w:sz w:val="20"/>
                <w:szCs w:val="20"/>
                <w:color w:val="auto"/>
              </w:rPr>
            </w:pPr>
            <w:r>
              <w:rPr>
                <w:rFonts w:ascii="Arial" w:cs="Arial" w:eastAsia="Arial" w:hAnsi="Arial"/>
                <w:sz w:val="14"/>
                <w:szCs w:val="14"/>
                <w:b w:val="1"/>
                <w:bCs w:val="1"/>
                <w:color w:val="auto"/>
              </w:rPr>
              <w:t>For the Three Months ended</w:t>
            </w:r>
          </w:p>
        </w:tc>
        <w:tc>
          <w:tcPr>
            <w:tcW w:w="44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76"/>
        </w:trPr>
        <w:tc>
          <w:tcPr>
            <w:tcW w:w="432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March 31,</w:t>
            </w: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64"/>
        </w:trPr>
        <w:tc>
          <w:tcPr>
            <w:tcW w:w="4320" w:type="dxa"/>
            <w:vAlign w:val="bottom"/>
            <w:tcBorders>
              <w:bottom w:val="single" w:sz="8" w:color="auto"/>
            </w:tcBorders>
          </w:tcPr>
          <w:p>
            <w:pPr>
              <w:spacing w:after="0"/>
              <w:rPr>
                <w:sz w:val="22"/>
                <w:szCs w:val="22"/>
                <w:color w:val="auto"/>
              </w:rPr>
            </w:pPr>
          </w:p>
        </w:tc>
        <w:tc>
          <w:tcPr>
            <w:tcW w:w="35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2017</w:t>
            </w:r>
          </w:p>
        </w:tc>
        <w:tc>
          <w:tcPr>
            <w:tcW w:w="4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2016</w:t>
            </w:r>
          </w:p>
        </w:tc>
        <w:tc>
          <w:tcPr>
            <w:tcW w:w="4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 Change</w:t>
            </w:r>
          </w:p>
        </w:tc>
      </w:tr>
      <w:tr>
        <w:trPr>
          <w:trHeight w:val="250"/>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Aviation segment</w:t>
            </w:r>
          </w:p>
        </w:tc>
        <w:tc>
          <w:tcPr>
            <w:tcW w:w="3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100.0</w:t>
            </w:r>
          </w:p>
        </w:tc>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88.7</w:t>
            </w:r>
          </w:p>
        </w:tc>
        <w:tc>
          <w:tcPr>
            <w:tcW w:w="4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11.3</w:t>
            </w:r>
          </w:p>
        </w:tc>
      </w:tr>
      <w:tr>
        <w:trPr>
          <w:trHeight w:val="243"/>
        </w:trPr>
        <w:tc>
          <w:tcPr>
            <w:tcW w:w="4320" w:type="dxa"/>
            <w:vAlign w:val="bottom"/>
          </w:tcPr>
          <w:p>
            <w:pPr>
              <w:ind w:left="40"/>
              <w:spacing w:after="0"/>
              <w:rPr>
                <w:sz w:val="20"/>
                <w:szCs w:val="20"/>
                <w:color w:val="auto"/>
              </w:rPr>
            </w:pPr>
            <w:r>
              <w:rPr>
                <w:rFonts w:ascii="Arial" w:cs="Arial" w:eastAsia="Arial" w:hAnsi="Arial"/>
                <w:sz w:val="18"/>
                <w:szCs w:val="18"/>
                <w:color w:val="auto"/>
              </w:rPr>
              <w:t>Land segment</w:t>
            </w:r>
          </w:p>
        </w:tc>
        <w:tc>
          <w:tcPr>
            <w:tcW w:w="3500" w:type="dxa"/>
            <w:vAlign w:val="bottom"/>
          </w:tcPr>
          <w:p>
            <w:pPr>
              <w:spacing w:after="0"/>
              <w:rPr>
                <w:sz w:val="21"/>
                <w:szCs w:val="21"/>
                <w:color w:val="auto"/>
              </w:rPr>
            </w:pPr>
          </w:p>
        </w:tc>
        <w:tc>
          <w:tcPr>
            <w:tcW w:w="880" w:type="dxa"/>
            <w:vAlign w:val="bottom"/>
          </w:tcPr>
          <w:p>
            <w:pPr>
              <w:jc w:val="right"/>
              <w:ind w:right="36"/>
              <w:spacing w:after="0"/>
              <w:rPr>
                <w:sz w:val="20"/>
                <w:szCs w:val="20"/>
                <w:color w:val="auto"/>
              </w:rPr>
            </w:pPr>
            <w:r>
              <w:rPr>
                <w:rFonts w:ascii="Arial" w:cs="Arial" w:eastAsia="Arial" w:hAnsi="Arial"/>
                <w:sz w:val="18"/>
                <w:szCs w:val="18"/>
                <w:color w:val="auto"/>
              </w:rPr>
              <w:t>97.8</w:t>
            </w:r>
          </w:p>
        </w:tc>
        <w:tc>
          <w:tcPr>
            <w:tcW w:w="420" w:type="dxa"/>
            <w:vAlign w:val="bottom"/>
          </w:tcPr>
          <w:p>
            <w:pPr>
              <w:spacing w:after="0"/>
              <w:rPr>
                <w:sz w:val="21"/>
                <w:szCs w:val="21"/>
                <w:color w:val="auto"/>
              </w:rPr>
            </w:pPr>
          </w:p>
        </w:tc>
        <w:tc>
          <w:tcPr>
            <w:tcW w:w="940" w:type="dxa"/>
            <w:vAlign w:val="bottom"/>
          </w:tcPr>
          <w:p>
            <w:pPr>
              <w:jc w:val="right"/>
              <w:ind w:right="36"/>
              <w:spacing w:after="0"/>
              <w:rPr>
                <w:sz w:val="20"/>
                <w:szCs w:val="20"/>
                <w:color w:val="auto"/>
              </w:rPr>
            </w:pPr>
            <w:r>
              <w:rPr>
                <w:rFonts w:ascii="Arial" w:cs="Arial" w:eastAsia="Arial" w:hAnsi="Arial"/>
                <w:sz w:val="18"/>
                <w:szCs w:val="18"/>
                <w:color w:val="auto"/>
              </w:rPr>
              <w:t>93.6</w:t>
            </w:r>
          </w:p>
        </w:tc>
        <w:tc>
          <w:tcPr>
            <w:tcW w:w="44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4.2</w:t>
            </w:r>
          </w:p>
        </w:tc>
      </w:tr>
      <w:tr>
        <w:trPr>
          <w:trHeight w:val="27"/>
        </w:trPr>
        <w:tc>
          <w:tcPr>
            <w:tcW w:w="4320" w:type="dxa"/>
            <w:vAlign w:val="bottom"/>
          </w:tcPr>
          <w:p>
            <w:pPr>
              <w:spacing w:after="0"/>
              <w:rPr>
                <w:sz w:val="2"/>
                <w:szCs w:val="2"/>
                <w:color w:val="auto"/>
              </w:rPr>
            </w:pPr>
          </w:p>
        </w:tc>
        <w:tc>
          <w:tcPr>
            <w:tcW w:w="3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5"/>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Marine segment</w:t>
            </w:r>
          </w:p>
        </w:tc>
        <w:tc>
          <w:tcPr>
            <w:tcW w:w="35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33.6</w:t>
            </w: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39.2</w:t>
            </w: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37"/>
        </w:trPr>
        <w:tc>
          <w:tcPr>
            <w:tcW w:w="4320" w:type="dxa"/>
            <w:vAlign w:val="bottom"/>
            <w:tcBorders>
              <w:top w:val="single" w:sz="8" w:color="auto"/>
            </w:tcBorders>
          </w:tcPr>
          <w:p>
            <w:pPr>
              <w:spacing w:after="0"/>
              <w:rPr>
                <w:sz w:val="20"/>
                <w:szCs w:val="20"/>
                <w:color w:val="auto"/>
              </w:rPr>
            </w:pPr>
          </w:p>
        </w:tc>
        <w:tc>
          <w:tcPr>
            <w:tcW w:w="3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231.4</w:t>
            </w:r>
          </w:p>
        </w:tc>
        <w:tc>
          <w:tcPr>
            <w:tcW w:w="4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221.5</w:t>
            </w:r>
          </w:p>
        </w:tc>
        <w:tc>
          <w:tcPr>
            <w:tcW w:w="4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9.9</w:t>
            </w:r>
          </w:p>
        </w:tc>
      </w:tr>
      <w:tr>
        <w:trPr>
          <w:trHeight w:val="27"/>
        </w:trPr>
        <w:tc>
          <w:tcPr>
            <w:tcW w:w="4320" w:type="dxa"/>
            <w:vAlign w:val="bottom"/>
            <w:tcBorders>
              <w:bottom w:val="single" w:sz="8" w:color="auto"/>
            </w:tcBorders>
          </w:tcPr>
          <w:p>
            <w:pPr>
              <w:spacing w:after="0"/>
              <w:rPr>
                <w:sz w:val="2"/>
                <w:szCs w:val="2"/>
                <w:color w:val="auto"/>
              </w:rPr>
            </w:pPr>
          </w:p>
        </w:tc>
        <w:tc>
          <w:tcPr>
            <w:tcW w:w="3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
        </w:trPr>
        <w:tc>
          <w:tcPr>
            <w:tcW w:w="4320" w:type="dxa"/>
            <w:vAlign w:val="bottom"/>
            <w:tcBorders>
              <w:bottom w:val="single" w:sz="8" w:color="auto"/>
            </w:tcBorders>
          </w:tcPr>
          <w:p>
            <w:pPr>
              <w:spacing w:after="0" w:line="20" w:lineRule="exact"/>
              <w:rPr>
                <w:sz w:val="1"/>
                <w:szCs w:val="1"/>
                <w:color w:val="auto"/>
              </w:rPr>
            </w:pPr>
          </w:p>
        </w:tc>
        <w:tc>
          <w:tcPr>
            <w:tcW w:w="3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aviation segment gross profit for the first quarter of 2017 was $100.0 million, an increase of $11.3 million, or 12.7%, as compared to the first quarter of 2016. The increase in aviation gross profit was primarily due to volume increases in the core resale business in North America and increases in U.S. and foreign military-related activity. As it relates to the ExxonMobil transaction, we expect this transaction to begin making profit contributions during the second quarter of 2017.</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land segment gross profit for the first quarter of 2017 was $97.8 million, an increase of $4.2 million, or 4.5%, as compared to the first quarter of 2016. The increase in land segment gross profit is principally attributable to recently acquired businesses, net of dispositions, which is offset by lower profitability in the U.K. - as a result of warmer weather conditions, as compared to the prior year. Increases in our land segment were also partially offset by lower profitability related to our supply and trading activities in the U.S.</w:t>
      </w:r>
    </w:p>
    <w:p>
      <w:pPr>
        <w:spacing w:after="0" w:line="187"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Our marine segment gross profit for the first quarter of 2017 was $33.6 million, a decrease of $5.5 million, or 14.2%, as compared to the first quarter of 2016. The gross profit decline was principally driven by reduced volume and margins in our core business, impacted, in large part, by lower profits from the sale of price risk management products to our marine customers, which has been adversely impacted by the limited price volatility. Our marine segment continued to be adversely impacted by the prolonged weakness in the overall maritime industry during the first quarter of 2017, however, the cost reduction activities we executed contributed to the improved operating efficiency of the marine business.</w:t>
      </w:r>
    </w:p>
    <w:p>
      <w:pPr>
        <w:spacing w:after="0" w:line="17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Operating Expenses. </w:t>
      </w:r>
      <w:r>
        <w:rPr>
          <w:rFonts w:ascii="Arial" w:cs="Arial" w:eastAsia="Arial" w:hAnsi="Arial"/>
          <w:sz w:val="18"/>
          <w:szCs w:val="18"/>
          <w:color w:val="auto"/>
        </w:rPr>
        <w:t>Total operating expenses for the first quarter of 2017 were $181.1 million, an increase of $20.7 million, or 12.9%, as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the first quarter of 2016. The total increase in operating expenses was associated with acquired businesses, primarily within our land segment. The following table sets forth our expense categories (in millions):</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8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2360" w:type="dxa"/>
            <w:vAlign w:val="bottom"/>
            <w:gridSpan w:val="3"/>
          </w:tcPr>
          <w:p>
            <w:pPr>
              <w:jc w:val="right"/>
              <w:ind w:right="36"/>
              <w:spacing w:after="0"/>
              <w:rPr>
                <w:sz w:val="20"/>
                <w:szCs w:val="20"/>
                <w:color w:val="auto"/>
              </w:rPr>
            </w:pPr>
            <w:r>
              <w:rPr>
                <w:rFonts w:ascii="Arial" w:cs="Arial" w:eastAsia="Arial" w:hAnsi="Arial"/>
                <w:sz w:val="14"/>
                <w:szCs w:val="14"/>
                <w:b w:val="1"/>
                <w:bCs w:val="1"/>
                <w:color w:val="auto"/>
              </w:rPr>
              <w:t>For the Three Months ended</w:t>
            </w:r>
          </w:p>
        </w:tc>
        <w:tc>
          <w:tcPr>
            <w:tcW w:w="44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76"/>
        </w:trPr>
        <w:tc>
          <w:tcPr>
            <w:tcW w:w="498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March 31,</w:t>
            </w: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64"/>
        </w:trPr>
        <w:tc>
          <w:tcPr>
            <w:tcW w:w="4980" w:type="dxa"/>
            <w:vAlign w:val="bottom"/>
            <w:tcBorders>
              <w:bottom w:val="single" w:sz="8" w:color="auto"/>
            </w:tcBorders>
          </w:tcPr>
          <w:p>
            <w:pPr>
              <w:spacing w:after="0"/>
              <w:rPr>
                <w:sz w:val="22"/>
                <w:szCs w:val="22"/>
                <w:color w:val="auto"/>
              </w:rPr>
            </w:pPr>
          </w:p>
        </w:tc>
        <w:tc>
          <w:tcPr>
            <w:tcW w:w="27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2017</w:t>
            </w:r>
          </w:p>
        </w:tc>
        <w:tc>
          <w:tcPr>
            <w:tcW w:w="4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2016</w:t>
            </w:r>
          </w:p>
        </w:tc>
        <w:tc>
          <w:tcPr>
            <w:tcW w:w="4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 Change</w:t>
            </w:r>
          </w:p>
        </w:tc>
      </w:tr>
      <w:tr>
        <w:trPr>
          <w:trHeight w:val="25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Compensation and employee benefits</w:t>
            </w:r>
          </w:p>
        </w:tc>
        <w:tc>
          <w:tcPr>
            <w:tcW w:w="27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104.5</w:t>
            </w:r>
          </w:p>
        </w:tc>
        <w:tc>
          <w:tcPr>
            <w:tcW w:w="4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95.9</w:t>
            </w:r>
          </w:p>
        </w:tc>
        <w:tc>
          <w:tcPr>
            <w:tcW w:w="4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8.7</w:t>
            </w:r>
          </w:p>
        </w:tc>
      </w:tr>
      <w:tr>
        <w:trPr>
          <w:trHeight w:val="243"/>
        </w:trPr>
        <w:tc>
          <w:tcPr>
            <w:tcW w:w="4980" w:type="dxa"/>
            <w:vAlign w:val="bottom"/>
          </w:tcPr>
          <w:p>
            <w:pPr>
              <w:ind w:left="40"/>
              <w:spacing w:after="0"/>
              <w:rPr>
                <w:sz w:val="20"/>
                <w:szCs w:val="20"/>
                <w:color w:val="auto"/>
              </w:rPr>
            </w:pPr>
            <w:r>
              <w:rPr>
                <w:rFonts w:ascii="Arial" w:cs="Arial" w:eastAsia="Arial" w:hAnsi="Arial"/>
                <w:sz w:val="18"/>
                <w:szCs w:val="18"/>
                <w:color w:val="auto"/>
              </w:rPr>
              <w:t>Provision for bad debt</w:t>
            </w:r>
          </w:p>
        </w:tc>
        <w:tc>
          <w:tcPr>
            <w:tcW w:w="2720" w:type="dxa"/>
            <w:vAlign w:val="bottom"/>
          </w:tcPr>
          <w:p>
            <w:pPr>
              <w:spacing w:after="0"/>
              <w:rPr>
                <w:sz w:val="21"/>
                <w:szCs w:val="21"/>
                <w:color w:val="auto"/>
              </w:rPr>
            </w:pPr>
          </w:p>
        </w:tc>
        <w:tc>
          <w:tcPr>
            <w:tcW w:w="900" w:type="dxa"/>
            <w:vAlign w:val="bottom"/>
          </w:tcPr>
          <w:p>
            <w:pPr>
              <w:jc w:val="right"/>
              <w:ind w:right="36"/>
              <w:spacing w:after="0"/>
              <w:rPr>
                <w:sz w:val="20"/>
                <w:szCs w:val="20"/>
                <w:color w:val="auto"/>
              </w:rPr>
            </w:pPr>
            <w:r>
              <w:rPr>
                <w:rFonts w:ascii="Arial" w:cs="Arial" w:eastAsia="Arial" w:hAnsi="Arial"/>
                <w:sz w:val="18"/>
                <w:szCs w:val="18"/>
                <w:color w:val="auto"/>
              </w:rPr>
              <w:t>2.5</w:t>
            </w:r>
          </w:p>
        </w:tc>
        <w:tc>
          <w:tcPr>
            <w:tcW w:w="460" w:type="dxa"/>
            <w:vAlign w:val="bottom"/>
          </w:tcPr>
          <w:p>
            <w:pPr>
              <w:spacing w:after="0"/>
              <w:rPr>
                <w:sz w:val="21"/>
                <w:szCs w:val="21"/>
                <w:color w:val="auto"/>
              </w:rPr>
            </w:pPr>
          </w:p>
        </w:tc>
        <w:tc>
          <w:tcPr>
            <w:tcW w:w="1000" w:type="dxa"/>
            <w:vAlign w:val="bottom"/>
          </w:tcPr>
          <w:p>
            <w:pPr>
              <w:jc w:val="right"/>
              <w:ind w:right="36"/>
              <w:spacing w:after="0"/>
              <w:rPr>
                <w:sz w:val="20"/>
                <w:szCs w:val="20"/>
                <w:color w:val="auto"/>
              </w:rPr>
            </w:pPr>
            <w:r>
              <w:rPr>
                <w:rFonts w:ascii="Arial" w:cs="Arial" w:eastAsia="Arial" w:hAnsi="Arial"/>
                <w:sz w:val="18"/>
                <w:szCs w:val="18"/>
                <w:color w:val="auto"/>
              </w:rPr>
              <w:t>1.5</w:t>
            </w:r>
          </w:p>
        </w:tc>
        <w:tc>
          <w:tcPr>
            <w:tcW w:w="44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1.0</w:t>
            </w:r>
          </w:p>
        </w:tc>
      </w:tr>
      <w:tr>
        <w:trPr>
          <w:trHeight w:val="27"/>
        </w:trPr>
        <w:tc>
          <w:tcPr>
            <w:tcW w:w="49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5"/>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27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74.1</w:t>
            </w:r>
          </w:p>
        </w:tc>
        <w:tc>
          <w:tcPr>
            <w:tcW w:w="4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63.1</w:t>
            </w: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11.0</w:t>
            </w:r>
          </w:p>
        </w:tc>
      </w:tr>
      <w:tr>
        <w:trPr>
          <w:trHeight w:val="237"/>
        </w:trPr>
        <w:tc>
          <w:tcPr>
            <w:tcW w:w="4980" w:type="dxa"/>
            <w:vAlign w:val="bottom"/>
            <w:tcBorders>
              <w:top w:val="single" w:sz="8" w:color="auto"/>
            </w:tcBorders>
          </w:tcPr>
          <w:p>
            <w:pPr>
              <w:spacing w:after="0"/>
              <w:rPr>
                <w:sz w:val="20"/>
                <w:szCs w:val="20"/>
                <w:color w:val="auto"/>
              </w:rPr>
            </w:pPr>
          </w:p>
        </w:tc>
        <w:tc>
          <w:tcPr>
            <w:tcW w:w="272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181.1</w:t>
            </w:r>
          </w:p>
        </w:tc>
        <w:tc>
          <w:tcPr>
            <w:tcW w:w="4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160.5</w:t>
            </w:r>
          </w:p>
        </w:tc>
        <w:tc>
          <w:tcPr>
            <w:tcW w:w="4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20.7</w:t>
            </w:r>
          </w:p>
        </w:tc>
      </w:tr>
      <w:tr>
        <w:trPr>
          <w:trHeight w:val="27"/>
        </w:trPr>
        <w:tc>
          <w:tcPr>
            <w:tcW w:w="498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
        </w:trPr>
        <w:tc>
          <w:tcPr>
            <w:tcW w:w="4980" w:type="dxa"/>
            <w:vAlign w:val="bottom"/>
            <w:tcBorders>
              <w:bottom w:val="single" w:sz="8" w:color="auto"/>
            </w:tcBorders>
          </w:tcPr>
          <w:p>
            <w:pPr>
              <w:spacing w:after="0" w:line="20" w:lineRule="exact"/>
              <w:rPr>
                <w:sz w:val="1"/>
                <w:szCs w:val="1"/>
                <w:color w:val="auto"/>
              </w:rPr>
            </w:pPr>
          </w:p>
        </w:tc>
        <w:tc>
          <w:tcPr>
            <w:tcW w:w="27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Income from Operations</w:t>
      </w:r>
      <w:r>
        <w:rPr>
          <w:rFonts w:ascii="Arial" w:cs="Arial" w:eastAsia="Arial" w:hAnsi="Arial"/>
          <w:sz w:val="18"/>
          <w:szCs w:val="18"/>
          <w:color w:val="auto"/>
        </w:rPr>
        <w:t>. Income from operations during these periods was attributable to the following segments (in millions):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4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2340" w:type="dxa"/>
            <w:vAlign w:val="bottom"/>
            <w:gridSpan w:val="3"/>
          </w:tcPr>
          <w:p>
            <w:pPr>
              <w:jc w:val="right"/>
              <w:ind w:right="34"/>
              <w:spacing w:after="0"/>
              <w:rPr>
                <w:sz w:val="20"/>
                <w:szCs w:val="20"/>
                <w:color w:val="auto"/>
              </w:rPr>
            </w:pPr>
            <w:r>
              <w:rPr>
                <w:rFonts w:ascii="Arial" w:cs="Arial" w:eastAsia="Arial" w:hAnsi="Arial"/>
                <w:sz w:val="14"/>
                <w:szCs w:val="14"/>
                <w:b w:val="1"/>
                <w:bCs w:val="1"/>
                <w:color w:val="auto"/>
              </w:rPr>
              <w:t>For the Three Months ended</w:t>
            </w:r>
          </w:p>
        </w:tc>
        <w:tc>
          <w:tcPr>
            <w:tcW w:w="44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76"/>
        </w:trPr>
        <w:tc>
          <w:tcPr>
            <w:tcW w:w="404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March 31,</w:t>
            </w: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64"/>
        </w:trPr>
        <w:tc>
          <w:tcPr>
            <w:tcW w:w="4040" w:type="dxa"/>
            <w:vAlign w:val="bottom"/>
            <w:tcBorders>
              <w:bottom w:val="single" w:sz="8" w:color="auto"/>
            </w:tcBorders>
          </w:tcPr>
          <w:p>
            <w:pPr>
              <w:spacing w:after="0"/>
              <w:rPr>
                <w:sz w:val="22"/>
                <w:szCs w:val="22"/>
                <w:color w:val="auto"/>
              </w:rPr>
            </w:pPr>
          </w:p>
        </w:tc>
        <w:tc>
          <w:tcPr>
            <w:tcW w:w="36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2017</w:t>
            </w:r>
          </w:p>
        </w:tc>
        <w:tc>
          <w:tcPr>
            <w:tcW w:w="4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2016</w:t>
            </w:r>
          </w:p>
        </w:tc>
        <w:tc>
          <w:tcPr>
            <w:tcW w:w="4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rPr>
              <w:t>$ Change</w:t>
            </w: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Aviation segment</w:t>
            </w:r>
          </w:p>
        </w:tc>
        <w:tc>
          <w:tcPr>
            <w:tcW w:w="368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40.4</w:t>
            </w:r>
          </w:p>
        </w:tc>
        <w:tc>
          <w:tcPr>
            <w:tcW w:w="4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34.0</w:t>
            </w:r>
          </w:p>
        </w:tc>
        <w:tc>
          <w:tcPr>
            <w:tcW w:w="4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6.4</w:t>
            </w:r>
          </w:p>
        </w:tc>
      </w:tr>
      <w:tr>
        <w:trPr>
          <w:trHeight w:val="243"/>
        </w:trPr>
        <w:tc>
          <w:tcPr>
            <w:tcW w:w="4040" w:type="dxa"/>
            <w:vAlign w:val="bottom"/>
          </w:tcPr>
          <w:p>
            <w:pPr>
              <w:ind w:left="40"/>
              <w:spacing w:after="0"/>
              <w:rPr>
                <w:sz w:val="20"/>
                <w:szCs w:val="20"/>
                <w:color w:val="auto"/>
              </w:rPr>
            </w:pPr>
            <w:r>
              <w:rPr>
                <w:rFonts w:ascii="Arial" w:cs="Arial" w:eastAsia="Arial" w:hAnsi="Arial"/>
                <w:sz w:val="18"/>
                <w:szCs w:val="18"/>
                <w:color w:val="auto"/>
              </w:rPr>
              <w:t>Land segment</w:t>
            </w:r>
          </w:p>
        </w:tc>
        <w:tc>
          <w:tcPr>
            <w:tcW w:w="3680" w:type="dxa"/>
            <w:vAlign w:val="bottom"/>
          </w:tcPr>
          <w:p>
            <w:pPr>
              <w:spacing w:after="0"/>
              <w:rPr>
                <w:sz w:val="21"/>
                <w:szCs w:val="21"/>
                <w:color w:val="auto"/>
              </w:rPr>
            </w:pPr>
          </w:p>
        </w:tc>
        <w:tc>
          <w:tcPr>
            <w:tcW w:w="900" w:type="dxa"/>
            <w:vAlign w:val="bottom"/>
          </w:tcPr>
          <w:p>
            <w:pPr>
              <w:jc w:val="right"/>
              <w:ind w:right="54"/>
              <w:spacing w:after="0"/>
              <w:rPr>
                <w:sz w:val="20"/>
                <w:szCs w:val="20"/>
                <w:color w:val="auto"/>
              </w:rPr>
            </w:pPr>
            <w:r>
              <w:rPr>
                <w:rFonts w:ascii="Arial" w:cs="Arial" w:eastAsia="Arial" w:hAnsi="Arial"/>
                <w:sz w:val="18"/>
                <w:szCs w:val="18"/>
                <w:color w:val="auto"/>
              </w:rPr>
              <w:t>21.4</w:t>
            </w:r>
          </w:p>
        </w:tc>
        <w:tc>
          <w:tcPr>
            <w:tcW w:w="440" w:type="dxa"/>
            <w:vAlign w:val="bottom"/>
          </w:tcPr>
          <w:p>
            <w:pPr>
              <w:spacing w:after="0"/>
              <w:rPr>
                <w:sz w:val="21"/>
                <w:szCs w:val="21"/>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34.0</w:t>
            </w: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(12.6)</w:t>
            </w:r>
          </w:p>
        </w:tc>
      </w:tr>
      <w:tr>
        <w:trPr>
          <w:trHeight w:val="27"/>
        </w:trPr>
        <w:tc>
          <w:tcPr>
            <w:tcW w:w="4040" w:type="dxa"/>
            <w:vAlign w:val="bottom"/>
          </w:tcPr>
          <w:p>
            <w:pPr>
              <w:spacing w:after="0"/>
              <w:rPr>
                <w:sz w:val="2"/>
                <w:szCs w:val="2"/>
                <w:color w:val="auto"/>
              </w:rPr>
            </w:pPr>
          </w:p>
        </w:tc>
        <w:tc>
          <w:tcPr>
            <w:tcW w:w="36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5"/>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Marine segment</w:t>
            </w:r>
          </w:p>
        </w:tc>
        <w:tc>
          <w:tcPr>
            <w:tcW w:w="36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8.3</w:t>
            </w:r>
          </w:p>
        </w:tc>
        <w:tc>
          <w:tcPr>
            <w:tcW w:w="4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11.4</w:t>
            </w: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37"/>
        </w:trPr>
        <w:tc>
          <w:tcPr>
            <w:tcW w:w="4040" w:type="dxa"/>
            <w:vAlign w:val="bottom"/>
            <w:tcBorders>
              <w:top w:val="single" w:sz="8" w:color="auto"/>
            </w:tcBorders>
          </w:tcPr>
          <w:p>
            <w:pPr>
              <w:spacing w:after="0"/>
              <w:rPr>
                <w:sz w:val="20"/>
                <w:szCs w:val="20"/>
                <w:color w:val="auto"/>
              </w:rPr>
            </w:pPr>
          </w:p>
        </w:tc>
        <w:tc>
          <w:tcPr>
            <w:tcW w:w="36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rPr>
              <w:t>70.1</w:t>
            </w:r>
          </w:p>
        </w:tc>
        <w:tc>
          <w:tcPr>
            <w:tcW w:w="4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79.4</w:t>
            </w:r>
          </w:p>
        </w:tc>
        <w:tc>
          <w:tcPr>
            <w:tcW w:w="4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w:t>
            </w:r>
          </w:p>
        </w:tc>
      </w:tr>
      <w:tr>
        <w:trPr>
          <w:trHeight w:val="27"/>
        </w:trPr>
        <w:tc>
          <w:tcPr>
            <w:tcW w:w="4040" w:type="dxa"/>
            <w:vAlign w:val="bottom"/>
          </w:tcPr>
          <w:p>
            <w:pPr>
              <w:spacing w:after="0"/>
              <w:rPr>
                <w:sz w:val="2"/>
                <w:szCs w:val="2"/>
                <w:color w:val="auto"/>
              </w:rPr>
            </w:pPr>
          </w:p>
        </w:tc>
        <w:tc>
          <w:tcPr>
            <w:tcW w:w="36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5"/>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overhead - unallocated</w:t>
            </w:r>
          </w:p>
        </w:tc>
        <w:tc>
          <w:tcPr>
            <w:tcW w:w="36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4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37"/>
        </w:trPr>
        <w:tc>
          <w:tcPr>
            <w:tcW w:w="4040" w:type="dxa"/>
            <w:vAlign w:val="bottom"/>
            <w:tcBorders>
              <w:top w:val="single" w:sz="8" w:color="auto"/>
            </w:tcBorders>
          </w:tcPr>
          <w:p>
            <w:pPr>
              <w:spacing w:after="0"/>
              <w:rPr>
                <w:sz w:val="20"/>
                <w:szCs w:val="20"/>
                <w:color w:val="auto"/>
              </w:rPr>
            </w:pPr>
          </w:p>
        </w:tc>
        <w:tc>
          <w:tcPr>
            <w:tcW w:w="368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rPr>
              <w:t>50.3</w:t>
            </w:r>
          </w:p>
        </w:tc>
        <w:tc>
          <w:tcPr>
            <w:tcW w:w="44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61.0</w:t>
            </w:r>
          </w:p>
        </w:tc>
        <w:tc>
          <w:tcPr>
            <w:tcW w:w="4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w:t>
            </w:r>
          </w:p>
        </w:tc>
      </w:tr>
      <w:tr>
        <w:trPr>
          <w:trHeight w:val="27"/>
        </w:trPr>
        <w:tc>
          <w:tcPr>
            <w:tcW w:w="4040" w:type="dxa"/>
            <w:vAlign w:val="bottom"/>
            <w:tcBorders>
              <w:bottom w:val="single" w:sz="8" w:color="auto"/>
            </w:tcBorders>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
        </w:trPr>
        <w:tc>
          <w:tcPr>
            <w:tcW w:w="4040" w:type="dxa"/>
            <w:vAlign w:val="bottom"/>
            <w:tcBorders>
              <w:bottom w:val="single" w:sz="8" w:color="auto"/>
            </w:tcBorders>
          </w:tcPr>
          <w:p>
            <w:pPr>
              <w:spacing w:after="0" w:line="20" w:lineRule="exact"/>
              <w:rPr>
                <w:sz w:val="1"/>
                <w:szCs w:val="1"/>
                <w:color w:val="auto"/>
              </w:rPr>
            </w:pPr>
          </w:p>
        </w:tc>
        <w:tc>
          <w:tcPr>
            <w:tcW w:w="36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656"/>
        </w:trPr>
        <w:tc>
          <w:tcPr>
            <w:tcW w:w="4040" w:type="dxa"/>
            <w:vAlign w:val="bottom"/>
          </w:tcPr>
          <w:p>
            <w:pPr>
              <w:spacing w:after="0"/>
              <w:rPr>
                <w:sz w:val="24"/>
                <w:szCs w:val="24"/>
                <w:color w:val="auto"/>
              </w:rPr>
            </w:pPr>
          </w:p>
        </w:tc>
        <w:tc>
          <w:tcPr>
            <w:tcW w:w="3680" w:type="dxa"/>
            <w:vAlign w:val="bottom"/>
          </w:tcPr>
          <w:p>
            <w:pPr>
              <w:jc w:val="right"/>
              <w:ind w:right="1830"/>
              <w:spacing w:after="0"/>
              <w:rPr>
                <w:sz w:val="20"/>
                <w:szCs w:val="20"/>
                <w:color w:val="auto"/>
              </w:rPr>
            </w:pPr>
            <w:r>
              <w:rPr>
                <w:rFonts w:ascii="Arial" w:cs="Arial" w:eastAsia="Arial" w:hAnsi="Arial"/>
                <w:sz w:val="18"/>
                <w:szCs w:val="18"/>
                <w:color w:val="auto"/>
              </w:rPr>
              <w:t>23</w:t>
            </w: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income from operations for the first quarter of 2017 was $50.3 million, a decrease of $10.7 million, or 17.6%, as compared to the first quarter of 2016. The decrease was attributable primarily to our land segment where unseasonably warm weather conditions, unfavorable foreign currency movements, and challenging market conditions, as compared to the prior year, negatively impacted our results. This decline was partially offset by stronger results in our aviation segment.</w:t>
      </w:r>
    </w:p>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Corporate overhead costs not charged to the business segments for the first quarter of 2017 were $19.8 million, an increase of $1.4 million, or 7.6%, as compared to the first quarter of 2016.</w:t>
      </w:r>
    </w:p>
    <w:p>
      <w:pPr>
        <w:spacing w:after="0" w:line="17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i w:val="1"/>
          <w:iCs w:val="1"/>
          <w:color w:val="auto"/>
        </w:rPr>
        <w:t xml:space="preserve">Non-Operating Expenses, net. </w:t>
      </w:r>
      <w:r>
        <w:rPr>
          <w:rFonts w:ascii="Arial" w:cs="Arial" w:eastAsia="Arial" w:hAnsi="Arial"/>
          <w:sz w:val="18"/>
          <w:szCs w:val="18"/>
          <w:color w:val="auto"/>
        </w:rPr>
        <w:t>For the first quarter of 2017, we had non-operating expenses, net of $14.3 million, an increase of $8.0 million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first quarter of 2016, driven principally by finance costs.</w:t>
      </w:r>
    </w:p>
    <w:p>
      <w:pPr>
        <w:spacing w:after="0" w:line="17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i w:val="1"/>
          <w:iCs w:val="1"/>
          <w:color w:val="auto"/>
        </w:rPr>
        <w:t>Income Taxes</w:t>
      </w:r>
      <w:r>
        <w:rPr>
          <w:rFonts w:ascii="Arial" w:cs="Arial" w:eastAsia="Arial" w:hAnsi="Arial"/>
          <w:sz w:val="17"/>
          <w:szCs w:val="17"/>
          <w:color w:val="auto"/>
        </w:rPr>
        <w:t>. For the first quarter of 2017, our effective income tax rate was 13.9% and our income tax provision was $5.0 million, as compared to an</w:t>
      </w:r>
      <w:r>
        <w:rPr>
          <w:rFonts w:ascii="Arial" w:cs="Arial" w:eastAsia="Arial" w:hAnsi="Arial"/>
          <w:sz w:val="17"/>
          <w:szCs w:val="17"/>
          <w:i w:val="1"/>
          <w:iCs w:val="1"/>
          <w:color w:val="auto"/>
        </w:rPr>
        <w:t xml:space="preserve"> </w:t>
      </w:r>
      <w:r>
        <w:rPr>
          <w:rFonts w:ascii="Arial" w:cs="Arial" w:eastAsia="Arial" w:hAnsi="Arial"/>
          <w:sz w:val="17"/>
          <w:szCs w:val="17"/>
          <w:color w:val="auto"/>
        </w:rPr>
        <w:t>effective income tax rate of 5.7% and an income tax provision of $3.1 million for the first quarter of 2016. The higher effective income tax rate for the first quarter of 2017 was impacted principally from differences in the results of our subsidiaries in tax jurisdictions with different income tax rates.</w:t>
      </w:r>
    </w:p>
    <w:p>
      <w:pPr>
        <w:spacing w:after="0" w:line="13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Net Loss Attributable to Noncontrolling Interest</w:t>
      </w:r>
      <w:r>
        <w:rPr>
          <w:rFonts w:ascii="Arial" w:cs="Arial" w:eastAsia="Arial" w:hAnsi="Arial"/>
          <w:sz w:val="18"/>
          <w:szCs w:val="18"/>
          <w:color w:val="auto"/>
        </w:rPr>
        <w:t>. For the first quarter of 2017, net loss attributable to noncontrolling interest was $0.3 million, an increase</w:t>
      </w:r>
      <w:r>
        <w:rPr>
          <w:rFonts w:ascii="Arial" w:cs="Arial" w:eastAsia="Arial" w:hAnsi="Arial"/>
          <w:sz w:val="18"/>
          <w:szCs w:val="18"/>
          <w:i w:val="1"/>
          <w:iCs w:val="1"/>
          <w:color w:val="auto"/>
        </w:rPr>
        <w:t xml:space="preserve"> </w:t>
      </w:r>
      <w:r>
        <w:rPr>
          <w:rFonts w:ascii="Arial" w:cs="Arial" w:eastAsia="Arial" w:hAnsi="Arial"/>
          <w:sz w:val="18"/>
          <w:szCs w:val="18"/>
          <w:color w:val="auto"/>
        </w:rPr>
        <w:t>of $0.2 million as compared to the first quarter of 2016.</w:t>
      </w:r>
    </w:p>
    <w:p>
      <w:pPr>
        <w:spacing w:after="0" w:line="14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Net Income and Diluted Earnings per Common Share</w:t>
      </w:r>
      <w:r>
        <w:rPr>
          <w:rFonts w:ascii="Arial" w:cs="Arial" w:eastAsia="Arial" w:hAnsi="Arial"/>
          <w:sz w:val="18"/>
          <w:szCs w:val="18"/>
          <w:color w:val="auto"/>
        </w:rPr>
        <w:t>. Our net income for the first quarter of 2017 was $31.3 million, a decrease of $20.4 million, or</w:t>
      </w:r>
      <w:r>
        <w:rPr>
          <w:rFonts w:ascii="Arial" w:cs="Arial" w:eastAsia="Arial" w:hAnsi="Arial"/>
          <w:sz w:val="18"/>
          <w:szCs w:val="18"/>
          <w:i w:val="1"/>
          <w:iCs w:val="1"/>
          <w:color w:val="auto"/>
        </w:rPr>
        <w:t xml:space="preserve"> </w:t>
      </w:r>
      <w:r>
        <w:rPr>
          <w:rFonts w:ascii="Arial" w:cs="Arial" w:eastAsia="Arial" w:hAnsi="Arial"/>
          <w:sz w:val="18"/>
          <w:szCs w:val="18"/>
          <w:color w:val="auto"/>
        </w:rPr>
        <w:t>39.5%, as compared to the first quarter of 2016. Diluted earnings per common share was $0.45 and $0.74 per common share for the first quarter of 2017 and 2016, respectively.</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Cash Flows</w:t>
      </w:r>
    </w:p>
    <w:p>
      <w:pPr>
        <w:spacing w:after="0" w:line="22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table reflects the major categories of cash flows for the three months ended March 31, 2017 and 2016 (in millions). For additional details, please see the consolidated statements of cash flows.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3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560" w:type="dxa"/>
            <w:vAlign w:val="bottom"/>
            <w:gridSpan w:val="3"/>
          </w:tcPr>
          <w:p>
            <w:pPr>
              <w:jc w:val="right"/>
              <w:ind w:right="17"/>
              <w:spacing w:after="0"/>
              <w:rPr>
                <w:sz w:val="20"/>
                <w:szCs w:val="20"/>
                <w:color w:val="auto"/>
              </w:rPr>
            </w:pPr>
            <w:r>
              <w:rPr>
                <w:rFonts w:ascii="Arial" w:cs="Arial" w:eastAsia="Arial" w:hAnsi="Arial"/>
                <w:sz w:val="14"/>
                <w:szCs w:val="14"/>
                <w:b w:val="1"/>
                <w:bCs w:val="1"/>
                <w:color w:val="auto"/>
              </w:rPr>
              <w:t>For the Three Months Ended</w:t>
            </w:r>
          </w:p>
        </w:tc>
      </w:tr>
      <w:tr>
        <w:trPr>
          <w:trHeight w:val="276"/>
        </w:trPr>
        <w:tc>
          <w:tcPr>
            <w:tcW w:w="836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rPr>
              <w:t>March 31,</w:t>
            </w:r>
          </w:p>
        </w:tc>
      </w:tr>
      <w:tr>
        <w:trPr>
          <w:trHeight w:val="264"/>
        </w:trPr>
        <w:tc>
          <w:tcPr>
            <w:tcW w:w="836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rPr>
              <w:t>2017</w:t>
            </w:r>
          </w:p>
        </w:tc>
        <w:tc>
          <w:tcPr>
            <w:tcW w:w="5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rPr>
              <w:t>2016</w:t>
            </w: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137.0</w:t>
            </w:r>
          </w:p>
        </w:tc>
        <w:tc>
          <w:tcPr>
            <w:tcW w:w="5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138.6</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5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(97.9)</w:t>
            </w:r>
          </w:p>
        </w:tc>
        <w:tc>
          <w:tcPr>
            <w:tcW w:w="5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(52.6)</w:t>
            </w:r>
          </w:p>
        </w:tc>
      </w:tr>
      <w:tr>
        <w:trPr>
          <w:trHeight w:val="27"/>
        </w:trPr>
        <w:tc>
          <w:tcPr>
            <w:tcW w:w="8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5"/>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provided by financing activities</w:t>
            </w:r>
          </w:p>
        </w:tc>
        <w:tc>
          <w:tcPr>
            <w:tcW w:w="5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(120.2)</w:t>
            </w:r>
          </w:p>
        </w:tc>
        <w:tc>
          <w:tcPr>
            <w:tcW w:w="5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19.6</w:t>
            </w:r>
          </w:p>
        </w:tc>
      </w:tr>
      <w:tr>
        <w:trPr>
          <w:trHeight w:val="20"/>
        </w:trPr>
        <w:tc>
          <w:tcPr>
            <w:tcW w:w="83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i w:val="1"/>
          <w:iCs w:val="1"/>
          <w:color w:val="auto"/>
        </w:rPr>
        <w:t xml:space="preserve">Operating Activities. </w:t>
      </w:r>
      <w:r>
        <w:rPr>
          <w:rFonts w:ascii="Arial" w:cs="Arial" w:eastAsia="Arial" w:hAnsi="Arial"/>
          <w:sz w:val="16"/>
          <w:szCs w:val="16"/>
          <w:color w:val="auto"/>
        </w:rPr>
        <w:t>For the three months ended March 31, 2017, net cash provided by operating activities was $137.0 million as compared to $138.6</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for the first three months of 2016. The $1.6 million decrease in operating cash flows was primarily due to year-over-year changes in net accounts receivables and accounts payables. Cash flows from net accounts receivable and accounts payable balances increased $133.2 million as a result of timing of payments to suppliers and fuel price changes. These increases were partially offset by declines in short-term derivative assets, net and the associated cash collateral we are required to post with our financial counterparties, as a result of limited price volatility resulting in reduced hedging activities.</w:t>
      </w:r>
    </w:p>
    <w:p>
      <w:pPr>
        <w:spacing w:after="0" w:line="15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Investing Activities. </w:t>
      </w:r>
      <w:r>
        <w:rPr>
          <w:rFonts w:ascii="Arial" w:cs="Arial" w:eastAsia="Arial" w:hAnsi="Arial"/>
          <w:sz w:val="18"/>
          <w:szCs w:val="18"/>
          <w:color w:val="auto"/>
        </w:rPr>
        <w:t>For the three months ended March 31, 2017, net cash used in investing activities was $97.9 million as compared to $52.6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first three months of 2016. The $45.4 million increase in cash used in investing activities was primarily due to an increase in the cash used for the acquisition of businesses.</w:t>
      </w:r>
    </w:p>
    <w:p>
      <w:pPr>
        <w:spacing w:after="0" w:line="18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For the three months ended March 31, 2017, net cash used in financing activities was $120.2 million as compared to $19.6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of net cash provided by financing activities for the first three months of 2016. The $139.9 million change was principally due to net repayments of borrowings under our credit facility in the first three months of 2017 as compared to the first three months of 2016 and $11.1 million in cash used for common stock repurchases in the first three months of 2017.</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Other Liquidity Measures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As of March 31, 2017 and December 31, 2016, we had cash and cash equivalents of $619.3 million and $698.6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 Our primary use of cash and cash equivalents are to fund working capital and strategic investments. We are usually extended unsecured trade credit from our suppliers for our fuel purchases. Increases in oil prices can</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125" w:right="239" w:bottom="1440" w:gutter="0" w:footer="0" w:header="0"/>
          <w:type w:val="continuous"/>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negatively affect liquidity by increasing the amount of cash needed to fund fuel purchases as well as reducing the amount of fuel which we can purchase on an unsecured basis from our suppliers.</w:t>
      </w:r>
    </w:p>
    <w:p>
      <w:pPr>
        <w:spacing w:after="0" w:line="17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 xml:space="preserve">Credit Facility and Term Loans. </w:t>
      </w:r>
      <w:r>
        <w:rPr>
          <w:rFonts w:ascii="Arial" w:cs="Arial" w:eastAsia="Arial" w:hAnsi="Arial"/>
          <w:sz w:val="18"/>
          <w:szCs w:val="18"/>
          <w:color w:val="auto"/>
        </w:rPr>
        <w:t>We had $840.0 million in Term Loans outstanding as of March 31, 2017 and December 31, 2016. We also have a Credit</w:t>
      </w:r>
      <w:r>
        <w:rPr>
          <w:rFonts w:ascii="Arial" w:cs="Arial" w:eastAsia="Arial" w:hAnsi="Arial"/>
          <w:sz w:val="18"/>
          <w:szCs w:val="18"/>
          <w:i w:val="1"/>
          <w:iCs w:val="1"/>
          <w:color w:val="auto"/>
        </w:rPr>
        <w:t xml:space="preserve"> </w:t>
      </w:r>
      <w:r>
        <w:rPr>
          <w:rFonts w:ascii="Arial" w:cs="Arial" w:eastAsia="Arial" w:hAnsi="Arial"/>
          <w:sz w:val="18"/>
          <w:szCs w:val="18"/>
          <w:color w:val="auto"/>
        </w:rPr>
        <w:t>Facility which permits borrowing up to $1.26 billion with a sublimit of $400.0 million for the issuance of letters of credit and bankers' acceptances. Under the Credit Facility, we have the right to request increases in available borrowings up to an additional $200.0 million, subject to the satisfaction of certain conditions. The credit facility matures in October 2021. We had outstanding borrowings under our Credit Facility totaling $225.0 million and $325.2 million as of March 31, 2017 and December 31, 2016, respectively. Our issued letters of credit under the Credit Facility totaled $11.2 million and $8.3 million as of March 31, 2017 and December 31, 2016, respectively. As of March 31, 2017 and December 31, 2016, the unused portion of our Credit Facility was $1.02 billion and $926.5 million, respectively.</w:t>
      </w:r>
    </w:p>
    <w:p>
      <w:pPr>
        <w:spacing w:after="0" w:line="18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liquidity, consisting of cash and cash equivalents and availability under the Credit Facility fluctuates based on a number of factors, including the timing of receipts from our customers and payments to our suppliers as well as commodity prices. Availability under our Credit Facility is also limited by, among other things our financial leverage ratio, which limits the total amount of indebtedness we may incur, and may therefore fluctuate from period to period.</w:t>
      </w:r>
    </w:p>
    <w:p>
      <w:pPr>
        <w:spacing w:after="0" w:line="187" w:lineRule="exact"/>
        <w:rPr>
          <w:sz w:val="20"/>
          <w:szCs w:val="20"/>
          <w:color w:val="auto"/>
        </w:rPr>
      </w:pPr>
    </w:p>
    <w:p>
      <w:pPr>
        <w:jc w:val="both"/>
        <w:ind w:firstLine="324"/>
        <w:spacing w:after="0" w:line="219" w:lineRule="exact"/>
        <w:rPr>
          <w:sz w:val="20"/>
          <w:szCs w:val="20"/>
          <w:color w:val="auto"/>
        </w:rPr>
      </w:pPr>
      <w:r>
        <w:rPr>
          <w:rFonts w:ascii="Arial" w:cs="Arial" w:eastAsia="Arial" w:hAnsi="Arial"/>
          <w:sz w:val="18"/>
          <w:szCs w:val="18"/>
          <w:color w:val="auto"/>
        </w:rPr>
        <w:t>Our Credit Facility and our Term Loans contain certain financial and other covenants with which we are required to comply. Our failure to comply with the covenants contained in our Credit Facility and our Term Loans could result in an event of default. An event of default, if not cured or waived, would permit acceleration of any outstanding indebtedness under the Credit Facility and our Term Loans, trigger cross</w:t>
      </w:r>
      <w:r>
        <w:rPr>
          <w:rFonts w:ascii="MS PGothic" w:cs="MS PGothic" w:eastAsia="MS PGothic" w:hAnsi="MS PGothic"/>
          <w:sz w:val="18"/>
          <w:szCs w:val="18"/>
          <w:color w:val="auto"/>
        </w:rPr>
        <w:t>‑</w:t>
      </w:r>
      <w:r>
        <w:rPr>
          <w:rFonts w:ascii="Arial" w:cs="Arial" w:eastAsia="Arial" w:hAnsi="Arial"/>
          <w:sz w:val="18"/>
          <w:szCs w:val="18"/>
          <w:color w:val="auto"/>
        </w:rPr>
        <w:t>defaults under certain other agreements to which we are a party and impair our ability to obtain working capital advances and issue letters of credit, which would have a material adverse effect on our business, financial condition, results of operations and cash flows. As of March 31, 2017, we were in compliance with all financial covenants contained in our Credit Facility and our Term Loans.</w:t>
      </w:r>
    </w:p>
    <w:p>
      <w:pPr>
        <w:spacing w:after="0" w:line="20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Other Agreements</w:t>
      </w:r>
      <w:r>
        <w:rPr>
          <w:rFonts w:ascii="Arial" w:cs="Arial" w:eastAsia="Arial" w:hAnsi="Arial"/>
          <w:sz w:val="18"/>
          <w:szCs w:val="18"/>
          <w:color w:val="auto"/>
        </w:rPr>
        <w:t>. Additionally, we have other uncommitted credit lines primarily for the issuance of letters of credit, bank guarantees and bankers’</w:t>
      </w:r>
      <w:r>
        <w:rPr>
          <w:rFonts w:ascii="Arial" w:cs="Arial" w:eastAsia="Arial" w:hAnsi="Arial"/>
          <w:sz w:val="18"/>
          <w:szCs w:val="18"/>
          <w:i w:val="1"/>
          <w:iCs w:val="1"/>
          <w:color w:val="auto"/>
        </w:rPr>
        <w:t xml:space="preserve"> </w:t>
      </w:r>
      <w:r>
        <w:rPr>
          <w:rFonts w:ascii="Arial" w:cs="Arial" w:eastAsia="Arial" w:hAnsi="Arial"/>
          <w:sz w:val="18"/>
          <w:szCs w:val="18"/>
          <w:color w:val="auto"/>
        </w:rPr>
        <w:t>acceptances. These credit lines are renewable on an annual basis and are subject to fees at market rates. As of March 31, 2017 and December 31, 2016, our outstanding letters of credit and bank guarantees under these credit lines totaled $183.2 million and $176.5 million, respectively. We also have Receivables Purchase Agreements (“RPAs”) that allow for the sale of up to an aggregate of $600.0 million of our accounts receivable. As of March 31, 2017, we had sold accounts receivable of $286.9 million under the RPAs.</w:t>
      </w:r>
    </w:p>
    <w:p>
      <w:pPr>
        <w:spacing w:after="0" w:line="18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Short-Term Debt</w:t>
      </w:r>
      <w:r>
        <w:rPr>
          <w:rFonts w:ascii="Arial" w:cs="Arial" w:eastAsia="Arial" w:hAnsi="Arial"/>
          <w:sz w:val="18"/>
          <w:szCs w:val="18"/>
          <w:color w:val="auto"/>
        </w:rPr>
        <w:t>. As of March 31, 2017, our short-term debt of $17.1 million primarily represents the current maturities (within the next twelve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of Term Loan borrowings, certain promissory notes related to acquisitions and capital lease obligations.</w:t>
      </w:r>
    </w:p>
    <w:p>
      <w:pPr>
        <w:spacing w:after="0" w:line="17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previously committed to undertake a multi-year project designed to drive greater improvement in operating efficiencies and optimize scalability designed to incorporate acquisitions that we may undertake in the future. We will accomplish this in part by a global design and deployment of an upgrade to our existing ERP platform. We are currently in the planning phase and the cost incurred during the first three months of 2017 was not considered significant. We expect the total cost of the project over the next three years to range between $30.0 million and $40.0 million.</w:t>
      </w:r>
    </w:p>
    <w:p>
      <w:pPr>
        <w:spacing w:after="0" w:line="17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believe that our cash and cash equivalents as of March 31, 2017 (of which $80.4 million was available for use by our U.S. subsidiaries without incurring additional costs) and available funds from our Credit Facility, together with cash flows generated by operations, remain sufficient to fund our working capital and capital expenditure requirements for at least the next twelve months. In addition, to further enhance our liquidity profile, we may choose to raise additional funds which may or may not be needed for additional working capital, capital expenditures or other strategic investments. Our opinions concerning liquidity are based on currently available information. To the extent this information proves to be inaccurate, or if circumstances change, future availability of trade credit or other sources of financing may be reduced and our liquidity would be adversely affected. Factors that may affect the availability of trade credit or other forms of financing include our financial performance (as measured by various factors, including cash provided by operating activities), the state of worldwide credit markets, and our levels of outstanding debt. Depending on the severity and direct impact of these factors on us, financing may be limited or unavailable on terms favorable to us.</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Contractual Obligations and Off-Balance Sheet Arrangements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Except for changes in the contractual obligations and off-balance sheet arrangements described below, there were no other material changes from December 31, 2016 to March 31, 2017. For a discussion of these matters, refer to “Contractual Obligations and Off-Balance Sheet Arrangements” in Item 7 of our 2016 10-K Report.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Derivative Obligations. </w:t>
      </w:r>
      <w:r>
        <w:rPr>
          <w:rFonts w:ascii="Arial" w:cs="Arial" w:eastAsia="Arial" w:hAnsi="Arial"/>
          <w:sz w:val="18"/>
          <w:szCs w:val="18"/>
          <w:color w:val="auto"/>
        </w:rPr>
        <w:t>As of March 31, 2017, our net derivative obligations were $25.5 million, principally due within one year.</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Purchase Commitment Obligations. </w:t>
      </w:r>
      <w:r>
        <w:rPr>
          <w:rFonts w:ascii="Arial" w:cs="Arial" w:eastAsia="Arial" w:hAnsi="Arial"/>
          <w:sz w:val="18"/>
          <w:szCs w:val="18"/>
          <w:color w:val="auto"/>
        </w:rPr>
        <w:t>As of March 31, 2017, fixed purchase commitments under our derivative programs amounted to $100.9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principally due within one year.</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Letters of Credit and Bank Guarantees. </w:t>
      </w:r>
      <w:r>
        <w:rPr>
          <w:rFonts w:ascii="Arial" w:cs="Arial" w:eastAsia="Arial" w:hAnsi="Arial"/>
          <w:sz w:val="18"/>
          <w:szCs w:val="18"/>
          <w:color w:val="auto"/>
        </w:rPr>
        <w:t>In the normal course of business, we are required to provide letters of credit to certain suppliers. A majority of</w:t>
      </w:r>
      <w:r>
        <w:rPr>
          <w:rFonts w:ascii="Arial" w:cs="Arial" w:eastAsia="Arial" w:hAnsi="Arial"/>
          <w:sz w:val="18"/>
          <w:szCs w:val="18"/>
          <w:i w:val="1"/>
          <w:iCs w:val="1"/>
          <w:color w:val="auto"/>
        </w:rPr>
        <w:t xml:space="preserve"> </w:t>
      </w:r>
      <w:r>
        <w:rPr>
          <w:rFonts w:ascii="Arial" w:cs="Arial" w:eastAsia="Arial" w:hAnsi="Arial"/>
          <w:sz w:val="18"/>
          <w:szCs w:val="18"/>
          <w:color w:val="auto"/>
        </w:rPr>
        <w:t>these letters of credit expire within one year from their issuance, and expired letters of credit are renewed as needed. As of March 31, 2017, we had issued letters of credit and bank guarantees totaling $194.5 million under our Credit Facility and other uncommitted credit lines. For additional information on our Credit Facility and other credit lines, see the discussion in “Liquidity and Capital Resources” above.</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Information regarding new accounting pronouncements is included in Note 1 - Significant Accounting Policies in the “Notes to the Consolidated Financial Statements” in this 10-Q Report.</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Derivatives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For information about our derivative instruments, at their respective fair value positions as of March 31, 2017, see Notes to the Consolidated Financial Statements – </w:t>
      </w:r>
      <w:r>
        <w:rPr>
          <w:rFonts w:ascii="Arial" w:cs="Arial" w:eastAsia="Arial" w:hAnsi="Arial"/>
          <w:sz w:val="18"/>
          <w:szCs w:val="18"/>
          <w:i w:val="1"/>
          <w:iCs w:val="1"/>
          <w:color w:val="auto"/>
        </w:rPr>
        <w:t>Note 3. Derivatives</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There have been no material changes to our exposures to interest rate or foreign currency risk since December 31, 2016. Please refer to our 2016 10-K Report for a complete discussion of our exposure to these risks.</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Management’s Evaluation of Disclosure Controls and Procedures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the reports that we file or submit under the Exchange Act is recorded, processed, summarized and reported within the time periods specified in the SEC’s rules and forms, and that such information is accumulated and communicated to our management, including our Chief Executive Officer (“CEO”) and our Chief Financial Officer (“CFO”), as appropriate, to allow timely decisions regarding required financial disclosure.</w:t>
      </w:r>
    </w:p>
    <w:p>
      <w:pPr>
        <w:spacing w:after="0" w:line="187"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As of the end of the period covered by this 10-Q Report, we evaluated, under the supervision and with the participation of our CEO and CFO, the effectiveness of the design and operation of our disclosure controls and procedures pursuant to Exchange Act Rule 13a-15(e). Based upon this evaluation, the CEO and CFO concluded that our disclosure controls and procedures were effective at a reasonable assurance level as of March 31, 2017.</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materially affected, or are reasonably likely to materially affect, our internal control over financial reporting during the quarter ended March 31, 2017.</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It should be noted that any system of controls, however well designed and operated, can provide only reasonable, and not absolute, assurance that the objectives of the system will be met. In addition, the design of any control system is based in part upon certain assumptions about the likelihood of future events. Because of these and other inherent limitations of control systems, there is only the reasonable assurance that our controls will succeed in achieving their goals under all potential future conditions.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July 20, 2016, the Company was informed that the U.S. Department of Justice (the "DOJ") is conducting an investigation into the aviation fuel supply industry, including certain activities of the Company and other industry participants at an airport in Central America. In connection therewith, the Company was served with formal requests by the DOJ about its activities at that airport and its aviation fuel supply business more broadly. The Company continues to cooperate with the investigation.</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From time to time, we are under review by the Internal Revenue Service and various other domestic and foreign tax authorities with regards to income tax and indirect tax matters and are involved in various challenges and litigation in a number of countries, including, in particular, the U.S., Brazil and South Korea, where the amounts under controversy may be significant. See notes 7 and 10 of the accompanying consolidated financial statements for additional details regarding certain tax matters.</w:t>
      </w:r>
    </w:p>
    <w:p>
      <w:pPr>
        <w:spacing w:after="0" w:line="18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are a party to various claims, complaints and proceedings arising in the ordinary course of our business including, but not limited to, environmental claims, commercial and governmental contract claims, such as property damage, demurrage, personal injury, billing and fuel quality claims, as well as bankruptcy preference claims and administrative claims. We are not currently a party to any such claim, complaint or proceeding that we expect to have a material adverse effect on our business or financial condition. However, any adverse resolution of one or more such claims, complaints or proceedings during a particular reporting period could have a material adverse effect on our consolidated financial statements or disclosures for that period.</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presents information with respect to repurchases of common stock made by us during the quarterly period ended March 31, 2017 (in thousands, except average price per share):</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Total Number</w:t>
            </w:r>
          </w:p>
        </w:tc>
        <w:tc>
          <w:tcPr>
            <w:tcW w:w="420" w:type="dxa"/>
            <w:vAlign w:val="bottom"/>
          </w:tcPr>
          <w:p>
            <w:pPr>
              <w:spacing w:after="0"/>
              <w:rPr>
                <w:sz w:val="14"/>
                <w:szCs w:val="14"/>
                <w:color w:val="auto"/>
              </w:rPr>
            </w:pPr>
          </w:p>
        </w:tc>
        <w:tc>
          <w:tcPr>
            <w:tcW w:w="1840" w:type="dxa"/>
            <w:vAlign w:val="bottom"/>
          </w:tcPr>
          <w:p>
            <w:pPr>
              <w:jc w:val="right"/>
              <w:ind w:right="28"/>
              <w:spacing w:after="0"/>
              <w:rPr>
                <w:sz w:val="20"/>
                <w:szCs w:val="20"/>
                <w:color w:val="auto"/>
              </w:rPr>
            </w:pPr>
            <w:r>
              <w:rPr>
                <w:rFonts w:ascii="Arial" w:cs="Arial" w:eastAsia="Arial" w:hAnsi="Arial"/>
                <w:sz w:val="14"/>
                <w:szCs w:val="14"/>
                <w:b w:val="1"/>
                <w:bCs w:val="1"/>
                <w:color w:val="auto"/>
              </w:rPr>
              <w:t>Approximate Dollar</w:t>
            </w:r>
          </w:p>
        </w:tc>
        <w:tc>
          <w:tcPr>
            <w:tcW w:w="0" w:type="dxa"/>
            <w:vAlign w:val="bottom"/>
          </w:tcPr>
          <w:p>
            <w:pPr>
              <w:spacing w:after="0"/>
              <w:rPr>
                <w:sz w:val="1"/>
                <w:szCs w:val="1"/>
                <w:color w:val="auto"/>
              </w:rPr>
            </w:pPr>
          </w:p>
        </w:tc>
      </w:tr>
      <w:tr>
        <w:trPr>
          <w:trHeight w:val="149"/>
        </w:trPr>
        <w:tc>
          <w:tcPr>
            <w:tcW w:w="2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Total Number</w:t>
            </w:r>
          </w:p>
        </w:tc>
        <w:tc>
          <w:tcPr>
            <w:tcW w:w="5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of Shares Purchased</w:t>
            </w:r>
          </w:p>
        </w:tc>
        <w:tc>
          <w:tcPr>
            <w:tcW w:w="420" w:type="dxa"/>
            <w:vAlign w:val="bottom"/>
          </w:tcPr>
          <w:p>
            <w:pPr>
              <w:spacing w:after="0"/>
              <w:rPr>
                <w:sz w:val="12"/>
                <w:szCs w:val="12"/>
                <w:color w:val="auto"/>
              </w:rPr>
            </w:pPr>
          </w:p>
        </w:tc>
        <w:tc>
          <w:tcPr>
            <w:tcW w:w="1840" w:type="dxa"/>
            <w:vAlign w:val="bottom"/>
          </w:tcPr>
          <w:p>
            <w:pPr>
              <w:jc w:val="right"/>
              <w:ind w:right="28"/>
              <w:spacing w:after="0" w:line="149" w:lineRule="exact"/>
              <w:rPr>
                <w:sz w:val="20"/>
                <w:szCs w:val="20"/>
                <w:color w:val="auto"/>
              </w:rPr>
            </w:pPr>
            <w:r>
              <w:rPr>
                <w:rFonts w:ascii="Arial" w:cs="Arial" w:eastAsia="Arial" w:hAnsi="Arial"/>
                <w:sz w:val="14"/>
                <w:szCs w:val="14"/>
                <w:b w:val="1"/>
                <w:bCs w:val="1"/>
                <w:color w:val="auto"/>
              </w:rPr>
              <w:t>Value of Shares that</w:t>
            </w:r>
          </w:p>
        </w:tc>
        <w:tc>
          <w:tcPr>
            <w:tcW w:w="0" w:type="dxa"/>
            <w:vAlign w:val="bottom"/>
          </w:tcPr>
          <w:p>
            <w:pPr>
              <w:spacing w:after="0"/>
              <w:rPr>
                <w:sz w:val="1"/>
                <w:szCs w:val="1"/>
                <w:color w:val="auto"/>
              </w:rPr>
            </w:pPr>
          </w:p>
        </w:tc>
      </w:tr>
      <w:tr>
        <w:trPr>
          <w:trHeight w:val="149"/>
        </w:trPr>
        <w:tc>
          <w:tcPr>
            <w:tcW w:w="2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580" w:type="dxa"/>
            <w:vAlign w:val="bottom"/>
          </w:tcPr>
          <w:p>
            <w:pPr>
              <w:spacing w:after="0"/>
              <w:rPr>
                <w:sz w:val="12"/>
                <w:szCs w:val="12"/>
                <w:color w:val="auto"/>
              </w:rPr>
            </w:pPr>
          </w:p>
        </w:tc>
        <w:tc>
          <w:tcPr>
            <w:tcW w:w="160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Average Price</w:t>
            </w:r>
          </w:p>
        </w:tc>
        <w:tc>
          <w:tcPr>
            <w:tcW w:w="21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as Part of Publicly</w:t>
            </w:r>
          </w:p>
        </w:tc>
        <w:tc>
          <w:tcPr>
            <w:tcW w:w="420" w:type="dxa"/>
            <w:vAlign w:val="bottom"/>
          </w:tcPr>
          <w:p>
            <w:pPr>
              <w:spacing w:after="0"/>
              <w:rPr>
                <w:sz w:val="12"/>
                <w:szCs w:val="12"/>
                <w:color w:val="auto"/>
              </w:rPr>
            </w:pPr>
          </w:p>
        </w:tc>
        <w:tc>
          <w:tcPr>
            <w:tcW w:w="1840" w:type="dxa"/>
            <w:vAlign w:val="bottom"/>
          </w:tcPr>
          <w:p>
            <w:pPr>
              <w:jc w:val="right"/>
              <w:ind w:right="28"/>
              <w:spacing w:after="0" w:line="149" w:lineRule="exact"/>
              <w:rPr>
                <w:sz w:val="20"/>
                <w:szCs w:val="20"/>
                <w:color w:val="auto"/>
              </w:rPr>
            </w:pPr>
            <w:r>
              <w:rPr>
                <w:rFonts w:ascii="Arial" w:cs="Arial" w:eastAsia="Arial" w:hAnsi="Arial"/>
                <w:sz w:val="14"/>
                <w:szCs w:val="14"/>
                <w:b w:val="1"/>
                <w:bCs w:val="1"/>
                <w:color w:val="auto"/>
              </w:rPr>
              <w:t>May Yet Be Purchased</w:t>
            </w:r>
          </w:p>
        </w:tc>
        <w:tc>
          <w:tcPr>
            <w:tcW w:w="0" w:type="dxa"/>
            <w:vAlign w:val="bottom"/>
          </w:tcPr>
          <w:p>
            <w:pPr>
              <w:spacing w:after="0"/>
              <w:rPr>
                <w:sz w:val="1"/>
                <w:szCs w:val="1"/>
                <w:color w:val="auto"/>
              </w:rPr>
            </w:pPr>
          </w:p>
        </w:tc>
      </w:tr>
      <w:tr>
        <w:trPr>
          <w:trHeight w:val="149"/>
        </w:trPr>
        <w:tc>
          <w:tcPr>
            <w:tcW w:w="29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20" w:type="dxa"/>
            <w:vAlign w:val="bottom"/>
            <w:vMerge w:val="restart"/>
          </w:tcPr>
          <w:p>
            <w:pPr>
              <w:spacing w:after="0"/>
              <w:rPr>
                <w:sz w:val="12"/>
                <w:szCs w:val="12"/>
                <w:color w:val="auto"/>
              </w:rPr>
            </w:pPr>
          </w:p>
        </w:tc>
        <w:tc>
          <w:tcPr>
            <w:tcW w:w="172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of Shares</w:t>
            </w:r>
          </w:p>
        </w:tc>
        <w:tc>
          <w:tcPr>
            <w:tcW w:w="58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21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Announced Plans</w:t>
            </w:r>
          </w:p>
        </w:tc>
        <w:tc>
          <w:tcPr>
            <w:tcW w:w="420" w:type="dxa"/>
            <w:vAlign w:val="bottom"/>
          </w:tcPr>
          <w:p>
            <w:pPr>
              <w:spacing w:after="0"/>
              <w:rPr>
                <w:sz w:val="12"/>
                <w:szCs w:val="12"/>
                <w:color w:val="auto"/>
              </w:rPr>
            </w:pPr>
          </w:p>
        </w:tc>
        <w:tc>
          <w:tcPr>
            <w:tcW w:w="1840" w:type="dxa"/>
            <w:vAlign w:val="bottom"/>
          </w:tcPr>
          <w:p>
            <w:pPr>
              <w:jc w:val="right"/>
              <w:ind w:right="28"/>
              <w:spacing w:after="0" w:line="149" w:lineRule="exact"/>
              <w:rPr>
                <w:sz w:val="20"/>
                <w:szCs w:val="20"/>
                <w:color w:val="auto"/>
              </w:rPr>
            </w:pPr>
            <w:r>
              <w:rPr>
                <w:rFonts w:ascii="Arial" w:cs="Arial" w:eastAsia="Arial" w:hAnsi="Arial"/>
                <w:sz w:val="14"/>
                <w:szCs w:val="14"/>
                <w:b w:val="1"/>
                <w:bCs w:val="1"/>
                <w:color w:val="auto"/>
              </w:rPr>
              <w:t>Under the Plans or</w:t>
            </w:r>
          </w:p>
        </w:tc>
        <w:tc>
          <w:tcPr>
            <w:tcW w:w="0" w:type="dxa"/>
            <w:vAlign w:val="bottom"/>
          </w:tcPr>
          <w:p>
            <w:pPr>
              <w:spacing w:after="0"/>
              <w:rPr>
                <w:sz w:val="1"/>
                <w:szCs w:val="1"/>
                <w:color w:val="auto"/>
              </w:rPr>
            </w:pPr>
          </w:p>
        </w:tc>
      </w:tr>
      <w:tr>
        <w:trPr>
          <w:trHeight w:val="192"/>
        </w:trPr>
        <w:tc>
          <w:tcPr>
            <w:tcW w:w="29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 xml:space="preserve">Purchased </w:t>
            </w:r>
            <w:r>
              <w:rPr>
                <w:rFonts w:ascii="Arial" w:cs="Arial" w:eastAsia="Arial" w:hAnsi="Arial"/>
                <w:sz w:val="7"/>
                <w:szCs w:val="7"/>
                <w:b w:val="1"/>
                <w:bCs w:val="1"/>
                <w:color w:val="auto"/>
              </w:rPr>
              <w:t>(1)</w:t>
            </w:r>
          </w:p>
        </w:tc>
        <w:tc>
          <w:tcPr>
            <w:tcW w:w="12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Paid Per Share</w:t>
            </w:r>
          </w:p>
        </w:tc>
        <w:tc>
          <w:tcPr>
            <w:tcW w:w="100" w:type="dxa"/>
            <w:vAlign w:val="bottom"/>
            <w:tcBorders>
              <w:bottom w:val="single" w:sz="8" w:color="CCEEFF"/>
            </w:tcBorders>
          </w:tcPr>
          <w:p>
            <w:pPr>
              <w:spacing w:after="0"/>
              <w:rPr>
                <w:sz w:val="16"/>
                <w:szCs w:val="16"/>
                <w:color w:val="auto"/>
              </w:rPr>
            </w:pPr>
          </w:p>
        </w:tc>
        <w:tc>
          <w:tcPr>
            <w:tcW w:w="2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or Programs</w:t>
            </w: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 xml:space="preserve">Programs </w:t>
            </w:r>
            <w:r>
              <w:rPr>
                <w:rFonts w:ascii="Arial" w:cs="Arial" w:eastAsia="Arial" w:hAnsi="Arial"/>
                <w:sz w:val="7"/>
                <w:szCs w:val="7"/>
                <w:b w:val="1"/>
                <w:bCs w:val="1"/>
                <w:color w:val="auto"/>
              </w:rPr>
              <w:t>(2)</w:t>
            </w:r>
          </w:p>
        </w:tc>
        <w:tc>
          <w:tcPr>
            <w:tcW w:w="0" w:type="dxa"/>
            <w:vAlign w:val="bottom"/>
          </w:tcPr>
          <w:p>
            <w:pPr>
              <w:spacing w:after="0"/>
              <w:rPr>
                <w:sz w:val="1"/>
                <w:szCs w:val="1"/>
                <w:color w:val="auto"/>
              </w:rPr>
            </w:pPr>
          </w:p>
        </w:tc>
      </w:tr>
      <w:tr>
        <w:trPr>
          <w:trHeight w:val="256"/>
        </w:trPr>
        <w:tc>
          <w:tcPr>
            <w:tcW w:w="2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1/1/2017 - 1/31/2017</w:t>
            </w:r>
          </w:p>
        </w:tc>
        <w:tc>
          <w:tcPr>
            <w:tcW w:w="120" w:type="dxa"/>
            <w:vAlign w:val="bottom"/>
            <w:shd w:val="clear" w:color="auto" w:fill="CCEEFF"/>
          </w:tcPr>
          <w:p>
            <w:pPr>
              <w:spacing w:after="0"/>
              <w:rPr>
                <w:sz w:val="22"/>
                <w:szCs w:val="22"/>
                <w:color w:val="auto"/>
              </w:rPr>
            </w:pPr>
          </w:p>
        </w:tc>
        <w:tc>
          <w:tcPr>
            <w:tcW w:w="1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408"/>
              <w:spacing w:after="0"/>
              <w:rPr>
                <w:sz w:val="20"/>
                <w:szCs w:val="20"/>
                <w:color w:val="auto"/>
              </w:rPr>
            </w:pPr>
            <w:r>
              <w:rPr>
                <w:rFonts w:ascii="Arial" w:cs="Arial" w:eastAsia="Arial" w:hAnsi="Arial"/>
                <w:sz w:val="14"/>
                <w:szCs w:val="14"/>
                <w:color w:val="auto"/>
              </w:rPr>
              <w:t>$</w:t>
            </w:r>
          </w:p>
        </w:tc>
        <w:tc>
          <w:tcPr>
            <w:tcW w:w="15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45.92</w:t>
            </w:r>
          </w:p>
        </w:tc>
        <w:tc>
          <w:tcPr>
            <w:tcW w:w="100" w:type="dxa"/>
            <w:vAlign w:val="bottom"/>
            <w:shd w:val="clear" w:color="auto" w:fill="CCEEFF"/>
          </w:tcPr>
          <w:p>
            <w:pPr>
              <w:spacing w:after="0"/>
              <w:rPr>
                <w:sz w:val="22"/>
                <w:szCs w:val="22"/>
                <w:color w:val="auto"/>
              </w:rPr>
            </w:pPr>
          </w:p>
        </w:tc>
        <w:tc>
          <w:tcPr>
            <w:tcW w:w="2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77,243</w:t>
            </w:r>
          </w:p>
        </w:tc>
        <w:tc>
          <w:tcPr>
            <w:tcW w:w="0" w:type="dxa"/>
            <w:vAlign w:val="bottom"/>
          </w:tcPr>
          <w:p>
            <w:pPr>
              <w:spacing w:after="0"/>
              <w:rPr>
                <w:sz w:val="1"/>
                <w:szCs w:val="1"/>
                <w:color w:val="auto"/>
              </w:rPr>
            </w:pPr>
          </w:p>
        </w:tc>
      </w:tr>
      <w:tr>
        <w:trPr>
          <w:trHeight w:val="264"/>
        </w:trPr>
        <w:tc>
          <w:tcPr>
            <w:tcW w:w="2980" w:type="dxa"/>
            <w:vAlign w:val="bottom"/>
          </w:tcPr>
          <w:p>
            <w:pPr>
              <w:ind w:left="40"/>
              <w:spacing w:after="0"/>
              <w:rPr>
                <w:sz w:val="20"/>
                <w:szCs w:val="20"/>
                <w:color w:val="auto"/>
              </w:rPr>
            </w:pPr>
            <w:r>
              <w:rPr>
                <w:rFonts w:ascii="Arial" w:cs="Arial" w:eastAsia="Arial" w:hAnsi="Arial"/>
                <w:sz w:val="14"/>
                <w:szCs w:val="14"/>
                <w:color w:val="auto"/>
              </w:rPr>
              <w:t>2/1/2017 - 2/28/2017</w:t>
            </w:r>
          </w:p>
        </w:tc>
        <w:tc>
          <w:tcPr>
            <w:tcW w:w="120" w:type="dxa"/>
            <w:vAlign w:val="bottom"/>
          </w:tcPr>
          <w:p>
            <w:pPr>
              <w:spacing w:after="0"/>
              <w:rPr>
                <w:sz w:val="22"/>
                <w:szCs w:val="22"/>
                <w:color w:val="auto"/>
              </w:rPr>
            </w:pPr>
          </w:p>
        </w:tc>
        <w:tc>
          <w:tcPr>
            <w:tcW w:w="1600" w:type="dxa"/>
            <w:vAlign w:val="bottom"/>
          </w:tcPr>
          <w:p>
            <w:pPr>
              <w:jc w:val="right"/>
              <w:ind w:right="48"/>
              <w:spacing w:after="0"/>
              <w:rPr>
                <w:sz w:val="20"/>
                <w:szCs w:val="20"/>
                <w:color w:val="auto"/>
              </w:rPr>
            </w:pPr>
            <w:r>
              <w:rPr>
                <w:rFonts w:ascii="Arial" w:cs="Arial" w:eastAsia="Arial" w:hAnsi="Arial"/>
                <w:sz w:val="14"/>
                <w:szCs w:val="14"/>
                <w:color w:val="auto"/>
              </w:rPr>
              <w:t>120</w:t>
            </w: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500" w:type="dxa"/>
            <w:vAlign w:val="bottom"/>
          </w:tcPr>
          <w:p>
            <w:pPr>
              <w:jc w:val="right"/>
              <w:ind w:right="48"/>
              <w:spacing w:after="0"/>
              <w:rPr>
                <w:sz w:val="20"/>
                <w:szCs w:val="20"/>
                <w:color w:val="auto"/>
              </w:rPr>
            </w:pPr>
            <w:r>
              <w:rPr>
                <w:rFonts w:ascii="Arial" w:cs="Arial" w:eastAsia="Arial" w:hAnsi="Arial"/>
                <w:sz w:val="14"/>
                <w:szCs w:val="14"/>
                <w:color w:val="auto"/>
              </w:rPr>
              <w:t>37.65</w:t>
            </w:r>
          </w:p>
        </w:tc>
        <w:tc>
          <w:tcPr>
            <w:tcW w:w="100" w:type="dxa"/>
            <w:vAlign w:val="bottom"/>
          </w:tcPr>
          <w:p>
            <w:pPr>
              <w:spacing w:after="0"/>
              <w:rPr>
                <w:sz w:val="22"/>
                <w:szCs w:val="22"/>
                <w:color w:val="auto"/>
              </w:rPr>
            </w:pPr>
          </w:p>
        </w:tc>
        <w:tc>
          <w:tcPr>
            <w:tcW w:w="2040" w:type="dxa"/>
            <w:vAlign w:val="bottom"/>
          </w:tcPr>
          <w:p>
            <w:pPr>
              <w:jc w:val="right"/>
              <w:ind w:right="28"/>
              <w:spacing w:after="0"/>
              <w:rPr>
                <w:sz w:val="20"/>
                <w:szCs w:val="20"/>
                <w:color w:val="auto"/>
              </w:rPr>
            </w:pPr>
            <w:r>
              <w:rPr>
                <w:rFonts w:ascii="Arial" w:cs="Arial" w:eastAsia="Arial" w:hAnsi="Arial"/>
                <w:sz w:val="14"/>
                <w:szCs w:val="14"/>
                <w:color w:val="auto"/>
              </w:rPr>
              <w:t>115</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840" w:type="dxa"/>
            <w:vAlign w:val="bottom"/>
          </w:tcPr>
          <w:p>
            <w:pPr>
              <w:jc w:val="right"/>
              <w:ind w:right="28"/>
              <w:spacing w:after="0"/>
              <w:rPr>
                <w:sz w:val="20"/>
                <w:szCs w:val="20"/>
                <w:color w:val="auto"/>
              </w:rPr>
            </w:pPr>
            <w:r>
              <w:rPr>
                <w:rFonts w:ascii="Arial" w:cs="Arial" w:eastAsia="Arial" w:hAnsi="Arial"/>
                <w:sz w:val="14"/>
                <w:szCs w:val="14"/>
                <w:color w:val="auto"/>
              </w:rPr>
              <w:t>72,927</w:t>
            </w:r>
          </w:p>
        </w:tc>
        <w:tc>
          <w:tcPr>
            <w:tcW w:w="0" w:type="dxa"/>
            <w:vAlign w:val="bottom"/>
          </w:tcPr>
          <w:p>
            <w:pPr>
              <w:spacing w:after="0"/>
              <w:rPr>
                <w:sz w:val="1"/>
                <w:szCs w:val="1"/>
                <w:color w:val="auto"/>
              </w:rPr>
            </w:pPr>
          </w:p>
        </w:tc>
      </w:tr>
      <w:tr>
        <w:trPr>
          <w:trHeight w:val="270"/>
        </w:trPr>
        <w:tc>
          <w:tcPr>
            <w:tcW w:w="29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3/1/2017 - 3/31/2017</w:t>
            </w:r>
          </w:p>
        </w:tc>
        <w:tc>
          <w:tcPr>
            <w:tcW w:w="120" w:type="dxa"/>
            <w:vAlign w:val="bottom"/>
            <w:shd w:val="clear" w:color="auto" w:fill="CCEEFF"/>
          </w:tcPr>
          <w:p>
            <w:pPr>
              <w:spacing w:after="0"/>
              <w:rPr>
                <w:sz w:val="23"/>
                <w:szCs w:val="23"/>
                <w:color w:val="auto"/>
              </w:rPr>
            </w:pPr>
          </w:p>
        </w:tc>
        <w:tc>
          <w:tcPr>
            <w:tcW w:w="16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185</w:t>
            </w:r>
          </w:p>
        </w:tc>
        <w:tc>
          <w:tcPr>
            <w:tcW w:w="120" w:type="dxa"/>
            <w:vAlign w:val="bottom"/>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36.61</w:t>
            </w:r>
          </w:p>
        </w:tc>
        <w:tc>
          <w:tcPr>
            <w:tcW w:w="100" w:type="dxa"/>
            <w:vAlign w:val="bottom"/>
            <w:shd w:val="clear" w:color="auto" w:fill="CCEEFF"/>
          </w:tcPr>
          <w:p>
            <w:pPr>
              <w:spacing w:after="0"/>
              <w:rPr>
                <w:sz w:val="23"/>
                <w:szCs w:val="23"/>
                <w:color w:val="auto"/>
              </w:rPr>
            </w:pPr>
          </w:p>
        </w:tc>
        <w:tc>
          <w:tcPr>
            <w:tcW w:w="2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185</w:t>
            </w:r>
          </w:p>
        </w:tc>
        <w:tc>
          <w:tcPr>
            <w:tcW w:w="12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66,155</w:t>
            </w:r>
          </w:p>
        </w:tc>
        <w:tc>
          <w:tcPr>
            <w:tcW w:w="0" w:type="dxa"/>
            <w:vAlign w:val="bottom"/>
          </w:tcPr>
          <w:p>
            <w:pPr>
              <w:spacing w:after="0"/>
              <w:rPr>
                <w:sz w:val="1"/>
                <w:szCs w:val="1"/>
                <w:color w:val="auto"/>
              </w:rPr>
            </w:pPr>
          </w:p>
        </w:tc>
      </w:tr>
      <w:tr>
        <w:trPr>
          <w:trHeight w:val="250"/>
        </w:trPr>
        <w:tc>
          <w:tcPr>
            <w:tcW w:w="31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rPr>
              <w:t>Total</w:t>
            </w:r>
          </w:p>
        </w:tc>
        <w:tc>
          <w:tcPr>
            <w:tcW w:w="1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305</w:t>
            </w:r>
          </w:p>
        </w:tc>
        <w:tc>
          <w:tcPr>
            <w:tcW w:w="1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37.02</w:t>
            </w:r>
          </w:p>
        </w:tc>
        <w:tc>
          <w:tcPr>
            <w:tcW w:w="100" w:type="dxa"/>
            <w:vAlign w:val="bottom"/>
            <w:tcBorders>
              <w:bottom w:val="single" w:sz="8" w:color="auto"/>
            </w:tcBorders>
          </w:tcPr>
          <w:p>
            <w:pPr>
              <w:spacing w:after="0"/>
              <w:rPr>
                <w:sz w:val="21"/>
                <w:szCs w:val="21"/>
                <w:color w:val="auto"/>
              </w:rPr>
            </w:pPr>
          </w:p>
        </w:tc>
        <w:tc>
          <w:tcPr>
            <w:tcW w:w="2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300</w:t>
            </w:r>
          </w:p>
        </w:tc>
        <w:tc>
          <w:tcPr>
            <w:tcW w:w="12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1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66,155</w:t>
            </w:r>
          </w:p>
        </w:tc>
        <w:tc>
          <w:tcPr>
            <w:tcW w:w="0" w:type="dxa"/>
            <w:vAlign w:val="bottom"/>
          </w:tcPr>
          <w:p>
            <w:pPr>
              <w:spacing w:after="0"/>
              <w:rPr>
                <w:sz w:val="1"/>
                <w:szCs w:val="1"/>
                <w:color w:val="auto"/>
              </w:rPr>
            </w:pPr>
          </w:p>
        </w:tc>
      </w:tr>
      <w:tr>
        <w:trPr>
          <w:trHeight w:val="20"/>
        </w:trPr>
        <w:tc>
          <w:tcPr>
            <w:tcW w:w="2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hanging="332"/>
        <w:spacing w:after="0" w:line="264" w:lineRule="auto"/>
        <w:tabs>
          <w:tab w:leader="none" w:pos="271"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These amounts include shares purchased as part of our publicly announced programs and shares owned and tendered by employees to satisfy the required withholding taxes related to share-based payment awards, which are not deducted from shares available to be purchased under publicly announced programs.</w:t>
      </w:r>
    </w:p>
    <w:p>
      <w:pPr>
        <w:spacing w:after="0" w:line="329" w:lineRule="exact"/>
        <w:rPr>
          <w:rFonts w:ascii="Arial" w:cs="Arial" w:eastAsia="Arial" w:hAnsi="Arial"/>
          <w:sz w:val="18"/>
          <w:szCs w:val="18"/>
          <w:color w:val="auto"/>
        </w:rPr>
      </w:pPr>
    </w:p>
    <w:p>
      <w:pPr>
        <w:ind w:left="340" w:hanging="332"/>
        <w:spacing w:after="0" w:line="257" w:lineRule="auto"/>
        <w:tabs>
          <w:tab w:leader="none" w:pos="271"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September 2016, our Board of Directors approved a common stock repurchase program which replaced and authorized the purchase of up to $100.0 million in common stock (the “Repurchase Program”). The Repurchase Program does not require a minimum number of shares of common stock to be purchased, has no expiration date and may be suspended or discontinued at any time. As of March 31, 2017, $66.2 million remains available for purchase under the Repurchase Program. The timing and amount of shares of common stock to be repurchased under the program will depend on market conditions, share price, securities law and other legal requirements and factors.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exhibits set forth in the following index of exhibits are filed as part of this 10-Q Report:</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60" w:type="dxa"/>
            <w:vAlign w:val="bottom"/>
            <w:gridSpan w:val="2"/>
          </w:tcPr>
          <w:p>
            <w:pPr>
              <w:jc w:val="right"/>
              <w:ind w:right="1040"/>
              <w:spacing w:after="0"/>
              <w:rPr>
                <w:sz w:val="20"/>
                <w:szCs w:val="20"/>
                <w:color w:val="auto"/>
              </w:rPr>
            </w:pPr>
            <w:r>
              <w:rPr>
                <w:rFonts w:ascii="Arial" w:cs="Arial" w:eastAsia="Arial" w:hAnsi="Arial"/>
                <w:sz w:val="18"/>
                <w:szCs w:val="18"/>
                <w:b w:val="1"/>
                <w:bCs w:val="1"/>
                <w:color w:val="auto"/>
                <w:w w:val="95"/>
              </w:rPr>
              <w:t>Exhibit No.</w:t>
            </w:r>
          </w:p>
        </w:tc>
        <w:tc>
          <w:tcPr>
            <w:tcW w:w="9460" w:type="dxa"/>
            <w:vAlign w:val="bottom"/>
          </w:tcPr>
          <w:p>
            <w:pPr>
              <w:ind w:left="2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150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9460" w:type="dxa"/>
            <w:vAlign w:val="bottom"/>
            <w:tcBorders>
              <w:bottom w:val="single" w:sz="8" w:color="auto"/>
            </w:tcBorders>
          </w:tcPr>
          <w:p>
            <w:pPr>
              <w:spacing w:after="0"/>
              <w:rPr>
                <w:sz w:val="2"/>
                <w:szCs w:val="2"/>
                <w:color w:val="auto"/>
              </w:rPr>
            </w:pPr>
          </w:p>
        </w:tc>
      </w:tr>
      <w:tr>
        <w:trPr>
          <w:trHeight w:val="237"/>
        </w:trPr>
        <w:tc>
          <w:tcPr>
            <w:tcW w:w="1500" w:type="dxa"/>
            <w:vAlign w:val="bottom"/>
          </w:tcPr>
          <w:p>
            <w:pPr>
              <w:jc w:val="right"/>
              <w:ind w:right="490"/>
              <w:spacing w:after="0"/>
              <w:rPr>
                <w:sz w:val="20"/>
                <w:szCs w:val="20"/>
                <w:color w:val="auto"/>
              </w:rPr>
            </w:pPr>
            <w:r>
              <w:rPr>
                <w:rFonts w:ascii="Arial" w:cs="Arial" w:eastAsia="Arial" w:hAnsi="Arial"/>
                <w:sz w:val="18"/>
                <w:szCs w:val="18"/>
                <w:color w:val="auto"/>
              </w:rPr>
              <w:t>31.1</w:t>
            </w:r>
          </w:p>
        </w:tc>
        <w:tc>
          <w:tcPr>
            <w:tcW w:w="46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rPr>
              <w:t>Certification of the Chief Executive Officer pursuant to Rule 13a-14(a) or Rule 15d — 14(a).</w:t>
            </w:r>
          </w:p>
        </w:tc>
      </w:tr>
      <w:tr>
        <w:trPr>
          <w:trHeight w:val="567"/>
        </w:trPr>
        <w:tc>
          <w:tcPr>
            <w:tcW w:w="1500" w:type="dxa"/>
            <w:vAlign w:val="bottom"/>
          </w:tcPr>
          <w:p>
            <w:pPr>
              <w:jc w:val="right"/>
              <w:ind w:right="490"/>
              <w:spacing w:after="0"/>
              <w:rPr>
                <w:sz w:val="20"/>
                <w:szCs w:val="20"/>
                <w:color w:val="auto"/>
              </w:rPr>
            </w:pPr>
            <w:r>
              <w:rPr>
                <w:rFonts w:ascii="Arial" w:cs="Arial" w:eastAsia="Arial" w:hAnsi="Arial"/>
                <w:sz w:val="18"/>
                <w:szCs w:val="18"/>
                <w:color w:val="auto"/>
              </w:rPr>
              <w:t>31.2</w:t>
            </w:r>
          </w:p>
        </w:tc>
        <w:tc>
          <w:tcPr>
            <w:tcW w:w="460" w:type="dxa"/>
            <w:vAlign w:val="bottom"/>
          </w:tcPr>
          <w:p>
            <w:pPr>
              <w:spacing w:after="0"/>
              <w:rPr>
                <w:sz w:val="24"/>
                <w:szCs w:val="24"/>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rPr>
              <w:t>Certification of the Chief Financial Officer pursuant to Rule 13a-14(a) or Rule 15d — 14(a).</w:t>
            </w:r>
          </w:p>
        </w:tc>
      </w:tr>
      <w:tr>
        <w:trPr>
          <w:trHeight w:val="567"/>
        </w:trPr>
        <w:tc>
          <w:tcPr>
            <w:tcW w:w="1500" w:type="dxa"/>
            <w:vAlign w:val="bottom"/>
          </w:tcPr>
          <w:p>
            <w:pPr>
              <w:jc w:val="right"/>
              <w:ind w:right="490"/>
              <w:spacing w:after="0"/>
              <w:rPr>
                <w:sz w:val="20"/>
                <w:szCs w:val="20"/>
                <w:color w:val="auto"/>
              </w:rPr>
            </w:pPr>
            <w:r>
              <w:rPr>
                <w:rFonts w:ascii="Arial" w:cs="Arial" w:eastAsia="Arial" w:hAnsi="Arial"/>
                <w:sz w:val="18"/>
                <w:szCs w:val="18"/>
                <w:color w:val="auto"/>
              </w:rPr>
              <w:t>32.1</w:t>
            </w:r>
          </w:p>
        </w:tc>
        <w:tc>
          <w:tcPr>
            <w:tcW w:w="460" w:type="dxa"/>
            <w:vAlign w:val="bottom"/>
          </w:tcPr>
          <w:p>
            <w:pPr>
              <w:spacing w:after="0"/>
              <w:rPr>
                <w:sz w:val="24"/>
                <w:szCs w:val="24"/>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8"/>
              </w:rPr>
              <w:t>Certification of Chief Executive Officer and Chief Financial Officer under Section 906 of the Sarbanes-Oxley Act of 2002.</w:t>
            </w:r>
          </w:p>
        </w:tc>
      </w:tr>
    </w:tbl>
    <w:p>
      <w:pPr>
        <w:spacing w:after="0" w:line="310" w:lineRule="exact"/>
        <w:rPr>
          <w:sz w:val="20"/>
          <w:szCs w:val="20"/>
          <w:color w:val="auto"/>
        </w:rPr>
      </w:pPr>
    </w:p>
    <w:p>
      <w:pPr>
        <w:jc w:val="both"/>
        <w:ind w:left="1980" w:right="40" w:hanging="1357"/>
        <w:spacing w:after="0" w:line="259" w:lineRule="auto"/>
        <w:tabs>
          <w:tab w:leader="none" w:pos="1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following materials from World Fuel Services Corporation’s Quarterly Report on Form 10-Q for the quarter ended March 31, 2017, formatted in XBRL (Extensible Business Reporting Language); (i) Consolidated Balance Sheets, (ii) Consolidated Statements of Income and Comprehensive Income, (iii) Consolidated Statements of Shareholders’ Equity, (iv) Consolidated Statements of Cash Flows, and (v)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18"/>
          <w:szCs w:val="18"/>
          <w:color w:val="auto"/>
        </w:rPr>
        <w:t>Date: April 28, 2017</w:t>
      </w:r>
      <w:r>
        <w:rPr>
          <w:sz w:val="20"/>
          <w:szCs w:val="20"/>
          <w:color w:val="auto"/>
        </w:rPr>
        <w:tab/>
      </w:r>
      <w:r>
        <w:rPr>
          <w:rFonts w:ascii="Arial" w:cs="Arial" w:eastAsia="Arial" w:hAnsi="Arial"/>
          <w:sz w:val="16"/>
          <w:szCs w:val="16"/>
          <w:color w:val="auto"/>
        </w:rPr>
        <w:t>World Fuel Services Corporation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Michael J. Kasbar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Michael J. Kasbar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Chairman,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Ira M. Birns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Ira M. Birns</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Executive Vice President and Chief Financial Officer</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or 15d — 14(a)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Michael J. Kasbar, certify that:</w:t>
      </w:r>
    </w:p>
    <w:p>
      <w:pPr>
        <w:spacing w:after="0" w:line="200" w:lineRule="exact"/>
        <w:rPr>
          <w:sz w:val="20"/>
          <w:szCs w:val="20"/>
          <w:color w:val="auto"/>
        </w:rPr>
      </w:pPr>
    </w:p>
    <w:p>
      <w:pPr>
        <w:spacing w:after="0" w:line="201"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World Fuel Services Corporation for the period ended March 31, 2017;</w:t>
      </w:r>
    </w:p>
    <w:p>
      <w:pPr>
        <w:spacing w:after="0" w:line="184"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0"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6" w:lineRule="exact"/>
        <w:rPr>
          <w:rFonts w:ascii="Arial" w:cs="Arial" w:eastAsia="Arial" w:hAnsi="Arial"/>
          <w:sz w:val="17"/>
          <w:szCs w:val="17"/>
          <w:color w:val="auto"/>
        </w:rPr>
      </w:pPr>
    </w:p>
    <w:p>
      <w:pPr>
        <w:ind w:left="660" w:right="240" w:hanging="328"/>
        <w:spacing w:after="0" w:line="26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-15(f) and 15d-15(f)) for the registrant and have:</w:t>
      </w:r>
    </w:p>
    <w:p>
      <w:pPr>
        <w:spacing w:after="0" w:line="140"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Arial" w:cs="Arial" w:eastAsia="Arial" w:hAnsi="Arial"/>
          <w:sz w:val="18"/>
          <w:szCs w:val="18"/>
          <w:color w:val="auto"/>
        </w:rPr>
      </w:pPr>
    </w:p>
    <w:p>
      <w:pPr>
        <w:jc w:val="both"/>
        <w:ind w:left="1300" w:right="380" w:hanging="320"/>
        <w:spacing w:after="0" w:line="342" w:lineRule="auto"/>
        <w:tabs>
          <w:tab w:leader="none" w:pos="1300" w:val="left"/>
        </w:tabs>
        <w:numPr>
          <w:ilvl w:val="1"/>
          <w:numId w:val="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ind w:left="1300" w:right="80" w:hanging="320"/>
        <w:spacing w:after="0" w:line="264" w:lineRule="auto"/>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40"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6" w:lineRule="exact"/>
        <w:rPr>
          <w:rFonts w:ascii="Arial" w:cs="Arial" w:eastAsia="Arial" w:hAnsi="Arial"/>
          <w:sz w:val="17"/>
          <w:szCs w:val="17"/>
          <w:color w:val="auto"/>
        </w:rPr>
      </w:pPr>
    </w:p>
    <w:p>
      <w:pPr>
        <w:ind w:left="1300" w:right="620" w:hanging="320"/>
        <w:spacing w:after="0" w:line="342" w:lineRule="auto"/>
        <w:tabs>
          <w:tab w:leader="none" w:pos="1300" w:val="left"/>
        </w:tabs>
        <w:numPr>
          <w:ilvl w:val="1"/>
          <w:numId w:val="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3" w:lineRule="exact"/>
        <w:rPr>
          <w:rFonts w:ascii="Arial" w:cs="Arial" w:eastAsia="Arial" w:hAnsi="Arial"/>
          <w:sz w:val="16"/>
          <w:szCs w:val="16"/>
          <w:color w:val="auto"/>
        </w:rPr>
      </w:pPr>
    </w:p>
    <w:p>
      <w:pPr>
        <w:ind w:left="1300" w:right="320" w:hanging="320"/>
        <w:spacing w:after="0" w:line="277" w:lineRule="auto"/>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9"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April 28, 2017</w:t>
      </w:r>
    </w:p>
    <w:p>
      <w:pPr>
        <w:spacing w:after="0" w:line="387"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/s/ Michael J. Kasbar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31750</wp:posOffset>
            </wp:positionV>
            <wp:extent cx="311277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Michael J. Kasbar</w:t>
      </w:r>
    </w:p>
    <w:p>
      <w:pPr>
        <w:spacing w:after="0" w:line="6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Chairman, President and Chief Executive Officer</w:t>
      </w:r>
    </w:p>
    <w:p>
      <w:pPr>
        <w:sectPr>
          <w:pgSz w:w="11900" w:h="16838" w:orient="portrait"/>
          <w:cols w:equalWidth="0" w:num="1">
            <w:col w:w="11420"/>
          </w:cols>
          <w:pgMar w:left="240" w:top="121"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or 15d — 14(a)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Ira M. Birns, certify that:</w:t>
      </w:r>
    </w:p>
    <w:p>
      <w:pPr>
        <w:spacing w:after="0" w:line="200" w:lineRule="exact"/>
        <w:rPr>
          <w:sz w:val="20"/>
          <w:szCs w:val="20"/>
          <w:color w:val="auto"/>
        </w:rPr>
      </w:pPr>
    </w:p>
    <w:p>
      <w:pPr>
        <w:spacing w:after="0" w:line="201"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World Fuel Services Corporation for the period ended March 31, 2017;</w:t>
      </w:r>
    </w:p>
    <w:p>
      <w:pPr>
        <w:spacing w:after="0" w:line="184"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0"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6" w:lineRule="exact"/>
        <w:rPr>
          <w:rFonts w:ascii="Arial" w:cs="Arial" w:eastAsia="Arial" w:hAnsi="Arial"/>
          <w:sz w:val="17"/>
          <w:szCs w:val="17"/>
          <w:color w:val="auto"/>
        </w:rPr>
      </w:pPr>
    </w:p>
    <w:p>
      <w:pPr>
        <w:ind w:left="660" w:right="240" w:hanging="328"/>
        <w:spacing w:after="0" w:line="26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-15(f) and 15d-15(f)) for the registrant and have:</w:t>
      </w:r>
    </w:p>
    <w:p>
      <w:pPr>
        <w:spacing w:after="0" w:line="140"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Arial" w:cs="Arial" w:eastAsia="Arial" w:hAnsi="Arial"/>
          <w:sz w:val="18"/>
          <w:szCs w:val="18"/>
          <w:color w:val="auto"/>
        </w:rPr>
      </w:pPr>
    </w:p>
    <w:p>
      <w:pPr>
        <w:jc w:val="both"/>
        <w:ind w:left="1300" w:right="380" w:hanging="320"/>
        <w:spacing w:after="0" w:line="342" w:lineRule="auto"/>
        <w:tabs>
          <w:tab w:leader="none" w:pos="1300" w:val="left"/>
        </w:tabs>
        <w:numPr>
          <w:ilvl w:val="1"/>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ind w:left="1300" w:right="80" w:hanging="320"/>
        <w:spacing w:after="0" w:line="264" w:lineRule="auto"/>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40"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6" w:lineRule="exact"/>
        <w:rPr>
          <w:rFonts w:ascii="Arial" w:cs="Arial" w:eastAsia="Arial" w:hAnsi="Arial"/>
          <w:sz w:val="17"/>
          <w:szCs w:val="17"/>
          <w:color w:val="auto"/>
        </w:rPr>
      </w:pPr>
    </w:p>
    <w:p>
      <w:pPr>
        <w:ind w:left="1300" w:right="620" w:hanging="320"/>
        <w:spacing w:after="0" w:line="342" w:lineRule="auto"/>
        <w:tabs>
          <w:tab w:leader="none" w:pos="1300" w:val="left"/>
        </w:tabs>
        <w:numPr>
          <w:ilvl w:val="1"/>
          <w:numId w:val="1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3" w:lineRule="exact"/>
        <w:rPr>
          <w:rFonts w:ascii="Arial" w:cs="Arial" w:eastAsia="Arial" w:hAnsi="Arial"/>
          <w:sz w:val="16"/>
          <w:szCs w:val="16"/>
          <w:color w:val="auto"/>
        </w:rPr>
      </w:pPr>
    </w:p>
    <w:p>
      <w:pPr>
        <w:ind w:left="1300" w:right="320" w:hanging="320"/>
        <w:spacing w:after="0" w:line="277" w:lineRule="auto"/>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April 28, 2017</w:t>
      </w:r>
    </w:p>
    <w:p>
      <w:pPr>
        <w:spacing w:after="0" w:line="38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Ira M. Birns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017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601720"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Ira M. Birns</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420"/>
          </w:cols>
          <w:pgMar w:left="240" w:top="121"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 1350)</w:t>
      </w:r>
    </w:p>
    <w:p>
      <w:pPr>
        <w:spacing w:after="0" w:line="21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We, Michael J. Kasbar, the Chairman, President and Chief Executive Officer of World Fuel Services Corporation (the “Company”), and Ira M. Birns, the Executive Vice President and Chief Financial Officer of the Company, certify for the purposes of Section 1350 of Chapter 63 of Title 18 of the United States Code that, to the best of our knowledge,</w:t>
      </w:r>
    </w:p>
    <w:p>
      <w:pPr>
        <w:spacing w:after="0" w:line="357" w:lineRule="exact"/>
        <w:rPr>
          <w:sz w:val="20"/>
          <w:szCs w:val="20"/>
          <w:color w:val="auto"/>
        </w:rPr>
      </w:pPr>
    </w:p>
    <w:p>
      <w:pPr>
        <w:ind w:left="660" w:right="34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period ended March 31, 2017 (the “Report”) fully complies with the requirements of Section 13(a) or 15(d), as applicable, of the Securities Exchange Act of 1934; and</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April 28, 2017</w:t>
      </w:r>
    </w:p>
    <w:p>
      <w:pPr>
        <w:spacing w:after="0" w:line="38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Michael J. Kasbar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Michael J. Kasbar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Chairman,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Ira M. Birns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Ira M. Birns</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Executive Vice President and Chief Financial Officer</w:t>
      </w:r>
    </w:p>
    <w:p>
      <w:pPr>
        <w:spacing w:after="0" w:line="200" w:lineRule="exact"/>
        <w:rPr>
          <w:sz w:val="20"/>
          <w:szCs w:val="20"/>
          <w:color w:val="auto"/>
        </w:rPr>
      </w:pPr>
    </w:p>
    <w:p>
      <w:pPr>
        <w:spacing w:after="0" w:line="268"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The foregoing certification is being furnished as an exhibit to the Report pursuant to Item 601(b)(32) of Regulation S-K and Section 906 of the Sarbanes-Oxley Act of 2002 and, accordingly, is not being filed with the Securities and Exchange Commission as part of the Report and is not to be incorporated by reference into any filing of the Company under the Securities Act of 1933 or the Securities Exchange Act of 1934 (whether made before or after the date of the Report,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290830</wp:posOffset>
            </wp:positionV>
            <wp:extent cx="707517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75170" cy="171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0"/>
    </w:lvl>
  </w:abstractNum>
  <w:abstractNum w:abstractNumId="3">
    <w:nsid w:val="79E2A9E3"/>
    <w:multiLevelType w:val="hybridMultilevel"/>
    <w:lvl w:ilvl="0">
      <w:lvlJc w:val="left"/>
      <w:lvlText w:val="\emdash "/>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1)"/>
      <w:numFmt w:val="decimal"/>
      <w:start w:val="1"/>
    </w:lvl>
  </w:abstractNum>
  <w:abstractNum w:abstractNumId="7">
    <w:nsid w:val="12200854"/>
    <w:multiLevelType w:val="hybridMultilevel"/>
    <w:lvl w:ilvl="0">
      <w:lvlJc w:val="left"/>
      <w:lvlText w:val="%1"/>
      <w:numFmt w:val="decimal"/>
      <w:start w:val="101"/>
    </w:lvl>
  </w:abstractNum>
  <w:abstractNum w:abstractNumId="8">
    <w:nsid w:val="4DB127F8"/>
    <w:multiLevelType w:val="hybridMultilevel"/>
    <w:lvl w:ilvl="0">
      <w:lvlJc w:val="left"/>
      <w:lvlText w:val="%1."/>
      <w:numFmt w:val="decimal"/>
      <w:start w:val="1"/>
    </w:lvl>
    <w:lvl w:ilvl="1">
      <w:lvlJc w:val="left"/>
      <w:lvlText w:val="%2."/>
      <w:numFmt w:val="lowerLetter"/>
      <w:start w:val="1"/>
    </w:lvl>
  </w:abstractNum>
  <w:abstractNum w:abstractNumId="9">
    <w:nsid w:val="216231B"/>
    <w:multiLevelType w:val="hybridMultilevel"/>
    <w:lvl w:ilvl="0">
      <w:lvlJc w:val="left"/>
      <w:lvlText w:val="%1."/>
      <w:numFmt w:val="decimal"/>
      <w:start w:val="1"/>
    </w:lvl>
    <w:lvl w:ilvl="1">
      <w:lvlJc w:val="left"/>
      <w:lvlText w:val="%2."/>
      <w:numFmt w:val="lowerLetter"/>
      <w:start w:val="1"/>
    </w:lvl>
  </w:abstractNum>
  <w:abstractNum w:abstractNumId="10">
    <w:nsid w:val="1F16E9E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2019-12-29T08:25:37Z</dcterms:created>
  <dcterms:modified xsi:type="dcterms:W3CDTF">2019-12-29T08:25:37Z</dcterms:modified>
</cp:coreProperties>
</file>