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 March 1, 2018</w:t>
      </w:r>
    </w:p>
    <w:p>
      <w:pPr>
        <w:spacing w:after="0" w:line="23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46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258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98"/>
              </w:rPr>
              <w:t>Miami, FL</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(Â§230.405 of this chapter) or Rule 12b-2 of the Securities Exchange Act of 1934 (Â§240.12b-2 of this chapter).</w:t>
      </w:r>
    </w:p>
    <w:p>
      <w:pPr>
        <w:spacing w:after="0" w:line="105" w:lineRule="exact"/>
        <w:rPr>
          <w:sz w:val="24"/>
          <w:szCs w:val="24"/>
          <w:color w:val="auto"/>
        </w:rPr>
      </w:pPr>
    </w:p>
    <w:p>
      <w:pPr>
        <w:spacing w:after="0"/>
        <w:rPr>
          <w:sz w:val="20"/>
          <w:szCs w:val="20"/>
          <w:color w:val="auto"/>
        </w:rPr>
      </w:pPr>
      <w:r>
        <w:rPr>
          <w:rFonts w:ascii="Arial" w:cs="Arial" w:eastAsia="Arial" w:hAnsi="Arial"/>
          <w:sz w:val="22"/>
          <w:szCs w:val="22"/>
          <w:color w:val="auto"/>
        </w:rPr>
        <w:t>Emerging growth company [  ]</w:t>
      </w:r>
    </w:p>
    <w:p>
      <w:pPr>
        <w:spacing w:after="0" w:line="206" w:lineRule="exact"/>
        <w:rPr>
          <w:sz w:val="24"/>
          <w:szCs w:val="24"/>
          <w:color w:val="auto"/>
        </w:rPr>
      </w:pPr>
    </w:p>
    <w:p>
      <w:pPr>
        <w:jc w:val="both"/>
        <w:ind w:right="240"/>
        <w:spacing w:after="0" w:line="328"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40"/>
          </w:cols>
          <w:pgMar w:left="240" w:top="463" w:right="31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firstLine="405"/>
        <w:spacing w:after="0"/>
        <w:rPr>
          <w:sz w:val="20"/>
          <w:szCs w:val="20"/>
          <w:color w:val="auto"/>
        </w:rPr>
      </w:pPr>
      <w:r>
        <w:rPr>
          <w:rFonts w:ascii="Arial" w:cs="Arial" w:eastAsia="Arial" w:hAnsi="Arial"/>
          <w:sz w:val="22"/>
          <w:szCs w:val="22"/>
          <w:color w:val="auto"/>
        </w:rPr>
        <w:t>World Fuel Services Corporation announced today that its board of directors has declared a quarterly cash dividend of $0.06 per share payable on April 6, 2018 to shareholders of record on March 16, 2018. A copy of the press release is attached hereto as Exhibit 99.1.</w:t>
      </w:r>
    </w:p>
    <w:p>
      <w:pPr>
        <w:spacing w:after="0" w:line="18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p>
      <w:pPr>
        <w:ind w:left="1200" w:hanging="787"/>
        <w:spacing w:after="0"/>
        <w:tabs>
          <w:tab w:leader="none" w:pos="1200" w:val="left"/>
        </w:tabs>
        <w:numPr>
          <w:ilvl w:val="0"/>
          <w:numId w:val="1"/>
        </w:numPr>
        <w:rPr>
          <w:rFonts w:ascii="Arial" w:cs="Arial" w:eastAsia="Arial" w:hAnsi="Arial"/>
          <w:sz w:val="22"/>
          <w:szCs w:val="22"/>
          <w:color w:val="auto"/>
        </w:rPr>
      </w:pPr>
      <w:r>
        <w:rPr>
          <w:rFonts w:ascii="Arial" w:cs="Arial" w:eastAsia="Arial" w:hAnsi="Arial"/>
          <w:sz w:val="22"/>
          <w:szCs w:val="22"/>
          <w:color w:val="auto"/>
        </w:rPr>
        <w:t>Exhibits</w:t>
      </w:r>
    </w:p>
    <w:p>
      <w:pPr>
        <w:spacing w:after="0" w:line="206" w:lineRule="exact"/>
        <w:rPr>
          <w:sz w:val="20"/>
          <w:szCs w:val="20"/>
          <w:color w:val="auto"/>
        </w:rPr>
      </w:pPr>
    </w:p>
    <w:p>
      <w:pPr>
        <w:ind w:left="1080"/>
        <w:spacing w:after="0"/>
        <w:tabs>
          <w:tab w:leader="none" w:pos="2680" w:val="left"/>
        </w:tabs>
        <w:rPr>
          <w:sz w:val="20"/>
          <w:szCs w:val="20"/>
          <w:color w:val="auto"/>
        </w:rPr>
      </w:pPr>
      <w:r>
        <w:rPr>
          <w:rFonts w:ascii="Arial" w:cs="Arial" w:eastAsia="Arial" w:hAnsi="Arial"/>
          <w:sz w:val="22"/>
          <w:szCs w:val="22"/>
          <w:u w:val="single" w:color="auto"/>
          <w:color w:val="auto"/>
        </w:rPr>
        <w:t>Exhibit No.</w:t>
      </w:r>
      <w:r>
        <w:rPr>
          <w:sz w:val="20"/>
          <w:szCs w:val="20"/>
          <w:color w:val="auto"/>
        </w:rPr>
        <w:tab/>
      </w:r>
      <w:r>
        <w:rPr>
          <w:rFonts w:ascii="Arial" w:cs="Arial" w:eastAsia="Arial" w:hAnsi="Arial"/>
          <w:sz w:val="19"/>
          <w:szCs w:val="19"/>
          <w:u w:val="single" w:color="auto"/>
          <w:color w:val="auto"/>
        </w:rPr>
        <w:t>Description</w:t>
      </w:r>
    </w:p>
    <w:p>
      <w:pPr>
        <w:spacing w:after="0" w:line="206" w:lineRule="exact"/>
        <w:rPr>
          <w:sz w:val="20"/>
          <w:szCs w:val="20"/>
          <w:color w:val="auto"/>
        </w:rPr>
      </w:pPr>
    </w:p>
    <w:p>
      <w:pPr>
        <w:ind w:left="1220"/>
        <w:spacing w:after="0"/>
        <w:tabs>
          <w:tab w:leader="none" w:pos="256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8"/>
          <w:szCs w:val="18"/>
          <w:color w:val="auto"/>
        </w:rPr>
        <w:t>Press Release, dated March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6520" w:val="left"/>
        </w:tabs>
        <w:rPr>
          <w:sz w:val="20"/>
          <w:szCs w:val="20"/>
          <w:color w:val="auto"/>
        </w:rPr>
      </w:pPr>
      <w:r>
        <w:rPr>
          <w:rFonts w:ascii="Arial" w:cs="Arial" w:eastAsia="Arial" w:hAnsi="Arial"/>
          <w:sz w:val="18"/>
          <w:szCs w:val="18"/>
          <w:color w:val="auto"/>
        </w:rPr>
        <w:t>Date:</w:t>
        <w:tab/>
        <w:t>March 1, 2018</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160655</wp:posOffset>
            </wp:positionV>
            <wp:extent cx="23837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4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Executive Vice President, Chief Legal Officer and</w:t>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160"/>
          </w:cols>
          <w:pgMar w:left="240" w:top="111" w:right="49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8865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dated March 1, 2018.</w:t>
        </w:r>
      </w:hyperlink>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Declares Regular Quarterly Cash Dividend</w:t>
      </w:r>
    </w:p>
    <w:p>
      <w:pPr>
        <w:spacing w:after="0" w:line="212" w:lineRule="exact"/>
        <w:rPr>
          <w:sz w:val="20"/>
          <w:szCs w:val="20"/>
          <w:color w:val="auto"/>
        </w:rPr>
      </w:pPr>
    </w:p>
    <w:p>
      <w:pPr>
        <w:ind w:right="60"/>
        <w:spacing w:after="0"/>
        <w:rPr>
          <w:sz w:val="20"/>
          <w:szCs w:val="20"/>
          <w:color w:val="auto"/>
        </w:rPr>
      </w:pPr>
      <w:r>
        <w:rPr>
          <w:rFonts w:ascii="Arial" w:cs="Arial" w:eastAsia="Arial" w:hAnsi="Arial"/>
          <w:sz w:val="22"/>
          <w:szCs w:val="22"/>
          <w:color w:val="auto"/>
        </w:rPr>
        <w:t>MIAMI--(BUSINESS WIRE)--March 1, 2018--World Fuel Services Corporation (NYSE:INT) announced today that its board of directors has declared a quarterly cash dividend of $0.06 per share payable on April 6, 2018 to shareholders of record on March 16, 2018.</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 World Fuel Services sells fuel and delivers services to its clients at more than 8,000 locations in more than 200 countries and territories worldwide.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Glenn Klevitz, 305-428-8000</w:t>
      </w:r>
    </w:p>
    <w:p>
      <w:pPr>
        <w:spacing w:after="0"/>
        <w:rPr>
          <w:sz w:val="20"/>
          <w:szCs w:val="20"/>
          <w:color w:val="auto"/>
        </w:rPr>
      </w:pPr>
      <w:r>
        <w:rPr>
          <w:rFonts w:ascii="Arial" w:cs="Arial" w:eastAsia="Arial" w:hAnsi="Arial"/>
          <w:sz w:val="22"/>
          <w:szCs w:val="22"/>
          <w:color w:val="auto"/>
        </w:rPr>
        <w:t>Vice President, Assistant Treasurer</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2019-12-29T00:51:27Z</dcterms:created>
  <dcterms:modified xsi:type="dcterms:W3CDTF">2019-12-29T00:51:27Z</dcterms:modified>
</cp:coreProperties>
</file>