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Roddenberry Stephen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05/25/2017</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05/25/2017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4,280</w:t>
            </w:r>
            <w:r>
              <w:rPr>
                <w:rFonts w:ascii="Arial" w:cs="Arial" w:eastAsia="Arial" w:hAnsi="Arial"/>
                <w:sz w:val="22"/>
                <w:szCs w:val="22"/>
                <w:color w:val="008000"/>
                <w:w w:val="79"/>
                <w:vertAlign w:val="superscript"/>
              </w:rPr>
              <w:t>(2)</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73,657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were issued as a restricted stock unit grant to the reporting person by the issuer under the issuer's 2016 Omnibus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restricted stock units shall vest on the earlier of: (i) the day prior to the annual meeting of the shareholders of the issuer that next follows the grant date or (ii) the one-year anniversary of the grant date.</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Amy A. Quintana,</w:t>
            </w:r>
          </w:p>
        </w:tc>
        <w:tc>
          <w:tcPr>
            <w:tcW w:w="6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05/30/2017</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 Alexander Lake and Amy A. Quintana, signing singly, the undersigned's true and lawful attorney-in-fact to:</w:t>
      </w:r>
    </w:p>
    <w:p>
      <w:pPr>
        <w:spacing w:after="0" w:line="209" w:lineRule="exact"/>
        <w:rPr>
          <w:sz w:val="20"/>
          <w:szCs w:val="20"/>
          <w:color w:val="auto"/>
        </w:rPr>
      </w:pPr>
    </w:p>
    <w:p>
      <w:pPr>
        <w:ind w:right="145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World Fuel Services Corporation (the "Company"), Forms 3, 4, and 5 in accordance with Section 16(a) of the Securities Exchange Act of 1934, as amended, and the rules thereunder, and Form 144 in accordance with Rule 144 promulgated under the Securities Act of 1933, as amended, and any other forms or reports the undersigned may be required to file</w:t>
      </w:r>
    </w:p>
    <w:p>
      <w:pPr>
        <w:spacing w:after="0" w:line="7" w:lineRule="exact"/>
        <w:rPr>
          <w:rFonts w:ascii="Courier New" w:cs="Courier New" w:eastAsia="Courier New" w:hAnsi="Courier New"/>
          <w:sz w:val="18"/>
          <w:szCs w:val="18"/>
          <w:color w:val="auto"/>
        </w:rPr>
      </w:pPr>
    </w:p>
    <w:p>
      <w:pPr>
        <w:ind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the undersigned's ownership, acquisition, or disposition of securities of the Company;</w:t>
      </w:r>
    </w:p>
    <w:p>
      <w:pPr>
        <w:spacing w:after="0" w:line="208" w:lineRule="exact"/>
        <w:rPr>
          <w:rFonts w:ascii="Courier New" w:cs="Courier New" w:eastAsia="Courier New" w:hAnsi="Courier New"/>
          <w:sz w:val="18"/>
          <w:szCs w:val="18"/>
          <w:color w:val="auto"/>
        </w:rPr>
      </w:pPr>
    </w:p>
    <w:p>
      <w:pPr>
        <w:ind w:right="157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or Rule 144 promulgated under the Securities Act of 1933, as amended.</w:t>
      </w:r>
    </w:p>
    <w:p>
      <w:pPr>
        <w:spacing w:after="0" w:line="3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5 and 144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8th day of September, 2016.</w:t>
      </w:r>
    </w:p>
    <w:p>
      <w:pPr>
        <w:spacing w:after="0" w:line="200" w:lineRule="exact"/>
        <w:rPr>
          <w:sz w:val="20"/>
          <w:szCs w:val="20"/>
          <w:color w:val="auto"/>
        </w:rPr>
      </w:pPr>
    </w:p>
    <w:p>
      <w:pPr>
        <w:spacing w:after="0" w:line="205"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Stephen K. Roddenberry</w:t>
      </w:r>
    </w:p>
    <w:p>
      <w:pPr>
        <w:ind w:left="5060"/>
        <w:spacing w:after="0"/>
        <w:tabs>
          <w:tab w:leader="none" w:pos="57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Stephen K. Roddenberry</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6509"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2019-12-24T03:39:49Z</dcterms:created>
  <dcterms:modified xsi:type="dcterms:W3CDTF">2019-12-24T03:39:49Z</dcterms:modified>
</cp:coreProperties>
</file>