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90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STEBBINS PAUL 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WORLD FUEL SERVICES CORPORATION 9800 N.W. 41ST STREET</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WORLD FUEL SERVICES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7"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02/19/2021</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2597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597785"/>
                    </a:xfrm>
                    <a:prstGeom prst="rect">
                      <a:avLst/>
                    </a:prstGeom>
                    <a:noFill/>
                  </pic:spPr>
                </pic:pic>
              </a:graphicData>
            </a:graphic>
          </wp:anchor>
        </w:drawing>
      </w:r>
    </w:p>
    <w:p>
      <w:pPr>
        <w:spacing w:after="0" w:line="483" w:lineRule="exact"/>
        <w:rPr>
          <w:sz w:val="24"/>
          <w:szCs w:val="24"/>
          <w:color w:val="auto"/>
        </w:rPr>
      </w:pPr>
    </w:p>
    <w:p>
      <w:pPr>
        <w:sectPr>
          <w:pgSz w:w="11900" w:h="16838" w:orient="portrait"/>
          <w:cols w:equalWidth="0" w:num="2">
            <w:col w:w="3760" w:space="80"/>
            <w:col w:w="7240"/>
          </w:cols>
          <w:pgMar w:left="460" w:top="219" w:right="359" w:bottom="90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9"/>
              </w:rPr>
              <w:t>(A) or</w:t>
            </w: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29,998</w:t>
            </w:r>
          </w:p>
        </w:tc>
        <w:tc>
          <w:tcPr>
            <w:tcW w:w="320" w:type="dxa"/>
            <w:vAlign w:val="bottom"/>
          </w:tcPr>
          <w:p>
            <w:pPr>
              <w:spacing w:after="0"/>
              <w:rPr>
                <w:sz w:val="23"/>
                <w:szCs w:val="23"/>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167,701</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35.28</w:t>
            </w:r>
            <w:r>
              <w:rPr>
                <w:rFonts w:ascii="Times New Roman" w:cs="Times New Roman" w:eastAsia="Times New Roman" w:hAnsi="Times New Roman"/>
                <w:sz w:val="22"/>
                <w:szCs w:val="22"/>
                <w:color w:val="008000"/>
                <w:w w:val="95"/>
                <w:vertAlign w:val="superscript"/>
              </w:rPr>
              <w:t>(3)</w:t>
            </w: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02/19/2021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7"/>
                <w:szCs w:val="17"/>
                <w:color w:val="0000FF"/>
              </w:rPr>
              <w:t>13,528</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vMerge w:val="continue"/>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35,572</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35.85</w:t>
            </w:r>
            <w:r>
              <w:rPr>
                <w:rFonts w:ascii="Times New Roman" w:cs="Times New Roman" w:eastAsia="Times New Roman" w:hAnsi="Times New Roman"/>
                <w:sz w:val="22"/>
                <w:szCs w:val="22"/>
                <w:color w:val="008000"/>
                <w:w w:val="95"/>
                <w:vertAlign w:val="superscript"/>
              </w:rPr>
              <w:t>(5)</w:t>
            </w: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02/22/2021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7"/>
                <w:szCs w:val="17"/>
                <w:color w:val="0000FF"/>
              </w:rPr>
              <w:t>35,572</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vMerge w:val="continue"/>
          </w:tcPr>
          <w:p>
            <w:pPr>
              <w:spacing w:after="0"/>
              <w:rPr>
                <w:sz w:val="18"/>
                <w:szCs w:val="18"/>
                <w:color w:val="auto"/>
              </w:rPr>
            </w:pPr>
          </w:p>
        </w:tc>
        <w:tc>
          <w:tcPr>
            <w:tcW w:w="700" w:type="dxa"/>
            <w:vAlign w:val="bottom"/>
            <w:gridSpan w:val="2"/>
          </w:tcPr>
          <w:p>
            <w:pPr>
              <w:jc w:val="center"/>
              <w:ind w:left="467"/>
              <w:spacing w:after="0"/>
              <w:rPr>
                <w:sz w:val="20"/>
                <w:szCs w:val="20"/>
                <w:color w:val="auto"/>
              </w:rPr>
            </w:pPr>
            <w:r>
              <w:rPr>
                <w:rFonts w:ascii="Times New Roman" w:cs="Times New Roman" w:eastAsia="Times New Roman" w:hAnsi="Times New Roman"/>
                <w:sz w:val="17"/>
                <w:szCs w:val="17"/>
                <w:color w:val="0000FF"/>
                <w:w w:val="93"/>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Boitz Stebbins Irrevocable Family Trust, of which the reporting person is the trustee and a beneficiary. The reporting person disclaims beneficial ownership of any shares in which he does not have a pecuniary interest.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occurred pursuant to an existing Rule 10b5-1 plan adopted by the reporting person.</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sale price for multiple transactions reported on this line. The prices of the transaction ranged from $35.25 to $35.33, inclusive. The reporting person undertakes to provide the issuer and will provide any security holder of the issuer or the SEC staff, upon request,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Paul Stebbins Revocable Trust, of which the reporting person is the trustee.</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sale price for multiple transactions reported on this line. The prices of the transaction ranged from $35.25 to $36.44, inclusive. The reporting person undertakes to provide the issuer and will provide any security holder of the issuer or the SEC staff, upon request, information regarding the number of shares sold at each separate price within the range.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Amy A. Quintana,</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02/23/2021</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36725"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2021-02-23T18:02:32Z</dcterms:created>
  <dcterms:modified xsi:type="dcterms:W3CDTF">2021-02-23T18:02:32Z</dcterms:modified>
</cp:coreProperties>
</file>